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Clare's Cove Marina Ltd. v. Salmon Arm (City), [2013] B.C.J. No. 624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2-5, 10-13, 16-20 and 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42979, 44016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624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553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M.P.L.R. (5th) 237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R.P.R. (5th) 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823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Clare's Cove Marina Ltd., Willy's Wharf Inc., Jiro Adventures Ltd. and William MacIsaac, Plaintiffs, and City of Salmon Arm and Brooke Jackson Downs, Defendants And between City of Salmon Arm, Plaintiff, and Willy's Wharf Inc. and Clare's Cove Marina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Contracts — Formation — Action by the plaintiffs MacIsaac et al for damages for breach of contract and negligent misrepresentation dismissed — The City of Salmon Arm leased and subleased lots to the Heriads, who operated a marina — MacIsaac purchased the marina in 2008 — The plaintiffs abandoned the project after the City advised that it was prepared to grant a lease but that it could be terminated upon one year's notice — A reasonable disinterested observer would not have concluded that the parties intended to create legal relations — The representations made amounted to nothing more than a promise of an offer.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(Hedley Byrne principle) — Detrimental reliance — Action by the plaintiffs MacIsaac et al for damages for breach of contract and negligent misrepresentation dismissed — The City of Salmon Arm leased and subleased lots to the Heriads, who operated a marina — MacIsaac purchased the marina in 2008 — The plaintiffs abandoned the project after the City advised that it was prepared to grant a lease but that it could be terminated upon one year's notice — A reasonable disinterested observer would not have concluded that the parties intended to create legal relations — The representations made amounted to nothing more than a promise of an offer.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MacIsaac et al for damages for breach of contract, negligent misrepresentation and proprietary estoppel. The City of Salmon Arm leased one lot and subleased another lot to the Heriads, who operated a marina on Shuswap Lake. MacIsaac purchased the marina from the Heriads in 2008. Before and after the purchase, the plaintiffs made improvements to the properties in anticipation of the City granting them a lease. In 2009, the City advised that it was prepared to grant a lease to 2016 but that it would contain the term whereby either party could terminate it upon one year's notice. As that was unacceptable to the plaintiffs, they abandoned the project. The plaintiffs took the position that the course of dealings they had with the City gave rise to a settled contract by which the City was obliged to lease the lots to them for a term that extended to 2016. Alternatively, the plaintiffs submitted that the City made misrepresentations which they relied on. The City took the position that no contract was ever reached with the plaintiffs and that nothing more than preliminary discussions ever took place. The City further submitted that it did not misrepresent anything during the course of its dealings with the plaintiffs.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nothing in the conversations that took place to support the conclusion that the parties reached an agreement to lease. Even assuming that there was certainty of the essential terms, a reasonable disinterested observer would not have concluded that the parties intended to create legal relations. The City represented that it was prepared to enter into leases extending to 2016. The representation was not untruthful but it was misleading as without reference to the termination provision it conveyed the impression that the leases would extend to 2016 absent a breach. However, as the statements amounted to a promise of an offer and nothing more, the representations were not actionable. In any event, MacIsaac did not rely on the representations and even if he had his reliance would not have been reasonable. Finally, it could not be said that the City encouraged the plaintiffs to act to their detriment based on a misunderstanding.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Fish Protection Act, </w:t>
      </w:r>
      <w:r>
        <w:rPr>
          <w:rFonts w:ascii="arial" w:eastAsia="arial" w:hAnsi="arial" w:cs="arial"/>
          <w:i/>
          <w:color w:val="000000"/>
          <w:sz w:val="20"/>
          <w:lang w:val="en-US" w:eastAsia="en-US" w:bidi="ar-SA"/>
        </w:rPr>
        <w:t>SBC 1997, CHAPTER 21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11" w:history="1">
        <w:r>
          <w:rPr>
            <w:rFonts w:ascii="arial" w:eastAsia="arial" w:hAnsi="arial" w:cs="arial"/>
            <w:i/>
            <w:color w:val="0077CC"/>
            <w:sz w:val="20"/>
            <w:u w:val="single"/>
            <w:shd w:val="clear" w:color="auto" w:fill="FFFFFF"/>
            <w:lang w:val="en-US" w:eastAsia="en-US" w:bidi="ar-SA"/>
          </w:rPr>
          <w:t>RSBC 1996, CHAPTER 250, s. 219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12" w:history="1">
        <w:r>
          <w:rPr>
            <w:rFonts w:ascii="arial" w:eastAsia="arial" w:hAnsi="arial" w:cs="arial"/>
            <w:i/>
            <w:color w:val="0077CC"/>
            <w:sz w:val="20"/>
            <w:u w:val="single"/>
            <w:shd w:val="clear" w:color="auto" w:fill="FFFFFF"/>
            <w:lang w:val="en-US" w:eastAsia="en-US" w:bidi="ar-SA"/>
          </w:rPr>
          <w:t>RSBC 1996, CHAPTER 253, s. 59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Riparian Area Regulations,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(Defendants by Counterclaim): J.M. Drayton.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(Plaintiff by Counterclaim), City of Salmon Arm: J.W. Locke.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08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April 11, 2013;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G. BARROW J."/>
            <w:bookmarkEnd w:id="6"/>
            <w:r>
              <w:rPr>
                <w:rFonts w:ascii="arial" w:eastAsia="arial" w:hAnsi="arial" w:cs="arial"/>
                <w:b/>
                <w:color w:val="000000"/>
                <w:sz w:val="30"/>
                <w:lang w:val="en-US" w:eastAsia="en-US" w:bidi="ar-SA"/>
              </w:rPr>
              <w:t>G. 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two actions arise out of a failed attempt by William MacIsaac and the companies he controls to purchase and redevelop a marina on Shuswap Lake in Salmon Arm. The actions were tried together. In what I will refer to as the main action, Mr. MacIsaac and three companies (Claire's Cove Marina Ltd., Willy's Wharf Inc. and Jiro Adventures Ltd.) have sued the City of Salmon Arm (the "City") alleging breach of contract, negligent misrepresentation, and proprietary estoppel. In the second action, the City of Salmon Arm has sued Willy's Wharf Inc. and Clare's Cove Marina Ltd. alleging that they are in breach of a lease over property on which the marina sits. For convenience, I will refer to Mr. MacIsaac and his companies as the plaintiffs and to the City as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2006, Clare's Cove Marina had about 72 boat slips mostly located within the boundaries of an aquatic lot owned by the Province of British Columbia. The Province leased the water lot to the City. The City owns the land onto which the foreshore lot abuts. The City leased the lot they owned and subleased the aquatic lot to Danny and Louella Heraid who operated a marina under the name Clare's Cove Marina. The Heraids owned the lakefront lot that sits immediately to the west of the City's lakefront lot. During the boating season, the Heraids lived in a residence on the lot they owned and operated the marina from the lots they leased or subleased from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late 2006, Ross Lightle, a friend of Mr. MacIsaac's, learned that the Heraids were interested in selling the marina. He thought it might be a good investment and on March 7, 2007, through Jiro Adventures Ltd., a company owned by his wife, he offered to purchase the Heraids' interest in all three properties for $1.5 million. The offer was accepted but the transaction was subject to a number of conditions. Among those conditions was a term that the purchaser had to be satisfied on or before June 30, 2007, that the City would lease the lands that it had an interest in to Jiro Adventures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Initially Mr. Lightle planned to participate in the venture with Mr. MacIsaac. By the fall of 2007, if not before, he had come to the conclusion that he would not be able to raise the money necessary to secure his involvement, and the transaction was thereafter pursued by Mr. MacIsaac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Monica Dalziel is the City of Salmon Arm's Director of Corporate Services and as such was responsible for lands the City owned or leased. Mr. Lightle met with Ms. Dalziel for the first and only time in March 2007. Mr. MacIsaac met with her in June. They were interested in knowing whether the City would either extend the leases it had with the Heraids and/or grant new leases to Jiro Adventures Ltd. if it purchased the marina. What happened at those meetings and its legal effect is central to the issues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argue that the course of dealings they had with Ms. Dalziel gave rise to a settled contract by which the City was obliged to lease to them the aquatic lot and the adjacent land lot for a term that extended to 2016. In the alternative, they argue that the City made representations which they relied on. As a result of either the contract or the representations, the plaintiffs first increased their deposit on the purchase of the marina from $10,000 to $300,000 in June 2007 and then completed the purchase in the spring of 2008. Both before and after the purchase, the plaintiffs undertook improvements on the properties in anticipation of the City granting them a lease. In the spring of 2009, the City advised it was prepared to grant a lease to 2016 but that the lease would contain a term whereby either party could terminate it on one year's notice. This was unacceptable to the plaintiffs and they abandoned the project. They are claiming damages in excess of $2 million representing their losses on the purchase, the time and money invested in the venture before and after the purchase, and various transaction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City takes the position that no contract was ever reached with the plaintiffs. The discussions that did take place were preliminary discussions and nothing more. In any case, it argues that the fact that it eventually insisted on an early termination clause was, or should have been, known to the plaintiffs by November 2007 before they completed the purchase, and thus if it is responsible for any of the plaintiffs losses, its responsibility is limited to matters which arose prior to that time. The City further argues that it did not misrepresent anything during the course of its dealings with the plaintiffs, and there is no basis for recovery based on any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on the basis of proprietary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what follows, I will first set out the background facts. There are conflicts in the evidence in relation to some key events. The resolution to those conflicts depends to some degree on the credibility and reliability of the witnesses. I will deal with that issue next. I will then address the claims in the context of the facts as I find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early part of the last century, the federal department of Public Works operated a ferry service on Shuswap Lake at the site of what later became Clare's Cove Marina. The site is located within the boundaries of the City of Salmon Arm but near the community of Canoe, which is some distance north and east of the city center. In conjunction with the establishment of the ferry service, a water lot was created, DL 3970 (the "Water Lot"). It is rectangular in shape, about 45 meters wide, and extends north from the shore into the lake a distance of about 160 meters. When the ferry service was discontinued, the Province acquired the Water Lot which it leased to the City. The term of the lease, which I will refer to as the "Head Lease", is to the end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lot adjacent to and directly south of the Water Lot is owned by the City. Its complete legal description is Lot 6, as shown on Plan B3784, Section 5, Township 21, Range 9, west of the 6th Meridian, Kamloops Division Yale District Plan 1795. I will refer to it as "Lot 6". Lot 6 is the same width as the Water Lot; the east and west boundaries of Lot 6 being extensions of those boundaries of the Water Lot. It is between 40 and 45 meters deep. The lot to the west of Lot 6 is Lot 7 of the same plan. In 2006, Lot 7 was owned by the Heraids.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Heraids acquired the marina in 1998 when they purchased Lot 7 from the previous owners. They leased Lot 6 from the City and subleased the Water Lot from the City. In 2004, the City and the Heraids agreed to extend the terms of the lease over Lot 6 and the sublease over the Water Lot to June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spring of 2007, the marina consisted of some 72 boat slips attached to two parallel wharfs that extended north into the lake almost to the northern boundary of the Water Lot. In fact, the western wharf was not located entirely within the Water Lot. The Water Lot boundary ran almost down the center of that wharf such that all the boats moored to the west side of it are not within the boundary of the Water Lot. The Heraids operated a small confectionary store on Lot 6 from which they rented sea-doos and sold motor oil and gas. Most of Lot 6 was used for parking. Its surface was not paved. On Lot 7, there was a house that the Heraids lived in during the boating season. They lived in Alberta during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Canoe Creek enters Shuswap Lake just east of Lot 6. It carries considerable silt which it discharges into the lake at its mouth. Between the creek and Lot 6, there is a channel at the head of which are docking facilities used by the Canoe Boat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level of Shuswap Lake varies. In the spring, as the snow melts in the surrounding hills, the lake level rises, reaching a peak in early July. From mid-August, the level declines usually reaching its nadir by early November. The lake is shallow near the shore in the vicinity of the marina. At about 60 meters from the shore, it is only about 4 meters deep at high water. At about 100 meters from the shore, the lake bed drops off precipitously.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presence of Canoe Creek and the resulting silt and the variation in the water level of the lake cause problems for the marina. As the water level declines, the berths closest to the shoreline become unusable. In fact, a portion of the wharf itself sits on dry land for part of the year. This limits the length of the season during which the marina can profitably operate. The problem only increases as the silt from Canoe Creek accumulates.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2006, the marina operation was run down. According to Mr. Lightle, the Heraids were looking to retire and had not invested money in maintaining or improving the enterprise. The wharves themselves were in poor condition, and both the store and the house were in a state of some disrepair.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Lightle was living in Alberta in 2006. He is a cabinet maker by trade and also does some construction work. He taught courses in real estate investment through a program known as "Rich Dads". He met Mr. MacIsaac when the latter attended one of the seminars he conducted. Mr. Lightle kept a houseboat on Shuswap Lake where he spent time in the summers.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Nathan Goebel is a journeyman marine mechanic. He has also been a service manager for houseboat companies operating on Shuswap Lake. Mr. Lightle was a customer of one of those companies, and they became acquaintances. In the spring of 2006, when Mr. Goebel learned the Heraids were interested in selling their marina, he passed that information along to Mr. Lightle.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Lightle approached Mr. Heraid and discussed the marina operation. Mr. Lightle said that Mr. Heraid told him that the marina operated from May to October and that during the summer, the water level was not a problem. Mr. Heraid explained that the lake bed to the east of the wharfs had to be dredged about every seven years because of the silt deposited by Canoe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Lightle decided to make an offer. Before doing so, he had approached Mr. MacIsaac and asked if he was interested in the going into the business with him. He needed Mr. MacIsaac to inject money into the transaction to make it work. Mr. MacIsaac said that he was interested. He first saw the marina in December 2006. He visited the site again in February or March 2007 at which point he met Mr. Heraid. He noticed that the portion of the wharves closest to the shore was sitting on dry land. He thought that odd and asked Mr. Heraid about it. Mr. Heraid explained the fluctuations in the level of the lake. Following that visit and after discussing the matter further with Mr. Lightle, Mr. MacIsaac agreed that he would participate in the venture as an equal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marina was not listed with a real estate company, nor did Mr. Lightle or Mr. Heraid engage a real estate agent to assist with the transaction. In fact, neither had a lawyer, at least at the early stages of the transaction. Mr. Lightle's offer was made in the name of Jiro Adventures Ltd., a company owned by his wife Barbara. The offer was made on a form developed for the sale of commercial real estate in Alberta. It is dated March 27, 2007, and by its terms was open for acceptance until April 5th. The offer was for $1.5 million to be paid by a deposit of $10,000, which was to be increased to $300,000. The Heraids accepted the offer subject to some conditions, which they prepared and to which Jiro Adventures Ltd.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Heraids then retained a lawyer, who prepared a more formal and suitable contract of purchase and sale. It contemplated the sale of Lot 7 and the sale of the shares in Clare's Cove Marina Ltd., a company the Heraids had incorporated in May 2007 for purposes of selling the marina. Until then, they had operated the marina as a proprietorship. Although the agreement makes reference to "Clare's Cove Marine Ltd.", I think that is simply a typographical error. Throughout the other documents and in the pleadings, the company is referred to as Clare's Cove Marina Ltd. In any case, the assets of the marina operation, except for the leases and the adjoining land, were transferred to Clare's Cove Marina Ltd. The sale price was to be $1.5 million, of which $1 million was allocated to the shares in Clare's Cove Marina Ltd. and $500,000 to the purchase of Lot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Lightle had the contract reviewed by Shawn Swail, a lawyer then practicing in Kelowna. Mr. Swail suggested a number of changes, which he conveyed to both Mr. MacIsaac and the Lightles. Some of his suggested changes were included in the contract, which was eventually signed on June 19, 2007. It provided for a closing date of March 14, 2008. The purchase price was to be paid by way of a non-refundable deposit of $50,000 ($10,000 of which had been paid under the earlier version of the agreement and $40,000 was paid on execution of this contract). Instead of a $300,000 deposit as initially contemplated, the parties agreed that Jiro Adventures Ltd. would lend the Heraids $250,000, which would be secured by a third mortgage on Lot 7. The mortgage was due on March 16, 2009. It would be discharged and the sum credited to the purchase price if the transaction closed as contemplated. Otherwise it would be due and payable on its maturity date. This was done to put the Heraids in funds upon execution of the agreement and pending completion while at the same time giving the purchasers some security should the transaction collapse.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other provisions in the contract of significance are the conditions precedent. They are found in paragraph 6 and there are eight of them. The first, contained in paragraph 6(a), provided that the purchaser had until June 30, 2007, to satisfy itself that the City would "extend or renew" the leases. A related condition in paragraph 6(c) is that the purchaser had until the same date to satisfy itself that the City would consent to an assignment of the existing leases it had with the Heraids to Jiro Adventures Ltd. In combination, these two conditions were intended to allow the purchaser to investigate whether it would be able to operate the marina during the remainder of the terms of the Heraids' leases and continue to operate it under new leases thereafter. The purchaser also had until June 30, 2007, to review the corporate records of the newly created Clare's Cove Marina Ltd. and the financial records of the marina operation. These conditions are set out in paragraphs 6(e) and (f) respectively. There were two conditions relating to dredging (paras. 6(f) and (g)), and the purchaser had until December 31, 2007, to satisfy itself in relation to them. First, the purchaser had to obtain government approvals to carry out dredging, and second it had to obtain a "satisfactory quote" for the cost of the dredging. Finally, by paragraph 6(b), the purchaser had until September 14, 2007, to carry out whatever other "due diligence" it thought necessary, and by paragraph 6(d), it had until December 31, 2007, to obtain any environmental assessments it thought necessary. All of these conditions were for the benefit of the purchaser and could be waived by it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June 30, 2007, Mr. Lightle, on behalf of Jiro Adventures Ltd., formally waived the conditions relating to the assignment and extensions of the leases and to the examination of the financial and corporate records of the marina. On September 14, 2007, the purchaser waived the condition relating to due diligence. On December 3, 2007, the parties agreed to extend the time for obtaining an environmental assessment and the conditions relating to dredging from December 31, 2007 to January 18, 2008. These conditions were then waived by the purchaser on January 18, 2008, and with that waiver the transaction became binding and unconditional.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Before waiving the conditions relating to the leases, there were two meetings and perhaps two telephone conversations between representatives of the City and representatives of Jiro. After those conditions were waived, there was a meeting on or about September 24, 2007, and a further meeting on November 23,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as to what occurred during these meetings conflicts. I will set out the general evidence about these events in what follows. I will resolve the conflicts and find the facts when dealing with the events in the context of the legal significance the parties attribute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first meeting between the City and anyone on behalf of the proposed purchasers was in March 2007. It was at this meeting that Mr. Lightle met Ms. Dalziel for the first and only time. Prior to the meeting, the Heraids had provided Mr. Lightle with a copy of the lease and sublease they had with the City. After reading them, Mr. Lightle realized that they expired in June 2008. He was interested in determining whether the City would extend them or grant new leases on their expiration. He also wanted to know if the City would permit an assignment of the remainder of the terms of the existing leases to him or his company. In addition, he wanted to know if the City would consider selling Lot 6 or at least consider giving him a right of first refusal should the City decide to sell it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Mr. Lightle, present at the meeting were Mr. and Mrs. Heraid and Ms. Dalziel. He testified that Ms. Dalziel told him that the issue of extending the leases or selling Lot 6 were matters that City Council would have to decide although, with one proviso, she did not think that would be a problem. He said the proviso was that the City would not extend or renew the lease over Lot 6 or the sublease of the Water Lot, unless the lessee also owned the adjacent Lot 7. Until this point, Mr. Lightle testified that he had not contemplated purchasing Lot 7 because he had no particular need for it inasmuch as he was not planning to live at the marina during boating season. He left the meeting with the understanding that Ms. Dalziel would be taking up the matter with City Council and getting back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Dalziel recalled meeting with Mr. Lightle and recalled that two other people were present but could not recall who they were. The Heraids did not give evidence on the trial. She said the meeting had not been scheduled in advance, but rather Mr. Lightle and the others simply came to City Hall and wanted to discuss the leases at the marina. Ms. Dalziel was called down from her office to meet them. She said that the meeting took place at the counter in the foyer of City Hall and lasted about five minutes. She said that Mr. Lightle told her he was interested in purchasing the marina and wanted to know if the City would sell him Lot 6 or give him a long term lease. She told him that she would have to discuss the issue with Carl Bannister, the City's chief administrative officer, and the person to whom she reported. She said that Mr. Lightle wrote his name and contact information on a piece of paper, which he left with her. She said that she did not take notes of the meeting because she thought it was just a speculative inquiry of the kind she routinely fielded. She did, however, agree to speak to Mr. Bannister, after which she would respond to Mr. Lightle's inquiries. She said that she did not tell Mr. Lightle that the City would only lease Lot 6 and sublease the Water Lot to the owner of Lot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2006, Mr. Bannister initiated a project to modernize the leases and other contracts the City had in relation to the various properties it owned. The initiative also involved centralizing the administration of those leases under the auspices of Ms. Dalziel's corporate services department. As leases came up for renewal, the City attempted to have the renewed leases modernized and, to some extent, standardized and otherwise vetted to keep pace with the changing legal landscape and the City's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Dalziel testified that as a result of the March meeting with Mr. Lightle, she realized the Heraids were attempting to sell the marina, so she pulled the City's file relating to those properties. Until then, she was not familiar with the properties because the leases had been administered by another department. On reviewing the file, she learned that the Heraids had purchased the marina in 1998. She next discussed the matter with Mr. Bannister, and they decided to address it at a management committee meeting held on March 29, 2007. The upshot of all of this was that City staff (that is, Ms. Dalziel and Mr. Bannister) thought that keeping the marina operating where it was would be a good idea but that selling Lot 6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management committee meeting, Ms. Dalziel prepared a memorandum to City Council dated March 30, 2007. By it, she sought Council's approval "to negotiate a mutually satisfactory term with the prospective purchasers of Clare's Cove Marina". She reviewed for Council the history of the properties and explained that "the Heraids are in the process of selling their property and the prospective purchasers are interested in a long term lease agreement with the City". She pointed out that the Heraids' lease of Lot 6 and their sublease of the Water Lot would expire on June 30, 2008. She noted that the City's lease with the Province over the Water Lot did not expire until November 12, 2017. In addition, she explained that the purchasers wanted to purchase Lot 6 or secure a right of refusal in relation to it. She said that City staff were not in favour of doing either of those things. She did, however, recommend that the City grant a lease and a sublease to the purchasers to December 31, 2016, a term considerably longer than had been extended to previous tenants of the properties. In exchange for granting a longer term, and in order to protect the City's economic interests, she recommended that the rent escalate during the final years of the lease. She suggested that the rent be set at 3 percent of the assessed value of the property for the first eight years, then increase to 3.25 percent and eventually to 3.5 percent. The rent due in relation to the sublease was simply that which the City had to pay to the Province. In other words, the City did not make a profit on the sublease of the Water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City Council considered the matter during an in-camera portion of its regular meeting on April 10, 2007. Ms. Dalziel attended the meeting and spoke to her memorandum. Council passed a resolution authorizing City staff "to negotiate a mutually satisfactory term with the prospective purchasers of Clare's Cove Marina". Ms. Dalziel took this as her authority to arrange for the preparation of a new lease with the prospective purchasers (as opposed to simply assigning and extending the Heraids' existing leases). Because the leases were somewhat unusual, Ms. Dalziel thought it prudent to obtain legal assistance, and she retained Kathryn Stuart to provide that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Lightle testified that on April 11th, he spoke to Ms. Dalziel by telephone. He said that she told him that the City would not sell Lot 6, nor would it grant him a right of first refusal but that they would extend the leases to December 31, 2016. She did not give him an explanation for that end date and he did not ask. Ms. Dalziel could not remember speaking with Mr. Lightle at any time during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were two unusual features to the lease of Lot 6 that the Heraids had with the City. The first relates to the rent. The lease stipulated that the annual rent was 3 percent of the assessed value of the land (and hence Ms. Dalziel's recommendation to Council that future rent be calculated in a similar way). Second, it was a lease of only part of Lot 6. The portion of Lot 6 excluded from the lease was the area under which the City had a sewage lift station and to which it required access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mid-April, Ms. Dalziel sent Ms. Stuart copies of the Heraids' lease and sublease. In her instructions to Ms. Stuart, Ms. Dalziel said that the term of the leases should extend to the end of 2016 and should include a number of terms which the City wanted in order to preserve the appearance of the area and to control the use of the property. Ms. Stuart set about drafting the documents and, in the course of doing so, addressed the two unusual features of the land lease. As to the first, she recommended that the rent be a fixed amount rather than a percentage of the property's assessed value. As to the second, she pointed out a problem that arose from the Court of Appeal's decisions in </w:t>
      </w:r>
      <w:r>
        <w:rPr>
          <w:rFonts w:ascii="arial" w:eastAsia="arial" w:hAnsi="arial" w:cs="arial"/>
          <w:i/>
          <w:color w:val="000000"/>
          <w:sz w:val="20"/>
          <w:lang w:val="en-US" w:eastAsia="en-US" w:bidi="ar-SA"/>
        </w:rPr>
        <w:t>International Paper Industries Ltd. v. Top Line Industries Inc.</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20 B.C.L.R. (3d) 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Top Line Industries Ltd. v. International Paper Industries Ltd.</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[2000] 3 W.W.R. 496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Ms. Dalziel sent the Heraids' leases to Ms. Stuart, she realized that Mr. Lightle had not told her the identity of the proposed purchaser. She e-mailed Mr. Lightle seeking this information on April 18, 2007. Mr. Lightle responded later that day but only to advise that he would be working on it later. His next communication with Ms. Dalziel was an e-mail dated May 28, 2007. Ms. Dalziel did not receive this e-mail electronically until months later because Mr. Lightle had not registered himself with the City's spam e-mail filter. According to Mr. Lightle, he printed a copy of it and wrote on it in hand, "Monica please deal with my partner William," and then faxed it to her. Until she received this note, Ms. Dalziel was not aware that anyone named "William" was involved in the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Ms. Stuart gave Ms. Dalziel a number of options for addressing the problem posed by the </w:t>
      </w:r>
      <w:r>
        <w:rPr>
          <w:rFonts w:ascii="arial" w:eastAsia="arial" w:hAnsi="arial" w:cs="arial"/>
          <w:i/>
          <w:color w:val="000000"/>
          <w:sz w:val="20"/>
          <w:lang w:val="en-US" w:eastAsia="en-US" w:bidi="ar-SA"/>
        </w:rPr>
        <w:t>Top Line</w:t>
      </w:r>
      <w:r>
        <w:rPr>
          <w:rFonts w:ascii="arial" w:eastAsia="arial" w:hAnsi="arial" w:cs="arial"/>
          <w:color w:val="000000"/>
          <w:sz w:val="20"/>
          <w:lang w:val="en-US" w:eastAsia="en-US" w:bidi="ar-SA"/>
        </w:rPr>
        <w:t xml:space="preserve"> decisions. Ms. Dalziel elected to lease the entire property to the marina purchasers after reserving a statutory right-of-way in favour of the City, so that it could access its sewage lift station. Ms. Stuart then set about drafting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 to Ms. Dalziel, after she asked Mr. Lightle the name of the prospective purchaser and after she did not receive that information, she thought the proposed transaction may have been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Barbara Lightle testified that she telephoned Ms. Dalziel on June 11, 2007. She said that Ms. Dalziel told her there was no reason to be concerned about whether the leases would be extended and that she did not need anything in writing because there was no reason that the leases would not be extended. Mrs. Lightle was still concerned but said that Ms. Dalziel was convincing and appeared to have the authority to make the assurances she was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Dalziel could not remember ever speaking to Mrs. Lightle.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next interaction between the City and anyone on behalf of the plaintiffs was a meeting between Mr. MacIsaac and Ms. Dalziel on June 12, 2007. This was the first time Ms. Dalziel met Mr. MacIsaac. According to Mr. MacIsaac, Ms. Dalziel gave him a copy of her March 30, 2007 memorandum to City Council and assured him that the City would be granting him or one of his companies an extension of the leases it had with the Heraids until 2016. He testified that she repeated what she had earlier told Mr. Lightle, namely, that the City would not lease Lot 6 unless the lessee owned the adjacent Lot 7. Ms. Dalziel denies that she gave Mr. MacIsaac a copy of her memorandum to City Council, denies that she told him that he or his company had to purchase Lot 7 before the City would agree to lease Lot 6 and the Water Lot, and generally has a markedly different recollection of the substance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 to Mr. MacIsaac, it was after his meeting with Ms. Dalziel, and on the strength of her assurances that the leases would be extended and with her memorandum to City Council in hand, that he instructed Mr. Swail to increase the deposit on the proposed purchase from $10,000 to $300,000. Mr. Swail advised the Heraids' lawyer of this by letter on June 21,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By mid or late May 2007, Mr. Lightle knew that he would not be able to raise the money necessary to participate in the purchase of the marina. He told Mr. MacIsaac this and both agreed that, from that point on, it would be entirely Mr. MacIsaac's deal. Mr. Lightle continued to assist but his participation diminished over the summer of 2007, and by the end of that year, it had almost ended altogether. In 2008, he continued to sign documents that had to be signed by Jiro Adventures Ltd. because he and his wife had signing authority on behalf of this company but Mr. MacIsaac did not. On June 30, 2007, Mr. Lightle, on behalf of Jiro Adventures Ltd., formally waived the conditions precedent in the contract dealing with extensions and assignments of the Heraids' lease and sublease, and the corporate and financial records of the Heraids and their company (conditions 6(a), (c), (e) and (f)). Mr. MacIsaac was present when Mr. Lightle signed the waiver during a meeting that took place on Mr. Lightle's houseboat on Shuswap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Before Mr. Lightle bowed out of the venture, he engaged the services of Nathan Goebel and Dean Querengesser. Mr. Goebel was engaged because he was a qualified marine mechanic and was familiar with the boating community on Shuswap Lake. The plan, to the extent there was one, was that initially Mr. Goebel would do the hands-on work at the site, and once the marina was up and running, he would operate a marine mechanical business there. Mr. Querengesser is a business consultant who resides in Calgary. He had prepared a business plan for Mr. Lightle in connection with an unrelated endeavour, and Mr. Lightle knew that he also had some familiarity with the marina business. According to Mr. Lightle, Mr. Querengesser was to be the "business person" and the one who would liaise with the various officials from the interested levels of government. Mr. Querengesser did not give evidence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Goebel said that most marinas on Shuswap Lake operate from April to the end of October. Most boat owners store their boats elsewhere than on the lake during the winter months. He said that about half of the slips at Clare's Cove could not be used beyond August because of the low water level. To remedy this limitation, the lake bottom had to be dredged. Investigating this possibility was to be his responsibility. Both Mr. Goebel and Mr. MacIsaac said that Clare's Cove Marina was in poor condition. Mr. Goebel said that it was in "very rough shape". When Mr. MacIsaac examined the wharves in early 2007, he thought that they were a "mess". In fact, he thought that they were unsafe and beyond economical repair. In spite of this, both men thought that the marina had great potential. The potential was due at least in part to the fact that there was a moratorium on new moorages on the lake, and as a result, the demand for berths was very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Because he believed the marina had potential, Mr. Goebel agreed to participate. His contributions were to be in the form of labour and expertise. He did not invest any money but expected to participate in the profits of the business which he was sure would come. In 2007, he gave up the business he had been running in order to devote his energies fulltime to the marina. Initially he dealt with Mr. Lightle, but after Mr. Querengesser was hired, he became Mr. Goebel's primary contact. Among other things, Mr. Goebel prepared plans for the berths at the marina, which would bring all of the berths within the boundaries of the Water Lot. He did not have any responsibility for matters relating to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encounter of any significance between the parties was a meeting in September 2007. Ms. Dalziel and Mr. Bannister attended the meeting on behalf of the City, and Mr. Lightle and Mr. Querengesser represented the purchasers. Mr. Lightle testified that he had no memory of being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 to Mr. Bannister, the meeting was on September 24, 2007, and it was scheduled in advance. His calendar for that day shows a meeting with Clare's Cove developers for 11 a.m. in Room 257, a meeting room on the upper level of City Hall. He was sure that Mr. Lightle was at the meeting. He recalled that Mr. Lightle introduced himself and participated in the meeting. He said that he recognized Mr. Lightle through a mutual connection they have with lacrosse. Ms. Dalziel also said that Mr. Lightle was at the meeting. She recognized him from their meeting in March. I am satisfied that Mr. Lightle and Mr. Querengesser were at the meeting and that the meeting was held on September 24,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 to Ms. Dalziel, Mr. Lightle introduced Mr. Querengesser as the project manager. They then explained their revitalization and expansion plans for the marina. They said that they were interested in extending the boundaries of the Water Lot so that they could move the wharfs out into deeper water. They wanted the City to approach the Province and seek that extension, and at the same time, they wanted the City to inquire if the term of the Head Lease could be extended. Ms. Dalziel said that she had draft leases from Ms. Stuart in hand at this meeting, and she flipped through them showing them to Mr. Lightle highlighting the term, which was to the end of 2016, and the new rent structure the City was seeking. Mr. Lightle was sitting beside her at the boardroom table looking at the drafts as she did this. She did not give him a copy of the drafts because they were drafts, but she told him that they were nearing completion and, when completed, that she would send them to him. Mr. Lightle told her to send them to Mr. Querengesser, and she agreed to do that. She also agreed to approach the Province about whether it was prepared to extend the term of the lease over the Water Lot. She said that the specific clauses in the leases did not seem to be important to Messrs. Querengesser and Lightle; all they were interested in was the term and the renewal provisions. They were not even particularly interested in the amount of the rent. She said that they left their business cards which she kept. She recalled that Mr. Bannister asked that they put their plans for the development of the marina in writing, so that the City could review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Bannister said that prior to the meeting, he was not aware that anyone had purchased the marina. He had heard nothing since the inquiry in March. In fact, he testified that even after the meeting, it was not apparent to him that a deal for the purchase of the marina had been consummated. One reason he thought that was because, at the meeting, Mr. Lightle indicated he wanted the longest possible lease term. In addition, Mr. Lightle wanted to know if it was possible to create a new water lot located in front of Lot 7 and beside the existing Water Lot. He said that Mr. Querengesser and Mr. Lightle spoke about their plans for the marina, including increasing the number of berths and perhaps building a restaurant and other buildings to provide other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hearing of these plans, Mr. Bannister realized that they could not be accommodated within the existing zoning of the properties. He knew that Lot 6 and Lot 7 were zoned R-1, a residential zone, and that the Water Lot was zoned P-1, a park zone that permitted marina usage. He thought that the uses which the purchasers had in mind would require a rezoning, and he made that clear to them. He also realized that the P-1 zone required that there be one parking stall for each marina berth, and that would pose a problem for the proposed increase in the number of berths because of the limited land that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to the leases, Mr. Bannister said that they came up during the meeting. He said that Mr. Lightle asked about them and Ms. Dalziel, who had drafts with her, produced them and she and Mr. Lightle leafed through them. He said that, as far as he could recall, neither Mr. Lightle nor Mr. Querengesser raised any concerns about the drafts.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Bannister said that at the end of the meeting, he asked Mr. Querengesser and Mr. Lightle to put their plans in writing, so that the City could review and respond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Ms. Dalziel and Mr. Bannister said that Mr. MacIsaac's name was not mentioned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Following this meeting, Ms. Dalziel sought and received Mr. Bannister's approval to approach the Province about terminating the existing water lot lease and replacing it with a new lease for a term of 30 years. She then e-mailed Keith Weir, a senior land officer with the Ministry of Agriculture and Lands, Integrated Land Management Bureau. He responded in February 2008 advising that because the existing docks did not meet current environmental standards, the Province would not likely approve an extension of the lease term. If, however, the docks were upgraded, then they would consider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October 5, 2007, Mr. Querengesser sent Mr. Bannister a "letter of intend [sic] - Marina Revitalization Framework". In it, Mr. Querengesser noted the need for rezoning and said that the purchaser's preference was to obtain a lease over Lot 6 and the Water Lot both with 20 year terms. He noted the discussion about expanding the Water Lot by moving the western boundary to align with Lot 7 and extending the northern boundary further into the lake. He said that a marina site plan encompassing these particulars would be forthcoming within a week. He also set out the timeline that the developers were attempting to work within. The timeline provided for "rezoning and finalize leases - fall 2007", "business acquisition - Dec. 2007" with construction and other site work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digress to note that Mr. Querengesser's letter refers to the developer as "Jiro Ventures Ltd.", as opposed to Jiro Adventures Ltd. Jiro Ventures Ltd. is another company owned by Mr. Lightle. Nothing much turns on this, but it shows the somewhat disorganized and imprecise nature of the enterprise, something that is apparent in most other aspects of the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receiving this letter, Mr. Bannister circulated it to the various officials within the City's bureaucracy whose areas of responsibility would be engaged should the matter proceed. In particular, he sent it to Kevin Pearson, the City's planning and development officer, who was responsible for the rezoning aspects of the proposal, and Ms. Dalziel, who was addressing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Pearson wrote to Mr. Querengesser on November 14, 2007. He explained that Lot 6 was zoned R-1 and the aquatic foreshore lot was zoned P-1. He then explained that, in view of the scope of their plans, a rezoning application would be necessary. He noted that a public hearing was required prior to the City deciding whether to approve the rezoning. As to Lot 7, he wrote that it was zoned R-1 and that "if that lot is part of your future development plan, that property must also be included in your rezoning application". Further, he said that because the land was within 800 meters of the Trans Canada Highway, the provincial Ministry of Transportation would have to approve of or support the rezoning. He confirmed that access to the marina, even as it was then constituted, was substandard. The marina was accessed along 75th Avenue NE, which is a narrow dead end road that runs parallel to and north of the CP Rail line, which in turn parallels the lake shore. There is no turnaround area on 75th Avenue. Next, he pointed out the requirement for one parking space for each marina berth and expressed the view that the land the developers were proposing to acquire could not accommodate the necessary parking if additional berths were added; indeed, it was not clear that there was sufficient parking for the existing berths. Finally, he noted that the City would not likely support a commercial houseboat operation as part of the marina due to the poor access to the area and the limited parking.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Dalziel wrote to Mr. Querengesser on November 22, 2007. Both her letter and Mr. Pearson's letter were sent as attachments to an e-mail that Mr. Pearson sent to Mr. Querengesser on November 22, 2007. She confirmed that the City was not prepared to sell Lot 6. In the body of her letter, she set out the lease payments the City required and noted that the property had to be rezoned before any lease was entered into. Subject to that, however, she said that the City was prepared to enter into a lease with a term that expired on December 31, 2016, with an option to renew thereafter. The foreshore sublease would be for a similar term but would not include a renewal provision because the Head Lease did not have such a provision. Next, she pointed out that the City was not prepared to support an alteration of the boundaries of the Water Lot and that the existing wharves would have to be moved within the boundaries of the existing Water Lot. She explained that a number of different people had contacted the City on behalf of the proposed purchasers, and she wanted him to clarify who she should be communicating with. She wanted confirmation that Jiro Adventures Ltd. was the proposed lessee. Finally and significantly, she enclosed for Mr. Querengesser's review copies of the draft leases that Ms. Stuart had prepared. Even those, however, were noted to be subject to change in the event the zoning proceeded differently than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course of preparing the draft leases, Ms. Stuart suggested to Ms. Dalziel that a clause be included which would allow either party to terminate the lease prior to the expiration of its term. Ms. Dalziel agreed and such a clause was included in the draft lease and the draft subleases. The early termination clause is found in paragraph 7(n) of the lease over Lot 6 and paragraph 8(n) of the Water Lot sublease. Both are under the heading "Termination" in the miscellaneous covenants portions of the documents. The clauses read:</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either party may terminate this [Lease/Agreement] by giving one (1) year's written notice of termination and the termination shall be effective at the expiration of the one (1) 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renewal term in the draft Lot 6 lease provides that upon the expiration of the term of the lease, "the parties may mutually agree to enter into a new lease". For the reasons noted above, there was no renewal term in the sublease.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next event of significance was a meeting on November 23, 2007. In attendance at that meeting were Ms. Dalziel, Mr. Paiement and Mr. Pearson from the City, and Mr. Goebel and Mr. Querengesser from the developers. This meeting was arranged in advance and took place in the upstairs meeting room at City Hall. It was at this meeting that Ms. Dalziel first met Mr. Goebel.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According to Ms. Dalziel and Mr. Goebel, the purpose of the meeting was to review issues relating to the proposed leases and Mr. Querengesser's October 5th letter. Some of what was said at this meeting is in dispute. I will deal with it in detail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Following the November 2007 meeting, neither Mr. Bannister, Mr. Paiement, Ms. Dalziel, nor anyone else at the City heard anything further from anyone involved in this transaction until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the purchasers side, things were moving forward, although somewhat chaotically. From Mr. Goebel's perspective, the next significant event was a telephone call from Mr. Querengesser telling him he was fired. He called Mr. Lightle and Mr. MacIsaac to determine whether that was so. In January 2008, Mr. Lightle called him back and told him that he, Mr. Lightle, was no longer involved in the project and that Mr. MacIsaac would be taking over the entire transaction. Oddly, this was the first that Mr. Goebel knew of Mr. Lightle's withdrawal. In any event, Mr. Goebel then spoke with Mr. MacIsaac, who confirmed that Mr. Lightle was no longer involved. Mr. MacIsaac told him that he wanted Mr. Goebel to remain involved and that he was going to terminate Mr. Querengesser's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MacIsaac said that he did not turn his attention back to this endeavour until January 2008. At the end of that month, he terminated Mr. Querengesser and reassured Mr. Goebel. He also hired the land surveying firm of Browne Johnson to prepare a site plan for the marina as he envisioned it. A site plan dated February 6, 2008, was prepared based on rough sketches that Mr. Goebel had provided. It shows the proposed berthing configuration that the purchasers wished to construct, as well as the actual boundaries of Lot 6, Lot 7 and the Water Lot. There was a problem with this exercise because although Mr. Goebel knew the length of the Water Lot, he assumed the southern boundary was the shoreline as it stood when he prepared his plans. In fact, the Water Lot's southern boundary is about 150 feet inland from the shoreline as it stood when Mr. Goebel did his calculations. In any event, Mr. Goebel also sketched the layout of some parking stalls. He provided his drawings for the berths and the parking stalls to the surveyor who superimposed them on the survey plan. The survey also confirmed that the berths on the west side of the western wharf were all outside the boundary of the Water Lot. Based on Mr. Goebel's drawings, the survey plan showed 134 berths in what would be an expanded water lot (expanded because of the miscalculation of the location of the southern boundary) and 78 parking stalls, which included 13 stalls on Lot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Querengesser's last task was to prepare a business plan for the proposed development. The plan went through several drafts, but the last one he prepared is dated January 30, 2008, just before his services were terminated. The plan sets out a two-stage development. The first stage involved using the existing wharves containing about 80 berths for the 2008 boating season, followed in 2009 with the construction of an entirely new wharf system with the capacity to moor about 134 boats. The new wharves would be located farther off shore and accessed by an elevated causeway. The plan also called for leasing berths to boaters for terms of up to seven years. It was through these long-term leases that the purchasers hoped to recoup their investment. Neither Mr. MacIsaac nor anyone else on his behalf reviewed the Head Lease to determine if long-term leases were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February 23, 2008, Mr. MacIsaac retained John Fletcher, a lawyer practicing in Alberta, to act on his behalf in relation to the transaction, which was set to close three weeks later on March 15, 2008. The transaction was to involve a share purchase and a land transfer. The share purchase involved Willy's Wharf Inc., a company Mr. MacIsaac incorporated on February 26, 2008, purchasing the shares of Clare's Cove Marina Ltd. The land transfer of Lot 7 was to be from the Heraids to Mr. MacIsaac personally. Unknown to the City, on March 4, 2008, Jiro Adventures Ltd. assigned its interest in the purchase contract to Willy's Wharf Inc. for $410,000. Mr. and Mrs. Heraid had assigned their interests in the lease of Lot 6 and the sublease of the Water Lot to Clare's Cove Marina Ltd., and prior to the closing, the City agreed to a further assignment of the leases to Willy's Wharf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After he was retained, Mr. Fletcher spoke to Mr. Bannister and Mr. Johnson, the land surveyor, and learned several fundamental things about the proposed purchase. First, he learned that the leases which Mr. MacIsaac was going to acquire would expire in June 2008, just three months after closing. Second, he learned that Lot 6 and Lot 7 were not zoned properly for a marina. Mr. Bannister also told him that if the properties were not rezoned before the existing leases expired, the marina might have to shut down. Finally, he learned that the wharves were not all within the boundaries of the Water Lot. He did not receive any of this information from Mr. MacIsaac as far as he could recall. On learning of these things, he met with Mr. MacIsaac and explained the risks he was facing. Mr. MacIsaac was confident that he would be getting a new lease and sublease. He also realized that if Lot 6 and Lot 7 were not rezoned, he would not be able to operate a marina. Mr. Fletcher advised Mr. MacIsaac that he thought he could walk away from the transaction and would likely succeed in a suit to recover his deposit. Mr. MacIsaac elected not to do that and instead instructed Mr. Fletcher to seek a $500,000 reduction in the purchase price. Mr. Fletcher negotiated with the Heraids' solicitor, and ultimately the parties agreed to a $100,000 reduction in the share purchase price, but Mr. MacIsaac had to sign a release extending to all matters relating to zoning, the location of the wharves and assorted other issues. Mr. MacIsaac agreed to do that and the transaction closed on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Fletcher did not have a copy of the Heraid leases or the draft leases that the City had forwarded to Mr. Querengesser in November 2007. Mr. MacIsaac gave him a copy of the November 22, 2007 letter from Ms. Dalziel but not the draft leases that accompanied it. Mr. Fletcher did not know about the early termination clause until just before he testified at the trial. He knew that Mr. MacIsaac had not reviewed the financial statements for the marina.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March 6, 2008, Mr. MacIsaac submitted a rezoning application, a variance permit application, and a Development Permit Waiver Application to the City. Attached to the latter document were two things: a letter from Mr. MacIsaac to the City dated March 6, 2008, and an updated version of the business plan that Mr. Querengesser had provided to the City in January. This version is entitled "Clare's Cove Marina Revitalization Plan" and is dated March 6, 2008. On page 3 of that document, there is a list of various activities that are or will be undertaken and the stage to which they had advanced. Under a heading "Land Zoning, Commercial Permitting and Water Lot Use" is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8"/>
        <w:gridCol w:w="515"/>
        <w:gridCol w:w="237"/>
        <w:gridCol w:w="3704"/>
        <w:gridCol w:w="237"/>
        <w:gridCol w:w="411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Assist the City with zoning for the marina property and finalize commercial lease.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[Proposed Lease received]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was not until several months after the closing that Mr. MacIsaac first reviewed the draft leases and noticed the early termination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After the transaction closed, Mr. MacIsaac and Mr. Goebel began cleaning up the site. They fixed up the maintenance and storage shop on Lot 6, removed 17 dumpsters full of refuse, took down a fence that surrounded the leased lot, moved a gas station that serviced boats, repaired some of the berths, repaired and upgraded the wharves, and painted the house on Lot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application to rezone and a variance application (which was to seek relief from the off-street parking requirements) were submitted to the City. A public meeting was held on July 28, 2008, to consider the applications. Following that meeting, the rezoning bylaw passed third reading. Mr. Paiement wrote to Mr. MacIsaac on July 31, 2008, advising him of the foregoing and explaining the City's requirements before the bylaw would be given final reading. Those requirements included registration of two covenants as permitted under s. 219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removal of the storage building on Lot 6; installation of parking barriers for 76 parking stalls; and the execution of the new lease and sublease. The s. 219 covenants relate to the </w:t>
      </w:r>
      <w:r>
        <w:rPr>
          <w:rFonts w:ascii="arial" w:eastAsia="arial" w:hAnsi="arial" w:cs="arial"/>
          <w:i/>
          <w:color w:val="000000"/>
          <w:sz w:val="20"/>
          <w:lang w:val="en-US" w:eastAsia="en-US" w:bidi="ar-SA"/>
        </w:rPr>
        <w:t>Riparian Area Regulations</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Fish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21</w:t>
      </w:r>
      <w:r>
        <w:rPr>
          <w:rFonts w:ascii="arial" w:eastAsia="arial" w:hAnsi="arial" w:cs="arial"/>
          <w:color w:val="000000"/>
          <w:sz w:val="20"/>
          <w:lang w:val="en-US" w:eastAsia="en-US" w:bidi="ar-SA"/>
        </w:rPr>
        <w:t>, which the City was obliged to enforce and limitations on the uses that could be made of the lands within the P-1 zone. These conditions mirror the recommendations that City staff had given to Council before the bylaw was considered at the public meeting. A copy of them had been given to Mr. Goebel before the meeting. All of these conditions were eventually met with the exception of executing the new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Because the rezoning process would not be complete by June 30, 2008, when the Heraids' leases expired, Mr. Goebel contacted Ms. Dalziel and sought an extension. She agreed and a two-month extension was signed on July 15, 2008. It extended the lease of Lot 6 until the end of August. When the rezoning had not been completed by the end of August, a further extension was sought and granted, this time until the end of November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July 2008, Mr. MacIsaac retained Jim Downs, a lawyer practicing in Salmon Arm, to assist him with the rezoning application. In the course of that, Mr. Downs gave Mr. MacIsaac advice on the proposed leases. Based on Mr. Downs' advice, Mr. MacIsaac e-mailed Ms. Dalziel on September 30, 2008. He suggested that if the City was intent on the clause providing for termination on one year's notice, then it should be amended to require that the City reimburse him for "all capital expenditures". He also asked that consideration be given to amending the renewal clause, such that it entitled the parties to renew on the "same terms and conditions as this Lease". It was in this e-mail that Mr. MacIsaac first advised the City that the proposed tenant would be Willy's Wharf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Dalziel responded by letter on October 1, 2008, advising that the City was not prepared to make any of the changes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early 2009, Mr. MacIsaac made the first of two applications to the Integrated Land Management Bureau to solve the boundary and low water problems confronting the marina. In his first application, Mr. MacIsaac asked the Integrated Land Management Bureau to grant him an entirely new lease, one that would front on Lot 7 as opposed to the City owned Lot 6. The Bureau rejected this application out of hand because the Province had a policy of not granting any new foreshore leases. The second application was made in February 2009. By it, Mr. MacIsaac sought to expand the existing water lease in two ways: first, he wanted to move the western boundary farther west; and second, he wanted to move the northern boundary father north. The former would solve the problem of the western wharf trespassing on Crown foreshore, and the latter would solve the problem caused by the late season low water. If granted, a significant number of berths would be in deeper water and could be used all season. Further, the capacity of the marina would increase from about 72 berths to over 200. The Integrated Land Management Bureau sent Mr. MacIsaac's application to the City and sought its comments. The City considered the matter at a May 11, 2009 meeting and decided not to support the application. Mr. MacIsaac testified that when he learned of this, it was "the end of Willy's Wharf Inc. and my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were other problems in the spring of 2009. Mr. MacIsaac permitted a company known as Shuswap Shark Shack Inc., to assemble a large barge with a building on it, on Lot 6. Mr. Lightle had an interest in the Shark Shack enterprise. No permit had been obtained from the City for this construction, and as a result, it issued a stop work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March 16, 2009, Mr. Bannister wrote to Mr. MacIsaac explaining that the lease of Lot 6 and the sublease of the Water Lot had expired, as had the extensions granted the previous fall. He advised that Clare's Cove Marina Ltd. was, as far as the City was concerned, occupying the lands at the City's sufferance. He noted that several conditions necessary for the rezoning to be finalized had yet to be met. In particular, the City had yet to receive the two s. 219 covenants it required, and the marina did not have a business licence, nor had it furnished the City with proof of insurance. He demanded that Clare's Cove give up possession of the property but added that the City was prepared to discuss the leases, which had yet to be signed, once these other matters were attended to. He referenced the stop work order in 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April 20, 2009, Mr. MacIsaac e-mailed Mr. Bannister asking for an update on the rezoning and the leases. Mr. Bannister replied by letter later that day. In his correspondence, he repeated the conditions that Clare's Cove had yet to meet in order for the rezoning to be finalized and added that the marina was in arrears of the lease payments due under the extensions that had been granted the previous fall. Those arrears amounted to $16,007.25. He advised that if the conditions were met, the City was prepared to give final reading to the rezoning bylaw at its May 11, 2009 meeting. Finally, he included the final versions of the lease of Lot 6 and the sublease of the Water Lot and asked that they be signed and returned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April 2009, Mr. MacIsaac retained Reinhart Burke, a lawyer practicing in Chase and whose practice involves local government matters. Mr. MacIsaac provided him with various documents, including the proposed leases. Mr. MacIsaac told Mr. Burke that in a meeting in June 2007, the City had promised to "renew" the leases it had with the Heraids for a period to expire in 2016. The leases that Mr. Burke was provided were the leases prepared by Ms. Stuart. They were new leases as opposed to extensions and contained a variety of different terms. Most significantly, they contained the early termination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Burke arranged a meeting with Ms. Dalziel and Mr. Bannister on May 19, 2009. He said that the City representatives listened to the concerns he raised, including the issue of early termination and the fact that they were new leases as opposed to renewals of the existing leases. The City asked that he put his concerns in writing. Mr. Burke did that in two letters one dated May 20, 2009 and the other May 21, 2009. Under cover of his May 21st letter, he sent a list of proposed changes to the leases. He proposed 18 changes to the lease of Lot 6 and 23 changes to the sublease. In particular, he proposed that the early termination clauses be deleted and sought a term that entitled the tenant to a renewal of the leases for three additional 10-year terms. Further, he sent a cheque for the overdue lease payments, which Mr. Bannister had noted in his earlier letter to Mr. MacIsaac.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Bannister responded to Mr. Burke's correspondence by letter dated June 1, 2009. He addressed in detail the changes sought. As to the suggestion that the early termination clauses be deleted, he wrote: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Lease Agreement shall not be amended to delete the termination clause. This clause is for the protection of both the Landlord and the Tenant. The City is not opposed to extending this termination period to a maximum of two (2)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to the proposed renewal clauses, Mr. Bannister indicated that the existing renewal provision was adequate and nothing further would be acceptable. He also returned the lease payment cheque and enclosed a formal demand for vacant possession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Burke responded to Mr. Bannister's letter on June 26, 2009, indicating that he had instructions to commence this law suit. He filed the writ and statement of claim on July 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August 31, 2010, the plaintiffs surrendered possession of the premises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claims are based on contract, tort and the equitable doctrine of proprietary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to the contractual claim, the plaintiffs argue that on April 11, 2007, Ms. Dalziel advised Mr. Lightle that City Council had authorized an extension of the lease and sublease to December 31, 2016. They argue that she told them the terms would be similar to the lease and sublease the City had with the Heraids, except as to rent, which would be set at a specific and higher percentage of the property's assessed value. The plaintiffs argue that Mr. Lightle accepted this offer, and the result was a binding contract as between Mr. Lightle, "on behalf of the prospective purchasers" and the City. Although there were subsequent alterations to the terms of this contract, in essence from April 11, 2007, the parties had a binding contract and all that remained was to reduce it to writing. The plaintiffs argue that a disinterested but reasonable bystander would, upon being apprised of the circumstances, conclude that the parties had reached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defendant argues that no contract was ever concluded. The City argues that it made no offer either on April 11, 2007, or at any other time that was capable of being accepted. Further, the City argues that there was no consensus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on April 11, 2007, and that, on all the evidence, it is clear that there was no intention by the City to create contractual relations either on April 11, 2007, or at any time thereafter. For all of these reasons, the City argues that no enforceable contract was ever concluded between the parties. Further, they argue that if there was a contract it was not between the City and the parties to this action, with whom there was and could be no privity of contract. Finally, and in the further alternative, the defendant argues that if there was a contract, it is unenforceable due to s. 59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As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argue that the representations that Ms. Dalziel made during the meetings and otherwise between April 2007 and November 2007, to the effect that the City was prepared to either renew or grant new leases over Lot 6 and the Water Lot with terms extending to the end of December 2016, were inaccurate or untrue and were negligently made. They argue that they relied on those representations first when they increased the deposit and later when they carried out work in anticipation of the leases being granted. They say that they suffered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claim based on proprietary estoppel rests on the circumstances said to support the two causes of action just noted. The defendant denies that the circumstances support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will deal first with the claim of breach of contract, then deal with the question of negligent misrepresentation, and finally with the claim of proprietary estoppel. Before doing that, however, I will deal with the issue of credibility. For reasons that will become apparent later, credibility is not central to the resolution of all of the issues but it is important, and more important on some issues than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Of all the witnesses, it is the credibility of Mr. MacIsaac that is most seriously challenged by the defendants. They argue that in one important respect, he lied and that this lie casts a serious pall over all of his evidence. For the reasons which follow,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MacIsaac testified that at their meeting of June 12, 2007, Ms. Dalziel gave him a copy of the March 30, 2007 memorandum she had prepared for City Council's in camera consideration at their April 10, 2007 meeting. In that memorandum, she had recommended that Council authorize her to negotiate a lease with the prospective purchasers of the marina. She set out in some detail the rent structure and some of the other terms she thought important. Because it was Ms. Stuart that suggested the inclusion of an early termination clause, and because she had not yet been consulted by Ms. Dalziel, the memorandum makes no reference to such a provision. If this memorandum had been given to Mr. MacIsaac, it may support or advance his claim in both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Dalziel denied that she gave the memorandum to Mr. MacIsaac.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Bannister testified about the classification system the City uses when dealing with internal documents. Documents prepared for Council's in camera consideration are confidential. He testified that City staff takes the prohibition on disclosing such documents seriously. He referred to it as one of the "golden rules" followed by those working in local government. Further, he said that disclosure in breach of the prohibition would result in discipline ranging from a letter of warning, if the disclosure was inadvertent, to dismissal if it was done either maliciously or for some other equally unworthy motive. Ms. Dalziel said that she was aware of the policy and followed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Resolving questions of credibility involves more than an assessment of the manner in which each of the witnesses presented on the witness stand. The oft-cited remarks of O'Halloran J.A.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are apposite. He wrote at p. 356: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truth of the story of a witness in such a case must be its harmony with the preponderance of the probabilities which a practical and informed person would readily recognize as reasonable in that place and in those conditions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ought to go further and say that evidence of the witness he believes is in accordance with the preponderance of probabilities in the case and, if his view is to command confidence, also state his reasons for that conclusion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accept Ms. Dalziel's evidence on this point and in general. She impressed me as a careful and conscientious employee who took her responsibilities seriously. More importantly, her version accords with the preponderance of probabilities as they stood at the time. She knew her memorandum was confidential. She knew that to disclose would be wrong and may lead to dire consequences both for her and her employer. She did not know Mr. MacIsaac at all. In fact, the June 12, 2007 meeting was the first time she met him. Finally, what she knew of him was not likely to inspire confidence. She had not been given an answer to the basic question of the identity of the proposed lessee.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Turning to Mr. MacIsaac's evidence, he said that he was given a copy of the memorandum, and he produced a copy of it by way of proof. He testified that the copy he produced was a copy of the document that Ms. Dalziel had given to him. He said he had showed it to Mr. and Mrs. Lightle in June 2007 shortly after his meeting with Ms. Dalziel. Before doing that, however, he had made some hand written notes in the margin of the second page. He explained that he did not produce the document until well after the litigation began because he had misfiled it among some papers he kept on Mr. Lightle's houseboat. It was only much later that he found it and produced it. The document he produced is stained and has handwritten notes on the second page. The notes are not dated, but from their content, it might be inferred that they were made in the summer of 2007. It was then pointed out to Mr. MacIsaac that the copy he produced with the stains and the notes had, in fact, come from Mr. Locke's office after the litigation began. Mr. Locke is counsel for the City. He had received the March 30, 2007 memorandum from the City, and the City's copy was not stained and did not have the handwritten notes in the margin. That the document Mr. MacIsaac produced came by this route is known for certain because there was a fault in the photocopier in Mr. Locke's office, such that the copies it produced left a horizontal line near the bottom of the page. The document that Mr. MacIsaac said he received from Ms. Dalziel has the horizontal line on it. When this was pointed out to Mr. MacIsaac on cross-examination, he explained that what actually happened was that he used the document he had received during this litigation to make a copy. He put the handwritten notes on the copy so that the document would appear as it had when he claimed to have shown it to Mr. and Mrs. Lightle on the houseboat in June 2007. He did that because he wanted to be as fair as possible to them when he asked if they remembered having seen it. It is unclear to me how or why the copy he produced ended up with stains, and coloured stains at that; nor is it clear why he copied the document he says he received from Ms, Dalziel and then discarded that document. In any event, that is Mr. MacIsaac's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While this evidence may theoretically be capable of explaining how the document with the horizontal line on it ended up with stains and notes, it is utterly beyond belief. Neither Mr. nor Mrs. Lightle were asked about whether they had been shown the document at the June 2007 meeting or whether Mr. MacIsaac had asked them, after the fact, if it had been shown to them. I suspect that is because Mr. MacIsaac made up the explanation he gave as he was giving it, and once he realized the copy he claimed had come from Ms. Dalziel had come by way of the City's lawyer's office. By that time the Lightles had already given their evidence. I note that Mr. Lightle said that he remembered seeing page two of the memorandum before the litigation started, but he could not remember when or under what circumstances. He said nothing about any attempt by Mr. MacIsaac to refresh his memory. I realize the implications of this conclusion. Not only did Mr. MacIsaac not tell the truth about these events but he prepared the document, complete with stains and notes, in an effort to give credence to his account. I do not reach this conclusion lightly. I do so because the evidence does not admit of any other rational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are other aspects of Mr. MacIsaac's evidence that are troubling, albeit none as significant as the foregoing. For example, he initially pleaded that the day he met Ms. Dalziel (the meeting at which he claimed to have received the memorandum) was June 29, 2007. He sat in on Ms. Dalziel's examination for discovery and realized that she was not in the office that day and her calendar supported that. She said that the meeting was on June 12, 2007. Nothing particularly turns on this point, other than it indicates that Mr. MacIsaac did not pay particular attention to detail, a trait made plain throughout his evidence and throughout the transaction generally. What is troubling is that Mr. MacIsaac would not agree that he initially thought the meeting was later in June and only changed his account after hearing Ms. Dalziel's examination for discovery evidence and reviewing her calendar. Finally, Mr. MacIsaac's evidence about an e-mail he sent to Mr. Swail at the end of June 2007 defies belief. I will deal with that more fully later in these reasons (see para.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There is one aspect of this transaction that rests entirely on Mr. MacIsaac's oral evidence and that of Mr. Lightle. It relates to Lot 7, the lot owned by the Heraids. According to Mr. Lightle, Ms. Dalziel told him at their first and only meeting in March 2007 that the City would not lease Lot 6 or sublease the Water Lot to anyone other than the owner of Lot 7. Mr. MacIsaac said that Ms. Dalziel told him the same thing when they met in June. Ms. Dalziel denied telling either man that and said that the City did not care who owned Lot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this point I accept the evidence of Ms. Dalziel and reject that of Mr. Lightle and Mr. MacIsaac. I reach that conclusion for several reasons. First, there are no documents produced by any of the parties in this litigation that make reference to that ever being the City's policy, whether in relation to the Heraids or the plaintiffs. The City was careful to reduce to writing every other issue about which they were concerned. It is hard to imagine that such a threshold condition would never appear either in the formal leases, the less formal internal memoranda and e-mails, or in any of the correspondence with the parties. Second, there is no explanation for why the City would take such a position. On the evidence, there is no reason to doubt their assertion that it did not matter to them who owned Lot 7. Third, there is a reason why the plaintiffs purchased Lot 7, even if they may not have particularly wanted to. They needed to secure from the Heraids assignments of their lease and sublease. The City indicated that it was not prepared to deal directly with the plaintiffs on those leases, at least not before they expired, and they expired after the closing date of the transaction. It was open to the Heraids to take the position that they would not assign their leasehold interests unless the plaintiffs purchased Lot 7. The Heraids wanted out of the business entirely. From their point of view, Lot 7 was part of the business. All of this is consistent with how the plaintiffs' representative, Mr. Querengesser, referred to the acquisition in his "Marina Revitalization Framework" of October 5, 2007.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confirmed with the City of Salmon Arm, the residential property adjacent to the marina is part of our acquisition of Clare's Cove Marina, as this property has accommodated prior owners of the marina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Finally, for the reasons given above, I am unable to place any weight on Mr. MacIsaac's evidence. As for Mr. Lightle, he said the meeting with Ms. Dalziel was short, perhaps 10 minutes. Ms. Dalziel said that the meeting was not arranged in advance; rather, she was simply told that there were people at the front counter who wished to speak to her, so she went down to the counter and spoke to the Heraids and Mr. Lightle. I accept Ms. Dalziel's evidence as to how the encounter came about. I accept her evidence that she did not administer the Heraids' leases prior to the possible purchase coming to her attention, and it was at this impromptu meeting that it first came to her attention. Given the absence of any documented reference to this stipulation in any of the City's files, I would have to conclude that Ms. Dalziel was simply aware of this condition and recalled it to mind at this meeting. That does not accord with the preponderance of probabilities or with common sense. Mr. Lightle did not take notes of this meeting, nor did he ever refer to the stipulation that the City would not lease Lot 6 otherwise than to the owner of Lot 7 in any documents or other communications. Moreover, his evidence was generally vague. For all of these reasons, I am satisfied that the City did not tell anyone on behalf of the plaintiffs that they needed to purchase Lot 7 in order to obtain approval for the assignment of the leases or their later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To the extent that there are other evidentiary conflicts, I will deal with them in the context in which they arise.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plaintiffs point out that the law distinguishes between a lease and an agreement to grant a lease. The former creates an interest in land; the latter is simply a contract. In situations involving leases that, for one reason or another, the parties have not reduced to a formal written document, the issue is often cast as being whether the parties were merely negotiating with a view to reaching a contract, or whether they reached a binding contract that they planned to later reduce to writing. This issue was succinctly described by Lysyk J. in </w:t>
      </w:r>
      <w:r>
        <w:rPr>
          <w:rFonts w:ascii="arial" w:eastAsia="arial" w:hAnsi="arial" w:cs="arial"/>
          <w:i/>
          <w:color w:val="000000"/>
          <w:sz w:val="20"/>
          <w:lang w:val="en-US" w:eastAsia="en-US" w:bidi="ar-SA"/>
        </w:rPr>
        <w:t>Deshugh Estates Ltd. v. Robin's Foods Inc.</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(1998), 19 R.P.R. (3d) 40</w:t>
        </w:r>
      </w:hyperlink>
      <w:r>
        <w:rPr>
          <w:rFonts w:ascii="arial" w:eastAsia="arial" w:hAnsi="arial" w:cs="arial"/>
          <w:color w:val="000000"/>
          <w:sz w:val="20"/>
          <w:lang w:val="en-US" w:eastAsia="en-US" w:bidi="ar-SA"/>
        </w:rPr>
        <w:t xml:space="preserve"> (B.C.S.C.) at paras. 19 to 21 where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Where, as here, execution of a formal lease document is contemplated but not effected, there are two possible conclusions. Either there is a concluded agreement to lease as evidenced by the correspondence between the parties and the execution of a formal lease would simply reflect this agreement or, alternatively, the execution of the formal lease is a condition precedent to the existence of an agreement to lease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distinction between these alternative analyses is described in the following frequently quoted passage from the judgment of Parker J. in Von Hatzfeldt-Wildenburg v. Alexander, [1912] 1 Ch. 284 at pp. 288-9: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appears to be well settled by the authorities that if the documents or letters relied on as constituting a contract contemplate the execution of a further contract between the parties, it is a question of construction whether the execution of the further contract is a condition or term of the bargain or whether it is a mere expression of the desire of the parties as to the manner in which the transaction already agreed to will in fact go through. In the former case there is no enforceable contract either because the condition is unfilled or because the law does not recognize a contract to enter into a contract. In the latter case there is a binding contract and the reference to the more formal document may be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Whether the dealings between the plaintiffs and the City in the period from March 2007 to November 2007 can be characterized as giving rise to a concluded contract that only remained to be reduced to writing, or were simply negotiations that never went beyond that, is to a large extent fact-driven. For this reason, conclusions reached in other cases, based on different facts, are of limited assistance. That said, those other cases can be instructive. I will address them before turning to the facts. Before doing that, it is useful to recall the legal requirements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fundamental elements of a contract are an intention to contract or, as it is sometimes described, an intention to create legal relations. In addition, there must be an offer and acceptance containing the terms essential to the bargain supported by consideration. Further, the terms must be sufficiently certain. While courts have found contracts by which the parties agree to lease, notwithstanding that they intended to but had not reduced their agreement to writing, the question of whether an agreement has been reached often turns on whether the parties had the requisite intention or, more accurately, whether such an intention would have been manifest to a reasonable bystander. Although certainty of terms is an analytically distinct issue, vague or incomplete terms may be relevant to the issue of whether there was the requisite contractual intention. These essentials were set out by Robins J.A. in </w:t>
      </w:r>
      <w:r>
        <w:rPr>
          <w:rFonts w:ascii="arial" w:eastAsia="arial" w:hAnsi="arial" w:cs="arial"/>
          <w:i/>
          <w:color w:val="000000"/>
          <w:sz w:val="20"/>
          <w:lang w:val="en-US" w:eastAsia="en-US" w:bidi="ar-SA"/>
        </w:rPr>
        <w:t>Bawitko Investments Ltd. v. Kernels Popcorn Ltd.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(1991), 79 D.L.R. (4th) 97</w:t>
        </w:r>
      </w:hyperlink>
      <w:r>
        <w:rPr>
          <w:rFonts w:ascii="arial" w:eastAsia="arial" w:hAnsi="arial" w:cs="arial"/>
          <w:color w:val="000000"/>
          <w:sz w:val="20"/>
          <w:lang w:val="en-US" w:eastAsia="en-US" w:bidi="ar-SA"/>
        </w:rPr>
        <w:t xml:space="preserve"> (Ont. C.A.) at pp. 103-104: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matter of normal business practice, parties planning to make a formal written document the expression of their agreement, necessarily discuss and negotiate the proposed terms of the agreement before they enter into it. They frequently agree upon all of the terms to be incorporated into the intended written document before it is prepared. Their agreement may be expressed orally or by way of memorandum, by exchange of correspondence, or other informal writings. The parties may "contract to make a contract", that is to say, they may bind themselves to execute at a future date a formal written agreement containing specific terms and conditions. When they agree on all of the essential provisions to be incorporated in a formal document with the intention that their agreement shall thereupon become binding, they will have fulfilled all the requisites for the formation of a contract. The fact that a formal written document to the same effect is to be thereafter prepared and signed does not alter the binding validity of the original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when the original contract is incomplete because essential provisions intended to govern the contractual relationship have not been settled or agreed upon; or the contract is too general or uncertain to be valid in itself and is dependent on the making of a formal contract; or the understanding or intention of the parties, even if there is no uncertainty as to the terms of their agreement, is that their legal obligations are to be deferred until a formal contract has been approved and executed, the original or preliminary agreement cannot constitute an enforceable contract. In other words, in such circumstances the "contract to make a contract" is not a contract at all. The execution of the contemplated formal document is not intended only as a solemn record or memorial of an already complete and binding contract but is essential to the formation of the contract itself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Bennett J.A. quoted this passage with approval in </w:t>
      </w:r>
      <w:r>
        <w:rPr>
          <w:rFonts w:ascii="arial" w:eastAsia="arial" w:hAnsi="arial" w:cs="arial"/>
          <w:i/>
          <w:color w:val="000000"/>
          <w:sz w:val="20"/>
          <w:lang w:val="en-US" w:eastAsia="en-US" w:bidi="ar-SA"/>
        </w:rPr>
        <w:t>Hoban Construction Ltd. v. Alexander</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2012 BCCA 75</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Deshugh Estates Ltd. v. Robin's Foods Inc.</w:t>
      </w:r>
      <w:r>
        <w:rPr>
          <w:rFonts w:ascii="arial" w:eastAsia="arial" w:hAnsi="arial" w:cs="arial"/>
          <w:color w:val="000000"/>
          <w:sz w:val="20"/>
          <w:lang w:val="en-US" w:eastAsia="en-US" w:bidi="ar-SA"/>
        </w:rPr>
        <w:t xml:space="preserve"> In that case, the tenant was a donut restaurant franchisee. The landlord had a lease with an existing tenant. The landlord, through its lawyer, communicated with the franchisor's president. Through an exchange of letters, which began on the premise that the landlord would lease to the donut franchisee on the same terms as its existing lease, save for the term, the parties agreed on all the necessary terms. In fact, they reached the point where all that remained was the execution of the written documents they had agreed on. Before those documents were signed, the tenant gave notice and took the position that it was not obliged beyond a certain time. It was in this context that Lysyk J. made the observations quoted above. He set out the essential elements of a valid agreement to lease, adopting the conclusion of Thackray J. (as he then was) in </w:t>
      </w:r>
      <w:r>
        <w:rPr>
          <w:rFonts w:ascii="arial" w:eastAsia="arial" w:hAnsi="arial" w:cs="arial"/>
          <w:i/>
          <w:color w:val="000000"/>
          <w:sz w:val="20"/>
          <w:lang w:val="en-US" w:eastAsia="en-US" w:bidi="ar-SA"/>
        </w:rPr>
        <w:t>Bentall Properties Ltd. v. Zenon Environmental Inc.</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(1992), 23 R.P.R. (2d) 204</w:t>
        </w:r>
      </w:hyperlink>
      <w:r>
        <w:rPr>
          <w:rFonts w:ascii="arial" w:eastAsia="arial" w:hAnsi="arial" w:cs="arial"/>
          <w:color w:val="000000"/>
          <w:sz w:val="20"/>
          <w:lang w:val="en-US" w:eastAsia="en-US" w:bidi="ar-SA"/>
        </w:rPr>
        <w:t xml:space="preserve"> (B.C.S.C.) who, in turn, adopted the following from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4th ed., vol. 27, p. 53,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Essential terms of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terms of an agreement for a lease 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identification of the lessor and the lessee;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premises to be leased;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commencement and duration of the term;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 or other consideration to be paid.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these matters are ascertained to be offered and accepted, it is sufficient. If any other terms are mentioned by one party, these also must be unconditionally accepted by the other party in order that there may be a concluded contract. As long as the necessary terms, indicated above, have not been agreed to, or any additional term has been mentioned on one side and not unconditionally accepted on the other, the matter rests in negotiation and there is no concluded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Lysyk J. found that the parties had, through their exchange of correspondence, reached agreement not only on the essential terms but, indeed, on all the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Horse &amp; Carriage Inn Ltd. v. Baron</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(1975), 53 D.L.R. (3d) 426</w:t>
        </w:r>
      </w:hyperlink>
      <w:r>
        <w:rPr>
          <w:rFonts w:ascii="arial" w:eastAsia="arial" w:hAnsi="arial" w:cs="arial"/>
          <w:color w:val="000000"/>
          <w:sz w:val="20"/>
          <w:lang w:val="en-US" w:eastAsia="en-US" w:bidi="ar-SA"/>
        </w:rPr>
        <w:t xml:space="preserve"> (B.C.S.C.), Bouck J. concluded that the parties had reached an enforceable contract to lease. They had not only exchanged correspondence, but the landlord signed a letter containing the offer to lease indicating his acceptance. There was no issue but that they intended to be contractually bound; the issue was whether there was certainty of the essential terms. Bouck J. concluded there was, holding that to the extent the parties had not expressly agreed on the terms that are not essential, the court would imply the "usual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Square Corp. Ltd. v. Versa Services Ltd</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(1981), 34 O.R. (2d) 250</w:t>
        </w:r>
      </w:hyperlink>
      <w:r>
        <w:rPr>
          <w:rFonts w:ascii="arial" w:eastAsia="arial" w:hAnsi="arial" w:cs="arial"/>
          <w:color w:val="000000"/>
          <w:sz w:val="20"/>
          <w:lang w:val="en-US" w:eastAsia="en-US" w:bidi="ar-SA"/>
        </w:rPr>
        <w:t xml:space="preserve"> (C.A.), the issue was whether the parties had reached a binding lease agreement. The defendants argued that all they had done was agree to agree. The trial judge concluded that the parties intended to create contractual relations by their exchange of correspondence, correspondence which included the terms of the agreement and which was signed by representatives of both parties. The Court of Appeal found there was ample evidence to support that conclusion and then turned to the issue of whether there was certainty in relation to the essential terms. In doing so, the court identified as essential the same terms as those in </w:t>
      </w:r>
      <w:r>
        <w:rPr>
          <w:rFonts w:ascii="arial" w:eastAsia="arial" w:hAnsi="arial" w:cs="arial"/>
          <w:i/>
          <w:color w:val="000000"/>
          <w:sz w:val="20"/>
          <w:lang w:val="en-US" w:eastAsia="en-US" w:bidi="ar-SA"/>
        </w:rPr>
        <w:t>Bentall Properties Ltd. v. Zenon Environmental Inc.</w:t>
      </w:r>
      <w:r>
        <w:rPr>
          <w:rFonts w:ascii="arial" w:eastAsia="arial" w:hAnsi="arial" w:cs="arial"/>
          <w:color w:val="000000"/>
          <w:sz w:val="20"/>
          <w:lang w:val="en-US" w:eastAsia="en-US" w:bidi="ar-SA"/>
        </w:rPr>
        <w:t xml:space="preserve"> The plaintiff also makes reference to </w:t>
      </w:r>
      <w:r>
        <w:rPr>
          <w:rFonts w:ascii="arial" w:eastAsia="arial" w:hAnsi="arial" w:cs="arial"/>
          <w:i/>
          <w:color w:val="000000"/>
          <w:sz w:val="20"/>
          <w:lang w:val="en-US" w:eastAsia="en-US" w:bidi="ar-SA"/>
        </w:rPr>
        <w:t>Baywest Properties Ltd. v. Stratheden Properties Limited</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[1992] B.C.J. No. 2573</w:t>
        </w:r>
      </w:hyperlink>
      <w:r>
        <w:rPr>
          <w:rFonts w:ascii="arial" w:eastAsia="arial" w:hAnsi="arial" w:cs="arial"/>
          <w:color w:val="000000"/>
          <w:sz w:val="20"/>
          <w:lang w:val="en-US" w:eastAsia="en-US" w:bidi="ar-SA"/>
        </w:rPr>
        <w:t xml:space="preserve"> (13 November 1992), Vancouver CA013410 (B.C.C.A.). This case simply restates the proposition that an agreement to lease is a valid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plead that on April 11, 2007, Mr. Lightle spoke with Ms. Dalziel. Further, they plead that, during that conversation, she said to him that City Council had authorized an extension of the lease and sublease to December 31, 2016, "on the same or similar terms" as the existing Heraid leases, except that the rent would increase from 3 percent of the assessed value to 3.5 percent of the assessed value. Mr. Lightle agreed to this, and all that remained was for the City to have their lawyers draft the renewal lease and sublease for later execution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Turning to the evidence, Mr. Lightle testified that he telephoned Ms. Dalziel on April 11th. April 11th was the day after the Council meeting at which the issue of the possible sale of the marina had been addressed. On examination-in-chief, he said that she told him the City would not sell Lot 6, nor was it prepared to grant him a right of first refusal. He said that she told him that the City would extend the leases until December 2016. On cross-examination, however, he agreed that Ms. Dalziel said that the City had authorized the "negotiation" of leases to 2016 and that the City's lawyers were going to draft them. He understood that he would have an opportunity to review the drafts before signing, and he agreed that he would be free to not sign them if, after that review, they did not meet with his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Dalziel did not remember speaking to Mr. Lightle on April 11, 2007. She said that if she did, she certainly did not intend to bind the City to new leases or extensions of the existing leases. Her conduct and what she knew as of April 11, 2007, supports her assertion. In general, she said that she knew that as a matter of policy, the City did not enter into oral leases, and she would not presume to do that on the City's behalf. She knew there were statutory requirements that had to be met before such an agreement could be reached. Second, she said that she would not have agreed to extend the Heraid leases (as opposed to insisting on new leases) because she knew there were legal problems with those leases. She knew that because she had spoken to Ms. Stuart that very day, and Ms. Stuart noted those problems. Third, she had begun the process of having new leases drawn in furtherance of Mr. Bannister's initiative to modernize and standardize them, and she did not know what the end product would consist of. Finally, she did not even know who the proposed tenant was going to be. She agreed on cross-examination that if she did speak to Mr. Lightle in April, it was likely she would have told him the lease rates that had been approved by City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am satisfied that there was a telephone conversation between Ms. Dalziel and Mr. Lightle on April 11, 2007. I appreciate that it is manifest intention that is important as opposed to what a particular witness actually intended. Nevertheless, given what Ms. Dalziel knew, it is unlikely she would have said anything that a reasonable bystander would have interpreted as binding the City to a contract with someone whose identity was not yet known. I am satisfied that Ms. Dalziel told Mr. Lightle the results of the Council meeting held the day before. She may even have conveyed the details relating to the rent. She and Mr. Lightle did not, however, reach a binding agreement to lease. Mr. Lightle himself took from the conversation that formal lease documents were in the works; that once prepared, he would have an opportunity to review them; and if they did not meet with his approval, he would be free not to sign them. His recollection of the gist of the conversation is therefore consistent with what Ms. Dalziel thinks she would have conveyed to him. In sum, a reasonable disinterested observer would not conclude that the parties intended to create legal relations, even assuming there was certainty of the essential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next event of significance is a telephone call that Mrs. Lightle claims she had with Ms. Dalziel on June 11, 2007. For the reasons given below in the context of the claim of negligent misrepresentation, I am not satisfied there was a conversation between Mrs. Lightle and Ms. Dalziel on June 11, 2007, or any 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next event of significance is the meeting of June 12th. As noted above, I reject Mr. MacIsaac's contention that Ms. Dalziel gave him a copy of her March 30, 2007 memorandum to City Council at this meeting. Further, I reject his evidence that she told him that the City would only lease Lot 6 and the foreshore lot to the owner of Lot 7. Mr. MacIsaac also testified that at this meeting, Ms. Dalziel assured him that the City would grant him or one of his companies an extension of the leases it had with the Heraids until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Dalziel recalled meeting with Mr. MacIsaac in or about June of 2007. She said that it was a brief meeting. She said that he arrived at City Hall without an appointment and asked to speak with her. She met him at the counter in the foyer of City Hall. This was her first meeting with Mr. MacIsaac and the first time she had even heard his name mentioned in relation to this transaction. Either he gave her or she retrieved the May 28th e-mail from Mr. Lightle on which he had written a brief note of introduction. She recalled that Mr. MacIsaac said he was Mr. Lightle's partner and planned to purchase the marina and dredge the area around it. She said that he was interested in leasing the Water Lot and Lot 6 from the City. She said that there was no discussion about extending the existing Heraid leases; rather, she was asked about the possibility of new leases, and she told him that the City's lawyers were preparing draft leases. She said that he asked about the term and whether there would be a renewal clause. She told him that the head lease on the Water Lot expired in 2016, and thus the City could not sublease for longer than that. She said that there was no renewal clause in the Head Lease and so the City would not agree to a sublease that had a renewal clause. She did not recall telling him that the City would lease Lot 6 to him for a term that expired in 2016. There was no discussion about the purchasers' future plans for the marina or about the details of the purchase itself. Ms. Dalziel said that she expected that once the drafts were finished, they would be sent out to Mr. Lightle or Mr. MacIsaac and there would follow a period of negotiation which, if successful, would lead to the parties entering into leases. She said that she did not intend to bind the City to a lease, never mind one extending to 2016, and did not think that anything she said could have been taken that way. I accept that the meeting happened as Ms. Dalziel described. I accept that Mr. MacIsaac likely asked about the term of the possible new leases and that Ms. Dalziel likely told him that the City was prepared to consider a term that extended until the end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argue that by the end of the meeting of June 12, 2007, if not before, they had reached a binding agreement with the City, whereby the City had agreed to grant them a lease and a sublease extending to 2016. This argument fails for two related reasons. First, a reasonable bystander would not conclude that the parties intended to enter into legal relations with one another at that point. Second, there was no consensus on a fundamental and essential term of the putative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to the issue of whether an officious bystander would conclude that the parties, by their words and/or conduct, intended to create a legally binding agreement, several things are of note. Prior to the June 12th meeting, there had been virtually no written communication exchanged between the parties, no correspondence from a lawyer or anyone else on behalf of the plaintiffs. There had not even been a letter of introduction, nor had there been any confirmatory correspondence. Even after the June 12th meeting, all Ms. Dalziel had was the hand-delivered or faxed copy of the May 28th e-mail with a handwritten note on it. Of course, there is no requirement that correspondence be exchanged between contracting parties, but its complete absence (especially as between parties who are strangers to one another) is telling. Even the meetings that did take place had a distinctly informal and ad hoc quality. Neither the March 2007 nor the June 12, 2007 meeting was arranged in advance. Both came about simply when either Mr. Lightle or Mr. MacIsaac showed up at City Hall. Further, this was not a straightforward transaction. It involved a municipal government, the provincial government, the lease of a lakeshore lot, and the sublease of an aquatic lot. Finally, the identity of the actual purchasers had not been settled. These circumstances stand in marked contrast to those in the authorities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While uncertainty is not necessarily the antithesis of an intention to create legal relations, the two concepts can be related. Even with the requisite intention, to be valid, a contract must have certainty of the essential terms. The identity of the lessee is an essential term of a lease and an agreement to lease. Mr. Lightle did not tell Ms. Dalziel who the lessee was going to be in March. She sent him an e-mail on April 18, 2007, asking that he do so. The e-mail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Could you please provide me with the name and address of the Company or individual that the City of Salmon Arm will lease the property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response she received was the May 28, 2007 hand-delivered e-mail, which she received on June 12th. The response reads in full: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Monica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been back and forth with this Marina. We will be purchasing it but at this point we have not named the company that the Marina will be held in. Can we do the lease in my personal name for now and then transfer it to the company at a future date? The lease agreement is obviously a very important part of this deal. Without a lease we don't have a business. We will be putting a substantial amount of deposit down in the next few days and would feel more comfortable with a lease agreement in place. Than [sic] you Monica in advance for all your help in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Cheers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This e-mail confirms that the identity of the lessee had yet to be determined. There is no evidence that Ms. Dalziel or anyone else on behalf of the City ever accepted the offer to have the lease in Mr. Lightle's name personally with or without the ability to later transfer or assign it. The matter was simply left unresolved. It may be that the City would have agreed to Mr. Lightle's proposal, but unless and until it did, there was uncertainty with respect to one of the essential terms of an agreement to lease, namely, the identity of the lessee.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plaintiffs liken this situation to the landlord who agrees to a lease with a known tenant or a nominee of the tenant. In support, they cite </w:t>
      </w:r>
      <w:r>
        <w:rPr>
          <w:rFonts w:ascii="arial" w:eastAsia="arial" w:hAnsi="arial" w:cs="arial"/>
          <w:i/>
          <w:color w:val="000000"/>
          <w:sz w:val="20"/>
          <w:lang w:val="en-US" w:eastAsia="en-US" w:bidi="ar-SA"/>
        </w:rPr>
        <w:t>Hotel St. John's Ltd. v. Parsons et al</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(1978), 19 Nfld. &amp; P.E.I.R. 386</w:t>
        </w:r>
      </w:hyperlink>
      <w:r>
        <w:rPr>
          <w:rFonts w:ascii="arial" w:eastAsia="arial" w:hAnsi="arial" w:cs="arial"/>
          <w:color w:val="000000"/>
          <w:sz w:val="20"/>
          <w:lang w:val="en-US" w:eastAsia="en-US" w:bidi="ar-SA"/>
        </w:rPr>
        <w:t xml:space="preserve"> (Nfld.Dist.Ct.) and the </w:t>
      </w:r>
      <w:r>
        <w:rPr>
          <w:rFonts w:ascii="arial" w:eastAsia="arial" w:hAnsi="arial" w:cs="arial"/>
          <w:i/>
          <w:color w:val="000000"/>
          <w:sz w:val="20"/>
          <w:lang w:val="en-US" w:eastAsia="en-US" w:bidi="ar-SA"/>
        </w:rPr>
        <w:t>Canada Square</w:t>
      </w:r>
      <w:r>
        <w:rPr>
          <w:rFonts w:ascii="arial" w:eastAsia="arial" w:hAnsi="arial" w:cs="arial"/>
          <w:color w:val="000000"/>
          <w:sz w:val="20"/>
          <w:lang w:val="en-US" w:eastAsia="en-US" w:bidi="ar-SA"/>
        </w:rPr>
        <w:t xml:space="preserve"> decision. Neither of these cases assists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Hotel St. John's</w:t>
      </w:r>
      <w:r>
        <w:rPr>
          <w:rFonts w:ascii="arial" w:eastAsia="arial" w:hAnsi="arial" w:cs="arial"/>
          <w:color w:val="000000"/>
          <w:sz w:val="20"/>
          <w:lang w:val="en-US" w:eastAsia="en-US" w:bidi="ar-SA"/>
        </w:rPr>
        <w:t>, the plaintiff had agreed to lease premises to the defendants. The arrangement was that the defendants would be incorporating a company with a specific name and a specific share structure. The plaintiff landlord agreed to lease to that company provided the personal defendants guaranteed the first 18 months of the three-year term. The personal defendants agreed to do that through an exchange of correspondence between the parties' lawyers. The defendants went into possession and paid the rent for the next two years. Although the tenant company was incorporated, no lease was ever executed. The defendants vacated the premises and the landlord sued for the rent due under the remainder of the term of the lease. The issue did not turn directly on the identity of the tenant but rather on whether the personal defendants were liable for the entire term of the lease, given that they entered into it on behalf of a company that did not then exist. The court held that the company was not bound but the personal defendants were. The situation at hand is markedly different. Here, no one ever accepted any offer to lease, assuming there was an offer capable of being accepted, and that is a critical failing.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Square</w:t>
      </w:r>
      <w:r>
        <w:rPr>
          <w:rFonts w:ascii="arial" w:eastAsia="arial" w:hAnsi="arial" w:cs="arial"/>
          <w:color w:val="000000"/>
          <w:sz w:val="20"/>
          <w:lang w:val="en-US" w:eastAsia="en-US" w:bidi="ar-SA"/>
        </w:rPr>
        <w:t>, one of the issues at trial involved whether the fact that the landlord may have assigned its interest in an agreement to lease without the consent of the tenant vitiated the agreement. The trial judge dismissed that argument as did the Ontario Court of Appeal. There was no uncertainty as to the identity of the parties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This issue is brought into sharp relief by the defendant who argues that if there was a binding contract by the summer of 2007 and if it were breached, who would the City sue? The answer, it seems to me, is no one because the tenant had yet to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the context of leases, and the question of whether the parties have reached a binding agreement, the issue is often framed as being whether the parties reached an agreement or were merely negotiating. Sometimes assistance on this issue can be found in the parties' subsequent conduct, that is, conduct subsequent to the putative contract. As G.H.L. Fridman put it in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5th ed. (Thomson Carswell, 2006) at p.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inward intent will not suffice. But how does the law determine the existence and nature of a party's intent? ... the requisite agreement may be established by the conduct of the parties subsequent to the alleged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Here, the evidence of subsequent conduct reinforces the conclusion noted above. As to the plaintiffs' conduct, the various short and long-term plans it sent to the City are telling. In the October 5, 2007, "Marina Revitalization Framework", Mr. Querengesser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Our preference is to establish a land lease and Water Lot sub-lease with a 20-year term and option to renew for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Discussions with the City revealed an opportunity for an entirely new City Water Lot head lease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Finally, he noted that among the many things yet to be done was "rezoning and finalize leases". He indicated that the time those matters would be addressed was the fall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the November 19, 2007 "Canoe Marina - Revitalization Plan", the fact that the situation remained very much in the negotiation stage is, if anything, even clearer. Mr. Querengesser wrote that the plaintiffs' goal was to "advance toward securing a commercial lease with a preferred 20-year term". While securing a 20-year term does not necessarily mean that the plaintiffs did not already have an agreement to lease to 2016, there is no mention of an agreement in this document. Among the "targets and milestones", the plaintiffs were working towards was a "land use lease" and a "Water Lot Sub-lease", both of which they expected to conclude by the first quarter of 2008. In the March 6, 2008 iteration of this document which accompanied the variance permit application, Willy's Wharf Inc., on whose behalf the document was submitted, outlined some of the activities to be completed, including as noted above: ' Assist the City with zoning for the marina property and finalize commercial lease. [Proposed Lease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Finally in his May 28, 2008 submission to the City entitled "Willy's Wharf Long Term Plan", Mr. MacIsaac wrote that his plan was to "get our lease renewed with the city ..." He then outlined all the things he hoped to accomplish but noted that it "all depends upon lease and permit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is no reference in any of these documents to an existing agreement with the City to lease the properties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to the City's subsequent conduct, it proceeded entirely in accordance with Ms. Dalziel's understanding of the situation. She instructed the City solicitors to prepare new leases. She said nothing to Ms. Stuart that hinted that she thought she had agreed to extend the existing leases or had committed to any particular terms in a new lease. In fact, in Ms. Stuart's letter of September 13, 2007, to Ms. Dalziel, she closed by writing that if Jiro Adventures Ltd.'s solicitors wished to negotiate, they were welcome to contact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September 24, 2007, Ms. Dalziel and Mr. Bannister met with Mr. Querengesser and Mr. Lightle in a meeting room at City Hall. Both Ms. Dalziel and Mr. Bannister testified, and I accept, that Ms. Dalziel had the draft leases she had received from Ms. Stuart with her, and she leafed through them with Mr. Querengesser and Mr. Lightle. While neither examined them closely, it was obvious that they were entirely new leases and not extensions of the Heraid leases. Neither expressed surprise or commented on that circumstance either then or at anytime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final aspect of the City's conduct is Ms. Dalziel's letter of November 22, 2007, and the meeting the next day. The letter was e-mailed to Mr. Querengesser on November 22, 2007, the day before the meeting between representatives of the plaintiffs and the City. Mr. MacIsaac said that he could not remember if he received this e-mail and the enclosures prior to January 2008. Whether he did or not, the e-mail was sent to the e-mail account that Mr. Querengesser had set up and which he had asked the City to use. The account was password protected such that those who had the password could access it. Mr. Goebel had the password and so did Mr. Lightle. I am satisfied Mr. MacIsaac had or could have had it if he wished. The purpose of setting up this e-mail account was so that all involved in the transaction from the plaintiffs' side could see communications and documents being exchanged by and with others. In any case, Mr. Querengesser was Mr. MacIsaac's agent, and what he knew, Mr. MacIsaac knew. In that letter, Ms. Dalziel made several references to the "draft" leases. She noted that they were subject to change if changes were necessary as a result of the rezoning process, which was then being contemplated but had not yet been formally commenced. She did not mention the early termination clause, but she asked Mr. Querengesser to "review" the documents. It was not until 10 months later, and specifically on September 30, 2008, that anyone on behalf of the plaintiffs indicated to Ms. Dalziel, or anyone else from the City, that they were not prepared to agree to the early termination clause. In the meantime, the plaintiffs had completed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to the meeting of November 23, 2007, the plaintiffs point to it as confirmation of the existence of an agreement to lease. In attendance at that meeting were Ms. Dalziel, Mr. Paiement and Mr. Pearson from the City, and Mr. Goebel and Mr. Querengesser from the developers. Mr. Goebel said that while Ms. Dalziel was there at the outset, she stayed just long enough to inform Mr. Querengesser that the City would not bow out of their lease over the Water Lot which, had the City agreed to do so, would have allowed the purchasers to deal directly with the Province. Mr. Goebel said that Ms. Dalziel assured them that they would have an extension of the leases to 2016 under the same terms and conditions as the Heraids' leases. Mr. Goebel took notes during the meeting, but his notes do not record who was present and have only a passing reference to the leases and no reference to any representation about the terms of those leases. None of this is surprising given that his responsibilities did not include anything to do with the proposed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Goebel recalled that the City advised that they required one parking stall per boat slip and that the parking facilities would have to be upgraded with curbs and gutters. He said that the City explained that they had a statutory right-of-way over the area above the sewer lift equipment and that the purchasers would not be allowed to build in that area. He noted that the City wanted a site plan and explained the zoning process. He said the meeting was very brief, less than half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According to Ms. Dalziel, the purpose of the meeting was to review issues relating to the leases and Mr. Querengesser's October 5th letter. She said that she stayed for the entire meeting. She said that they discussed the developers' revitalization and expansion plans and the rezoning requirements. The subject of the leases only came up at the very end of the meeting, and according to her recollection, no one raised any concerns about the drafts she had sent out the day before. She said she did not say during that meeting, or at any other time, that the purchasers would be getting leases in precisely the same terms as the Heraids, except as to rent and term. From the outset, it had been her intention to have the leases redrawn in furtherance of the initiative that Mr. Bannister had begun, and redrawn leases had been sent out by her before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Paiement also took notes of the November 23, 2007 meeting. Although his notes are dated November 22, 2007, he said that they may be a combination of agenda items he wanted to discuss and a running record of that which was eventually discussed. From his perspective, the purpose of the meeting was to review the proposal for the marina and discuss land use issues. He recalled that Ms. Dalziel addressed the leases, but because the leases were not his area of responsibility, he did not pay particular attention to that aspect of the discussion. They did discuss rezoning and he did participate in that discussion, the upshot of which was that the purchasers would be proceeding with an application to rezone. An application was eventually submitted on March 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upshot of all of this is that Ms. Dalziel, who was responsible for the leases on behalf of the City, denied that she gave any assurance that the City would extend the leases on the same terms as the Heraid leases. Mr. Goebel, who had no responsibility for leases on behalf of the plaintiffs, recalled that she made such an assurance. I find that Ms. Dalziel did not make any such assurance. First, as noted above, I accept her evidence. Second, she had sent a letter by e-mail just the day before with the draft leases attached. Those leases are not on the same terms as the Heraid leases. It would not make sense for her to suggest otherwise. Third, Mr. Goebel had no responsibility for leases on behalf of the purchaser. He made no note of any such assurance. To recall with such certainty what was said at one of several meetings with the City and Ms. Dalziel over four years before, about a matter he did not have a particular interest in, is odd. He may believe it now but if so, he is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Two other matters can be significant in resolving the question of whether the parties have reached a binding contract. In the context of leasehold interests, they are whether the tenant has gone into possession and paid rent in an amount consistent with the putative contract and whether either party has expended money on the basis that there was an underlying contract. The plaintiffs argue that both of these things support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Horse &amp; Carriage Inn</w:t>
      </w:r>
      <w:r>
        <w:rPr>
          <w:rFonts w:ascii="arial" w:eastAsia="arial" w:hAnsi="arial" w:cs="arial"/>
          <w:color w:val="000000"/>
          <w:sz w:val="20"/>
          <w:lang w:val="en-US" w:eastAsia="en-US" w:bidi="ar-SA"/>
        </w:rPr>
        <w:t xml:space="preserve">, the tenant had taken possession of the premises, paid rent which was accepted by the landlord, and remodeled the building that was the subject of the agreement. The remodeling was done with at least the tacit approval of the landlord. All of these things supported the view that the parties had an agreement, and while it remained to be reduced to writing, that was a mere formality and not a precondition to a binding contract (para. 44). In </w:t>
      </w:r>
      <w:r>
        <w:rPr>
          <w:rFonts w:ascii="arial" w:eastAsia="arial" w:hAnsi="arial" w:cs="arial"/>
          <w:i/>
          <w:color w:val="000000"/>
          <w:sz w:val="20"/>
          <w:lang w:val="en-US" w:eastAsia="en-US" w:bidi="ar-SA"/>
        </w:rPr>
        <w:t>Truscan Property Corporation v. Verigin</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2000 BCSC 752</w:t>
        </w:r>
      </w:hyperlink>
      <w:r>
        <w:rPr>
          <w:rFonts w:ascii="arial" w:eastAsia="arial" w:hAnsi="arial" w:cs="arial"/>
          <w:color w:val="000000"/>
          <w:sz w:val="20"/>
          <w:lang w:val="en-US" w:eastAsia="en-US" w:bidi="ar-SA"/>
        </w:rPr>
        <w:t xml:space="preserve">, the dispute was over whether the tenant was to be a company or the company's principal. Harvey J. simply noted at para. 13, citing </w:t>
      </w:r>
      <w:r>
        <w:rPr>
          <w:rFonts w:ascii="arial" w:eastAsia="arial" w:hAnsi="arial" w:cs="arial"/>
          <w:i/>
          <w:color w:val="000000"/>
          <w:sz w:val="20"/>
          <w:lang w:val="en-US" w:eastAsia="en-US" w:bidi="ar-SA"/>
        </w:rPr>
        <w:t>Horse &amp; Carriage</w:t>
      </w:r>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 It is common ground that an executed agreement to lease, coupled with the tenant's possession of the premise, can constitute a lease without execution of a formal lease agreement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argue that they were in possession by December 2008 "under the promised leases", and they paid rent (based on the rental rates that were to apply under the new leases) from December 2009 to December 2010, a period of 13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do not find either of these circumstances probative of the issue of whether there was a binding agreement to lease. From December 2008 until the expiration of the Heraid leases, the plaintiffs' possession of the premises was, initially, at the invitation of the Heraids and, latterly, as an assignee of the Heraids' leases. The Heraids had notified the City in writing on June 12, 2007, that they were willing to assign their interests in the two leases "in the event that this property sale is completed". The first that Ms. Dalziel knew that the Heraids had actually assigned their interest in the leases was when she received Mr. Downs' letter of April 7, 2008, in which he enclosed the assignments dated March 25, 2008. Mr. Bannister had signed those assignments on behalf of the City. From that point onwards, the plaintiffs were in possession under the assignment of the existing leases and paying rent as required by those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If there was any doubt about the basis upon which the plaintiffs were in possession, it was removed in late June. On June 23, 2008, Mr. Goebel contacted Ms. Dalziel expressing concern that, as of the end of the month, "they" would not have a lease. He told her that they wished to continue to occupy the premises. After speaking to Mr. Bannister, Ms. Dalziel agreed to extend the Heraid leases for two months, that is, until August 31, 2008, for rent of $1,670 for Lot 6 and $585 for the aquatic lot. The rent on Lot 6 is the rent that the City was proposing to charge under the new leases, drafts of which it had provided in November 2007. The rent on the Water Lot was unchanged. All of this was set out in a letter dated June 27, 2008, from Ms. Dalziel to Mr. MacIsaac. She referenced her earlier meeting with Mr. Goebel and asked that if the terms of the extension were satisfactory, Mr. MacIsaac was to sign and return a copy of the letter. Mr. MacIsaac did that on July 15,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Two aspects of this development are significant. First, the plaintiffs thought that they were in possession under the assignment of the Heraid leases. It was the immanent expiration of those leases that prompted Mr. Goebel's visit to Ms. Dalziel. Second, their continued occupation of the premises was to be pursuant to extensions of those leases, albeit at an increased rent and a rent that all expected would apply once new leases were in place. Thus, it seems to me that their occupation of the premises was not indicative of a belief that they had an agreement to lease. To the contrary the plaintiffs were of the view that the Heraid leases continued to govern their relationship with the City. In her letter, Ms. Dalziel made reference to the new leases, the ones she had sent to Mr. Querengesser the previous November. She noted that they had yet to be reviewed and that their final form would depend on that anticipated review and the results of the rezoning process which was then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to the draft leases that Ms. Dalziel forwarded to the plaintiffs under cover of her letter of November 22, 2007, the plaintiffs make two general submissions. First, they advance a number of arguments based on the contention that the parties had already reached a binding agreement to lease. Second, they argue that even in the absence of a binding agreement to lease, there are consequences to the letter and the City's subsequent insistence on an early termination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to the former arguments, I agree that the introduction of a clause that allowed either party to terminate the lease on one year's notice (or as later proposed, two years' notice), a clause that could be invoked for any reason at all, is inconsistent with a lease of eight or nine years, or a lease of any term greater than one or two years. I also agree that Ms. Dalziel did not seem to appreciate that fact. She thought that the clause was necessary "as a last resort" to protect either party in the event one or the other wished to terminate the relationship. I do not doubt that Ms. Dalziel viewed the clause that way, but that is not what the clause provides. It provides that it could be invoked at any time and for any reason or no reason. By virtue of that, the term of the plaintiffs' tenure would have been entirely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a matter of contract, however, because I have concluded that no binding agreement to lease existed prior to November 22, 2007, it was open to the City to propose any terms it wished, and it was open to the plaintiffs to accept those terms or not as they saw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note that the plaintiffs argue that by proposing leases with an early termination clause, Ms. Dalziel was exceeding the authority the City had given her by its resolution of April 10, 2007. I do not think that is so, but even if it were, it is of no consequence for two reasons. First, the City later endorsed the drafts and, second, what Ms. Dalziel's authority was with the City was not significant. She was the City's agent and had the authority to negotiate a lease. If the City wished to curtail her authority or attempted to disavow the consequences of what she did, that is another matter and not one relevant to the issues between these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Next the plaintiffs argue that even if there was no agreement as of November 2007, there was an agreement later perhaps by March 6, 2008. To the extent that is so, then the terms of that agreement need to be proven, and if those terms are inconsistent with an early termination clause, then the latter clause should be ignored because it was not accepted by the plaintiffs and is inconsistent with the terms that were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These submissions raise the issue of whether an agreement to lease was concluded by or shortly after the time the plaintiffs completed their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noted earlier, Mr. MacIsaac retained Mr. Fletcher shortly before the closing date. Mr. Fletcher spoke with Mr. Bannister on March 8th. He was on a speaker phone in his office and Mr. MacIsaac was present with him. During the conversation, Mr. Fletcher asked whether the City would consent to the assignment of the Heraids leases. Mr. Bannister agreed and made it clear that the City would not be entering into new leases until the rezoning issue was resolved. Mr. Fletcher prepared the assignments of the Heraids' leases to Clare's Cove Marina Ltd. (although he did not have, and had never seen, the leases themselves). He learned from Mr. Bannister that those leases were about to expire, and he realized that the rezoning issue might not be resolved by the time they did. Mr. Fletcher recognized that there was a risk that Mr. MacIsaac would not get leases after the Heraid leases expired. He explained to that to Mr. MacIsaac, but Mr. MacIsaac explained that he did not think that was going to be a problem. That was how the matter was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Following his discussion with Mr. Bannister, Mr. Fletcher met with Mr. MacIsaac, who instructed him to negotiate a reduction in the purchase price because of the zoning issue. He did that and eventually a reduction of $100,000 was settled upon in exchange for the plaintiffs providing a release of all claims as against the Heraids.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Fletcher had copies of Ms. Dalziel's November 22, 2007 and Mr. Pearson's November 14, 2007 letters prior to his conversation with Mr. Bannister. Those documents had been sent to him at his request by the City attached to an e-mail dated March 5, 2008. In that e-mail, Ms. Cadotte, the City employee who forwarded the documents, explained that while she was forwarding the letters, she was not forwarding the draft leases because they were lengthy, and she assumed from Mr. Fletcher's comments to her that he had copies. She was never disabused of this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retrospect, Mr. Fletcher said that he would have preferred to have had the draft leases that Ms. Dalziel referenced in her letter before the transaction closed. One reason they were not a particular concern to him was that, based on his instructions and his conversations with the City and Mr. MacIsaac, the drafts were just that, drafts. They were going to be the subject of further negotiation, and he planned to refer Mr. MacIsaac to a lawyer in Salmon Arm to deal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There is nothing in the conversations between Mr. Fletcher and Mr. Bannister that supports the conclusion that the plaintiffs and the City reached an agreement to lease. If anything, those exchanges underline and reinforce the fact that there was no agreement to lease and that there might not ever be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A.L. Sott Financial (FIR) Inc. v. PDF Training Inc.</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2008 BCCA 35</w:t>
        </w:r>
      </w:hyperlink>
      <w:r>
        <w:rPr>
          <w:rFonts w:ascii="arial" w:eastAsia="arial" w:hAnsi="arial" w:cs="arial"/>
          <w:color w:val="000000"/>
          <w:sz w:val="20"/>
          <w:lang w:val="en-US" w:eastAsia="en-US" w:bidi="ar-SA"/>
        </w:rPr>
        <w:t>. At issue in that case was a claim by the landlord for rent it maintained was due under an agreement to lease. Among the various issues in the case was whether the parties had reached a binding agreement to lease. That issue turned, in part, on whether there was certainty in relation to rent. The parties agreed on the rent, but when the landlord sent the formal lease to the tenant for execution, it included a management fee. The offer to lease, which formed the basis of the agreement to lease, contained a sentence which allowed for the inclusion of a management fee based on a percentage of the rent, but the percentage was left blank. Neilson J. (as she then was) held that the management fee was part of the rent but that the terms were certain because the parties had agreed that there would be no management fee, that is, that the clause had been left blank on purpose. In the result, the agreement to lease was proven. She held that the landlord fundamentally breached the agreement by refusing to provide or agree to a lease that did not include a management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plaintiffs liken their situation to that of the defendant in </w:t>
      </w:r>
      <w:r>
        <w:rPr>
          <w:rFonts w:ascii="arial" w:eastAsia="arial" w:hAnsi="arial" w:cs="arial"/>
          <w:i/>
          <w:color w:val="000000"/>
          <w:sz w:val="20"/>
          <w:lang w:val="en-US" w:eastAsia="en-US" w:bidi="ar-SA"/>
        </w:rPr>
        <w:t>Sott.</w:t>
      </w:r>
      <w:r>
        <w:rPr>
          <w:rFonts w:ascii="arial" w:eastAsia="arial" w:hAnsi="arial" w:cs="arial"/>
          <w:color w:val="000000"/>
          <w:sz w:val="20"/>
          <w:lang w:val="en-US" w:eastAsia="en-US" w:bidi="ar-SA"/>
        </w:rPr>
        <w:t xml:space="preserve"> They argue that there was an agreement to lease for a term to end in 2016. The refusal of the City to agree to a lease in those terms, and to insist instead on a lease that contained an early termination clause, was a fundamental breach of their agreement. The analysis is apt and would prevail if it were established that there was a binding agreement to lease. For the reasons already given, I am not persuaded there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follows that the plaintiffs' claims in contract are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elements of the tort of negligent misrepresentation are set out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 To establish such a claim, the plaintiff must prove: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based on a "special relationship" between the person making the representation and the person to whom it was made;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representation in question is untrue, inaccurate, or misleading;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person making the representation acted negligently in making it;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person to whom the representation was made relied on it in a reasonable manner;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reliance was detrimental in the sense that damages resulted.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plead that statements made by or on behalf of the defendant on April 11, June 11, June 12, September 24, and November 23, 2007, amount to negligent misrepresentations that they relied on to their detriment.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April 2007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Mr. Lightle testified that he telephoned Ms. Dalziel on April 11th. I am satisfied on a balance of probabilities that Mr. Lightle did speak with Ms. Dalziel that day. I am satisfied that she told him that the City had authorized the </w:t>
      </w:r>
      <w:r>
        <w:rPr>
          <w:rFonts w:ascii="arial" w:eastAsia="arial" w:hAnsi="arial" w:cs="arial"/>
          <w:i/>
          <w:color w:val="000000"/>
          <w:sz w:val="20"/>
          <w:lang w:val="en-US" w:eastAsia="en-US" w:bidi="ar-SA"/>
        </w:rPr>
        <w:t>negotiation</w:t>
      </w:r>
      <w:r>
        <w:rPr>
          <w:rFonts w:ascii="arial" w:eastAsia="arial" w:hAnsi="arial" w:cs="arial"/>
          <w:color w:val="000000"/>
          <w:sz w:val="20"/>
          <w:lang w:val="en-US" w:eastAsia="en-US" w:bidi="ar-SA"/>
        </w:rPr>
        <w:t xml:space="preserve"> of leases to 2016 and that the City's lawyers were going to draft them. Further, I am satisfied that she told him the lease rates that had been approved by Council. I reach that conclusion in part because Mr. Lightle agreed that was what he was told. In addition, it is consistent with what Council had authorized the day before, and it is consistent with everything else Ms. Dalziel did both that day and in the subsequent days and months.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June 12, 2007 Telephone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Barbara Lightle testified that she telephoned Ms. Dalziel on June 11, 2007. She said she did that because the date by which the conditions in the buy-sell contract relating to the assignment of the leases had to be waived if the contract was to remain effective was fast approaching, and she realized they did not have anything in writing from the City. She said she introduced herself to Ms. Dalziel and explained her concern. She had neither met with nor spoken to Ms. Dalziel prior to this telephone conversation, nor had she otherwise communicated with her. She said that Ms. Dalziel told her there was no reason to be concerned about whether the leases would be extended and that she did not need anything in writing. Mrs. Lightle was still concerned but said Ms. Dalziel was convincing and appeared to have the authority to make the assurances she was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telephone call was prompted, according to Mrs. Lightle, by a letter the Lightles and Mr. MacIsaac received from Mr. Swail on June 11, 2007. In the letter, Mr. Swail said that he had reviewed the draft buy-sell contract which the Heraids' lawyer had prepared. He advised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to be an assignment of lease, you will want a subject clause granting you sufficient time to review the lease and to ensure it will be extended to meet your future needs. If the ... city ... refuses in the future to grant the lease, it would seriously affect your business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Mrs. Lightle responded to this concern in an e-mail to Mr. Swail sent at 8:34 p.m. June 11, 2007, writing that they (that is, the purchasers) were prepared to increase the deposit on the proposed purchase to $300,000 but that it was to be conditional upon receiving "satisfactory written confirmation that the city of Salmon Arm will extend the existing leases to 2016 as agreed verbally by Monica Dalziel ..." Thus, if the substance of the conversation was as Mrs. Lightle said it was, the conversation did not happen on the day that she said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On June 13, 2007 at 10:19 a.m., Mrs. Lightle e-mailed Mr. Swail who was still in the midst of negotiating the terms of the buy-sell agreement with the Heraids' solicitors. In that e-mail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Funds held in trust, not [sic] offer conditional until confirmation from city of Salmon Arm 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 surprisingly, Mr. Swail found this e-mail confusing. He responded asking Mrs. Lightle to clarify it.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Sorry, your message is not clear. Are you saying the $250 (or all of it) to remain in trust? If so, then there is no need for a mortgage. Or, are you saying the $250 (or all of it) is to be released once you get the city confirmation June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response was forwarded to Mr. MacIsaac by Mr. Swail shortly after he sent it to Mrs. Lightle. It was Mr. MacIsaac who responded to it first. He did so at 12:40 p.m. that day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spoke to monica from the city yesterday and ther [sic] seems to be no problem with the transfer, except the authorization form [sic] the sellers. willing to take the risk of lease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was referencing his meeting with Ms. Dalziel on June 12, 2007. Mrs. Lightle then e-mailed Mr. Swail at 1:37 p.m. that day instructing him to "[p]lease proceed as per Willy's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am not persuaded that a telephone call between Mrs. Lightle and Ms. Dalziel ever took place. Given the e-mail exchanges noted above, if it happened, it must have happened on June 12, 2007. I am satisfied that Ms. Dalziel met with Mr. MacIsaac that day. If the call happened before the meeting, it is odd that Ms. Dalziel would not have mentioned it to Mr. MacIsaac given that they were discussing the leases and whether they would be extended or renewed. If the call happened after, it is odd that Ms. Dalziel would not have mentioned to Mrs. Lightle that she had just met with Mr. MacIsaac and discussed the issue. Of course, it is possible that the two events could have happened on the same day without Ms. Dalziel mentioning the first event to the participant in the second event, but that seems to me to be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Next, Mrs. Lightle made no reference to the conversation in any of her e-mails to Mr. Swail or Mr. MacIsaac, nor did she make a written record of it anywhere else. Given the significance of the conversation, it is difficult to accept that it took place without there being a written or even an oral reference to it by her to anyone, including their solicitor with whom Mrs. Lightle was regularly communicating.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Finally, Mr. Swail e-mailed the vendor's lawyer at 10:54 a.m. on June 13, 2007. In that e-mail, he wrote that the deal was "subject to... [p]urchasers obtaining written confirmation from the City of Salmon Arm to extend the lease to 2016 ...". Thus, Mr. Swail was insisting on obtaining that which Mrs. Lightle had just been assured was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MacIsaac's e-mail to Mr. Swail of June 13, 2007, at 12:40 p.m. is the correspondence I alluded to earlier which is telling against his credibility (para. 103). He wrote in that e-mail that he was prepared to "take the risk" about a lease transfer. On cross-examination, he testified that in fact he did not think there was any risk, presumably because he had Ms. Dalziel's assurances, but he did not want Mr. Swail to know that. This makes no sense to me. There was no reason to mislead his own lawyer about the existence of risks associated with a transaction that lawyer was advising him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June 12, 2007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next event of significance is the meeting of June 12th. For the reasons already given, I reject Mr. MacIsaac's contention that Ms. Dalziel gave him a copy of the March 30, 2007 memorandum she had written to City Council. Further and also for the reasons already given, I reject his evidence that she told him that the City would only lease Lot 6 and the foreshore lease to the owner of Lot 7. Mr. MacIsaac also testified that, at this meeting, Ms. Dalziel assured him that the City would grant him or one of his companies an extension of the leases it had with the Heraids until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This meeting took place in the circumstances noted above at paragraphs 119 and 120. I accept Ms. Dalziel's evidence that she told Mr. MacIsaac that the City's lawyers were preparing leases. She told him that the head lease on the foreshore lot expired in 2016, and thus the City could not sublease for longer than that. She said that there was no renewal clause in the Head Lease, and so the City would not agree to a sublease that had a renewal clause. There was no discussion about the purchasers' future plans for the marina or about the details of the purchase itself.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September and November 2007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This meeting took place in the circumstances described above (paras. 49 to 56). The only evidence about what was said at this meeting is from Ms. Dalziel and Mr. Bannister because Mr. Lightle did not remember being at the meeting and Mr. Querengesser did not give evidence. Ms. Dalziel said that she paged through the draft leases and pointed out the clauses in them which indicated that the term would end at the end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November meeting took place as noted above.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Summary of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At the June 12th meeting and again during the September 24th meeting, Ms. Dalziel represented that the City was prepared to grant leases to the plaintiffs, or one of them, over Lot 6 and the Water Lot for a term that would expire at the end of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Were the representations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Assuming there was a "special relationship" between the parties giving rise to a duty of care, the issues are whether the representations were misrepresentations, and if so, whether they were negligently made and whether the plaintiffs reasonably relied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There are two aspects to the issue of whether the representations were misrepresentations capable of grounding a claim for negligent misrepresentation. The first is whether they amount to a statement about future intention or conduct as opposed to present circumstances. The former may not be actionable, while the latter may be. The second is whether they were untrue, inaccurate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to the second issue, Ms. Dalziel represented that the City was prepared to enter into leases extending to 2016. She had it in mind by June 2007, if not before, that the leases would also contain a term that they could be terminated by either party at any time for any reason on one year's notice. She did not regard that as inconsistent with a lease for a term that would expire in 2016. I accept her evidence in that regard. As such, the representation was not untruthful. It was, however, misleading because absent a reference to the termination provision, it conveyed the impression that the leases would extend to 2016 absent a breach. I accept, therefore, that this element of the tort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first issue relates to the distinction between a representation and a promise. The distinction is sometimes expressed as the difference between existing facts and future intentions. The City argues that the representations that the plaintiffs rely on are, at their highest, statements as to future intention and thus not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Iacobucci J., who wrote for the majority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did not have to resolve the issue of whether, and if so to what extent, representations as to future conduct are capable of grounding a claim of negligent misrepresentation because on the facts in that case, at least some aspects of the representations made to the plaintiff were about present facts (see paras. 71 and 72). He did, however, note that a number of authorities support that proposition that representations as to future conduct are not generally actionable even if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issue was dealt with in some depth in </w:t>
      </w:r>
      <w:r>
        <w:rPr>
          <w:rFonts w:ascii="arial" w:eastAsia="arial" w:hAnsi="arial" w:cs="arial"/>
          <w:i/>
          <w:color w:val="000000"/>
          <w:sz w:val="20"/>
          <w:lang w:val="en-US" w:eastAsia="en-US" w:bidi="ar-SA"/>
        </w:rPr>
        <w:t>Moin v. Blue Mountains (Town)</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(2000), 135 O.A.C. 278</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Toporowski v. Millar</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2003 BCSC 1254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South Yukon Forest Corp. v. Canada</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2012 FCA 165</w:t>
        </w:r>
      </w:hyperlink>
      <w:r>
        <w:rPr>
          <w:rFonts w:ascii="arial" w:eastAsia="arial" w:hAnsi="arial" w:cs="arial"/>
          <w:color w:val="000000"/>
          <w:sz w:val="20"/>
          <w:lang w:val="en-US" w:eastAsia="en-US" w:bidi="ar-SA"/>
        </w:rPr>
        <w:t>; all cases which the plaintiffs argue support the proposition that the representations by Ms. Dalziel are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plaintiffs liken their situation to that of the plaintiffs in </w:t>
      </w:r>
      <w:r>
        <w:rPr>
          <w:rFonts w:ascii="arial" w:eastAsia="arial" w:hAnsi="arial" w:cs="arial"/>
          <w:i/>
          <w:color w:val="000000"/>
          <w:sz w:val="20"/>
          <w:lang w:val="en-US" w:eastAsia="en-US" w:bidi="ar-SA"/>
        </w:rPr>
        <w:t>South Yukon Forest Corp. v. Canada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Moin v. Blue Mountains (Town)</w:t>
      </w:r>
      <w:r>
        <w:rPr>
          <w:rFonts w:ascii="arial" w:eastAsia="arial" w:hAnsi="arial" w:cs="arial"/>
          <w:color w:val="000000"/>
          <w:sz w:val="20"/>
          <w:lang w:val="en-US" w:eastAsia="en-US" w:bidi="ar-SA"/>
        </w:rPr>
        <w:t xml:space="preserve">. In that case, the trial judge found that government officials had promised and represented that if the plaintiffs built a mill in the Yukon, sufficient timber permits would be issued to guarantee an adequate long-term supply of timber for the mill. The plaintiff acquired a site for the mill and began construction. The timber supply was not forthcoming. The plaintiff sued and succeeded at trial. On appeal by the Crown, the trial judgement was overturned. The court held that because any forest cutting privileges had to be issued by Order in Council, any assurances given by the officials could not reasonably be relied on by the plaintiff. The plaintiffs argue that if Ms. Dalziel had expressed her representations as being conditional on City Council approval, then the reasoning in </w:t>
      </w:r>
      <w:r>
        <w:rPr>
          <w:rFonts w:ascii="arial" w:eastAsia="arial" w:hAnsi="arial" w:cs="arial"/>
          <w:i/>
          <w:color w:val="000000"/>
          <w:sz w:val="20"/>
          <w:lang w:val="en-US" w:eastAsia="en-US" w:bidi="ar-SA"/>
        </w:rPr>
        <w:t>South Yukon Forest Corp. v. Canada</w:t>
      </w:r>
      <w:r>
        <w:rPr>
          <w:rFonts w:ascii="arial" w:eastAsia="arial" w:hAnsi="arial" w:cs="arial"/>
          <w:color w:val="000000"/>
          <w:sz w:val="20"/>
          <w:lang w:val="en-US" w:eastAsia="en-US" w:bidi="ar-SA"/>
        </w:rPr>
        <w:t xml:space="preserve"> might apply but, they argue, that is not what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Moin v. Blue Mountains (Town)</w:t>
      </w:r>
      <w:r>
        <w:rPr>
          <w:rFonts w:ascii="arial" w:eastAsia="arial" w:hAnsi="arial" w:cs="arial"/>
          <w:color w:val="000000"/>
          <w:sz w:val="20"/>
          <w:lang w:val="en-US" w:eastAsia="en-US" w:bidi="ar-SA"/>
        </w:rPr>
        <w:t>, the plaintiff sued a local government on the basis that the reeve of the town had stated at an open Council meeting that the town was going to build a particular road the next summer. The plaintiff relied on that statement. The road was not built and the plaintiff suffered losses. It was argued that the statements were not actionable because they related to future events or facts. Rosenberg J.A. held that the statement by the reeve that the road would be built was capable of grounding the tort because it was a statement about an existing fact, namely, that the municipality had already decided to build the road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As Melnick J. observed in </w:t>
      </w:r>
      <w:r>
        <w:rPr>
          <w:rFonts w:ascii="arial" w:eastAsia="arial" w:hAnsi="arial" w:cs="arial"/>
          <w:i/>
          <w:color w:val="000000"/>
          <w:sz w:val="20"/>
          <w:lang w:val="en-US" w:eastAsia="en-US" w:bidi="ar-SA"/>
        </w:rPr>
        <w:t>Toporowski v. Millar</w:t>
      </w:r>
      <w:r>
        <w:rPr>
          <w:rFonts w:ascii="arial" w:eastAsia="arial" w:hAnsi="arial" w:cs="arial"/>
          <w:color w:val="000000"/>
          <w:sz w:val="20"/>
          <w:lang w:val="en-US" w:eastAsia="en-US" w:bidi="ar-SA"/>
        </w:rPr>
        <w:t xml:space="preserve"> at para. 14, it is generally accepted that representations as to future events are not actionable. Nevertheless, a statement of intention may be actionable. For example, in </w:t>
      </w:r>
      <w:r>
        <w:rPr>
          <w:rFonts w:ascii="arial" w:eastAsia="arial" w:hAnsi="arial" w:cs="arial"/>
          <w:i/>
          <w:color w:val="000000"/>
          <w:sz w:val="20"/>
          <w:lang w:val="en-US" w:eastAsia="en-US" w:bidi="ar-SA"/>
        </w:rPr>
        <w:t>Nelson v. Hoops L.P.</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2003 BCSC 277</w:t>
        </w:r>
      </w:hyperlink>
      <w:r>
        <w:rPr>
          <w:rFonts w:ascii="arial" w:eastAsia="arial" w:hAnsi="arial" w:cs="arial"/>
          <w:color w:val="000000"/>
          <w:sz w:val="20"/>
          <w:lang w:val="en-US" w:eastAsia="en-US" w:bidi="ar-SA"/>
        </w:rPr>
        <w:t>, Groberman J. (as he then was) found that a statement by the owners of a basketball team that they had no intention of moving the team was a statement of their existing intention and was sufficient to ground a claim if the other elements of the tort were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distinction between statements as to existing facts and future events is not always easy to draw. That is particularly so when the language of the representation can be characterized as a "promissory expression". The distinction is aptly captured in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xml:space="preserve">, 4th ed., vol. 31 (London Butterworths, 1980), as cited in </w:t>
      </w:r>
      <w:r>
        <w:rPr>
          <w:rFonts w:ascii="arial" w:eastAsia="arial" w:hAnsi="arial" w:cs="arial"/>
          <w:i/>
          <w:color w:val="000000"/>
          <w:sz w:val="20"/>
          <w:lang w:val="en-US" w:eastAsia="en-US" w:bidi="ar-SA"/>
        </w:rPr>
        <w:t>Toporowski v. Millar</w:t>
      </w:r>
      <w:r>
        <w:rPr>
          <w:rFonts w:ascii="arial" w:eastAsia="arial" w:hAnsi="arial" w:cs="arial"/>
          <w:color w:val="000000"/>
          <w:sz w:val="20"/>
          <w:lang w:val="en-US" w:eastAsia="en-US" w:bidi="ar-SA"/>
        </w:rPr>
        <w:t xml:space="preserve">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promise that something will or will not be done or occur in the future is in itself not a statement of a matter of present or past fact and therefore not a representation. However, it may happen that language which contains promissory expressions can be shown, nevertheless, to have been intended as a statement of an existing intention. Conversely, although a party used words expressive of intention, it may be apparent from other expressions or the surrounding circumstances that what he really meant, and the other party understood to be conveyed, was a promise of offer and nothing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defendants argue that </w:t>
      </w:r>
      <w:r>
        <w:rPr>
          <w:rFonts w:ascii="arial" w:eastAsia="arial" w:hAnsi="arial" w:cs="arial"/>
          <w:i/>
          <w:color w:val="000000"/>
          <w:sz w:val="20"/>
          <w:lang w:val="en-US" w:eastAsia="en-US" w:bidi="ar-SA"/>
        </w:rPr>
        <w:t>Motkoski Holdings Ltd. v. Yellowhead (County)</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2010 ABCA 72</w:t>
        </w:r>
      </w:hyperlink>
      <w:r>
        <w:rPr>
          <w:rFonts w:ascii="arial" w:eastAsia="arial" w:hAnsi="arial" w:cs="arial"/>
          <w:color w:val="000000"/>
          <w:sz w:val="20"/>
          <w:lang w:val="en-US" w:eastAsia="en-US" w:bidi="ar-SA"/>
        </w:rPr>
        <w:t>, is instructive on this issue. In their per curiam judgment, the court noted at paras. 43 and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Actions for negligent misrepresentation usually rest on misrepresentations of fact: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pp. 128-9; </w:t>
      </w:r>
      <w:r>
        <w:rPr>
          <w:rFonts w:ascii="arial" w:eastAsia="arial" w:hAnsi="arial" w:cs="arial"/>
          <w:i/>
          <w:color w:val="000000"/>
          <w:sz w:val="20"/>
          <w:lang w:val="en-US" w:eastAsia="en-US" w:bidi="ar-SA"/>
        </w:rPr>
        <w:t>PD Management Ltd. v. Chemposite Inc.</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2006 BCCA 489</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58 B.C.L.R. (4th) 197</w:t>
        </w:r>
      </w:hyperlink>
      <w:r>
        <w:rPr>
          <w:rFonts w:ascii="arial" w:eastAsia="arial" w:hAnsi="arial" w:cs="arial"/>
          <w:color w:val="000000"/>
          <w:sz w:val="20"/>
          <w:lang w:val="en-US" w:eastAsia="en-US" w:bidi="ar-SA"/>
        </w:rPr>
        <w:t xml:space="preserve"> at para. 14. Sometimes representations are made about the future that depend on the facts as they exist at the time of the representation. If those existing facts are inaccurately and negligently stated, the words may be actionable, as in </w:t>
      </w:r>
      <w:r>
        <w:rPr>
          <w:rFonts w:ascii="arial" w:eastAsia="arial" w:hAnsi="arial" w:cs="arial"/>
          <w:i/>
          <w:color w:val="000000"/>
          <w:sz w:val="20"/>
          <w:lang w:val="en-US" w:eastAsia="en-US" w:bidi="ar-SA"/>
        </w:rPr>
        <w:t>Cognos</w:t>
      </w:r>
      <w:r>
        <w:rPr>
          <w:rFonts w:ascii="arial" w:eastAsia="arial" w:hAnsi="arial" w:cs="arial"/>
          <w:color w:val="000000"/>
          <w:sz w:val="20"/>
          <w:lang w:val="en-US" w:eastAsia="en-US" w:bidi="ar-SA"/>
        </w:rPr>
        <w:t xml:space="preserve">. Sometimes people are retained to give opinions about the future, and if those predictions are negligent (having due regard that perfection in future projections cannot be expected) they may be actionable, as in </w:t>
      </w:r>
      <w:r>
        <w:rPr>
          <w:rFonts w:ascii="arial" w:eastAsia="arial" w:hAnsi="arial" w:cs="arial"/>
          <w:i/>
          <w:color w:val="000000"/>
          <w:sz w:val="20"/>
          <w:lang w:val="en-US" w:eastAsia="en-US" w:bidi="ar-SA"/>
        </w:rPr>
        <w:t>Kelly v. Lundgard</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2001 ABCA 185</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95 Alta. L.R. (3d) 11</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286 A.R. 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There is therefore some room for an action for negligent misrepresentation about the future, although it is more difficult to prove that predictions about the future are "inaccurate". However, an action for misrepresentation generally cannot be based on a representation about how the speaker intends to act in the future, unless the representation amounts to a covenant that the speaker will act in that way. As it was stated in </w:t>
      </w:r>
      <w:r>
        <w:rPr>
          <w:rFonts w:ascii="arial" w:eastAsia="arial" w:hAnsi="arial" w:cs="arial"/>
          <w:i/>
          <w:color w:val="000000"/>
          <w:sz w:val="20"/>
          <w:lang w:val="en-US" w:eastAsia="en-US" w:bidi="ar-SA"/>
        </w:rPr>
        <w:t>Arrow Construction Products Ltd. v. Nova Scotia (Attorney General)</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150 N.S.R. (2d) 241</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27 C.L.R. (2d) 1</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Principle deals with representations, not promises. It is important to distinguish between a representation and a promise. A representation is a statement relating to some existing fact or past event. A promise is a statement of intention to do something in the future.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consideration has been given, the plaintiff is generally not entitled to rely on a representation about how the defendant intends to conduct itself. That liability sounds in contract, if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City says that the representations that Ms. Dalziel made were about how the City intended to act in the future; that is, it intended to negotiate a lease with a particular term, and as such they are not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Ms. Dalziel represented that the City intended to offer the plaintiffs a lease with a term that extended to the end of 2016. To the extent that is so, it was a statement of present intention. The Council had authorized staff to negotiate a lease with the prospective purchasers. Ms. Dalziel thought that was what they were going to do; she did not think the negotiation had even begun because, from her point of view, it would not begin until the draft leases were provided to the plaintiffs for their consideration. Cast in the language of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what Ms. Dalziel's statements amounted to was a promise of an offer and nothing more. She was authorized to negotiate a lease and she intended to do that. She anticipated making an offer of a lease for a term that extended to 2016. The fact that she saw no conflict between a term of that duration and a clause that permitted either party to terminate the lease at any time and for any reason on one year's notice is of no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Put another way, unlike </w:t>
      </w:r>
      <w:r>
        <w:rPr>
          <w:rFonts w:ascii="arial" w:eastAsia="arial" w:hAnsi="arial" w:cs="arial"/>
          <w:i/>
          <w:color w:val="000000"/>
          <w:sz w:val="20"/>
          <w:lang w:val="en-US" w:eastAsia="en-US" w:bidi="ar-SA"/>
        </w:rPr>
        <w:t>Moin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Nelson v. Hoops L.P.</w:t>
      </w:r>
      <w:r>
        <w:rPr>
          <w:rFonts w:ascii="arial" w:eastAsia="arial" w:hAnsi="arial" w:cs="arial"/>
          <w:color w:val="000000"/>
          <w:sz w:val="20"/>
          <w:lang w:val="en-US" w:eastAsia="en-US" w:bidi="ar-SA"/>
        </w:rPr>
        <w:t xml:space="preserve">, which involved proposed actions by the defendant that did not involve an anticipated contract with the plaintiffs or anyone else, when the representation involves an offer that if accepted will result in a contract, then as noted in </w:t>
      </w:r>
      <w:r>
        <w:rPr>
          <w:rFonts w:ascii="arial" w:eastAsia="arial" w:hAnsi="arial" w:cs="arial"/>
          <w:i/>
          <w:color w:val="000000"/>
          <w:sz w:val="20"/>
          <w:lang w:val="en-US" w:eastAsia="en-US" w:bidi="ar-SA"/>
        </w:rPr>
        <w:t>Motkoski Holdings Ltd. v. Yellowhead (County)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action for misrepresentation generally cannot be based on a representation about how the speaker intends to act in the future, unless the representation amounts to a covenant that the speaker will act in that way ... [u]nless consideration has been given, the plaintiff is generally not entitled to rely on a representation about how the defendant intends to conduct itself. That liability sounds in contract, if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For both of these reasons, I am not persuaded that the representations made by Ms. Dalziel are actionable.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plaintiffs, or any of them, rely on the representations in a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the event I am wrong in concluding the representations are not actionable, I will deal with the issue of reliance. There are two issues bound up in this element of the cause of action. The first is whether the plaintiff in fact relied on any particular representation. The second is whether that reliance was reasonable. The question of whether the plaintiffs' reliance was reasonable must be considered in light of the surrounding circumstances. Those circumstances fall to be considered at two distinct time periods. The first is June 2007 and the second is November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plaintiffs allege that, at the end of June, they increased the deposit on the purchase of the marina from $50,000 to $300,000, based on Ms. Dalziel's representations to Mr. Lightle and later to Mr. MacIsaac.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surrounding circumstances that are significant are as follows. Ms. Dalziel had met with Mr. Lightle once and spoken to him on the telephone once. The meeting was in March prior to any offer being made on the marina. It was brief, informal and ad hoc. It took place at the customer service counter in the public area of City Hall. It lasted perhaps 10 minutes. It had not been arranged in advance. Not a single document was exchanged prior to, at, or following the meeting. Ms. Dalziel had not met either the Heraids or Mr. Lightle prior to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On April 11, 2007, Ms. Dalziel spoke with Mr. Lightle. She told him that the City had authorized the "negotiation" of leases. He understood that and understood that he would have an opportunity to review the draft leases before signing them, and he agreed that he would be free to not sign them if, after his review, they did not meet with his approval. A reasonable person contemplating a purchase for $1.5 million of a fee simple property, together with a lease over another parcel of land, and sublease of a foreshore lot would not rely on a representation made in these circumstances. To the extent that Mr. Lightle did, his reliance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June 12, 2007 meeting with Mr. MacIsaac took place as Ms. Dalziel described it. Again, this meeting was ad hoc in nature and informal in tone. Like the April meeting with Mr. Lightle, this one took place at the customer service counter in the public area of City Hall. It was not scheduled in advance. It was the first time the two participants had met each other. All she knew about the proposed purchase was what she had been told by Mr. Lightle in March and what he said in his May 28, 2007 e-mail which had been faxed either to her or to Mr. MacIsaac or perhaps both. As noted, the e-mail was a belated reply to her inquiry as to the name of the proposed lessee. In that e-mail, Mr. Lightle said that they would be purchasing the marina but did not know who the purchaser was going to be. He explained that the lease was an important part of the transaction and that they would "feel more comfortable with a lease agreement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Dalziel told Mr. MacIsaac that the City's lawyers were preparing draft leases. I have no doubt she told him when the Head Lease with the province expired and that the City was prepared to consider leasing Lot 6 and subleasing the Water Lot for a term that extended to the end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As noted above, Mr. MacIsaac e-mailed Mr. Swail following his meeting with Ms. Dalziel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spoke to monica from the city yesterday and ther [sic] seems to be no problem with the transfer, except the authorization form [sic] the sellers. willing to take the risk of lease transfer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transfer he mentions is the assignment of the remainder of the term of the Heraid leases. He knew that even that was not certain because, as he explained, he was willing "to take the risk". It is of some significance that he did not mention any assurance that new leases would be granted or what their terms might be. This was in the face of his own legal advice that the purchasers obtain written confirmation from the City to extend the leases to 2016. Mr. MacIsaac took this advice to the extent of including it as a condition precedent in the purchase agreement, but rather than following through on it and obtaining the written confirmation, he decided to take the risk and waived the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am not persuaded that Mr. MacIsaac relied on Ms. Dalziel's representations; rather, he knew that there were significant uncertainties, and he was prepared to take the risks posed by those uncertainties. Moreover, and in the event I am wrong in that regard and he did actually rely on the representations, his reliance was not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next event of significance is Ms. Dalziel's letter of November 22, 2012, under cover of which she sent the draft leases that the City was prepared to offer the plaintiffs or one of them. These leases contain the termination clauses. I recognize that these clauses were not specifically drawn to Mr. MacIsaac's attention, but they were there to be read. A reasonable person in his position would have read them, or at least sent them to a lawyer to have them reviewed. Mr. MacIsaac did neither. There can be no basis to find that his reliance on any representations made by Ms. Dalziel about the term of the proposed leases was reasonable after this letter was delivered to Mr. Querengesser.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It follows that the claim based on negligent misrepresentation cannot succeed, and it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Proprietary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various forms of estoppel are helpfully summarized by Madam Justice Stromberg-Stein in </w:t>
      </w:r>
      <w:r>
        <w:rPr>
          <w:rFonts w:ascii="arial" w:eastAsia="arial" w:hAnsi="arial" w:cs="arial"/>
          <w:i/>
          <w:color w:val="000000"/>
          <w:sz w:val="20"/>
          <w:lang w:val="en-US" w:eastAsia="en-US" w:bidi="ar-SA"/>
        </w:rPr>
        <w:t>Paul v. Vancouver International Airport Authority</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2000 BCSC 341</w:t>
        </w:r>
      </w:hyperlink>
      <w:r>
        <w:rPr>
          <w:rFonts w:ascii="arial" w:eastAsia="arial" w:hAnsi="arial" w:cs="arial"/>
          <w:color w:val="000000"/>
          <w:sz w:val="20"/>
          <w:lang w:val="en-US" w:eastAsia="en-US" w:bidi="ar-SA"/>
        </w:rPr>
        <w:t xml:space="preserve">. She adopted the explanation of proprietary estoppel in </w:t>
      </w:r>
      <w:r>
        <w:rPr>
          <w:rFonts w:ascii="arial" w:eastAsia="arial" w:hAnsi="arial" w:cs="arial"/>
          <w:i/>
          <w:color w:val="000000"/>
          <w:sz w:val="20"/>
          <w:lang w:val="en-US" w:eastAsia="en-US" w:bidi="ar-SA"/>
        </w:rPr>
        <w:t>Hanbury &amp; Martin - Modern Equity</w:t>
      </w:r>
      <w:r>
        <w:rPr>
          <w:rFonts w:ascii="arial" w:eastAsia="arial" w:hAnsi="arial" w:cs="arial"/>
          <w:color w:val="000000"/>
          <w:sz w:val="20"/>
          <w:lang w:val="en-US" w:eastAsia="en-US" w:bidi="ar-SA"/>
        </w:rPr>
        <w:t>, 14th ed. (London: Sweet &amp; Maxwell, 1993) at pp. 878-881, where the authors write: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Proprietary Estoppel.</w:t>
      </w:r>
      <w:r>
        <w:rPr>
          <w:rFonts w:ascii="arial" w:eastAsia="arial" w:hAnsi="arial" w:cs="arial"/>
          <w:color w:val="000000"/>
          <w:sz w:val="20"/>
          <w:lang w:val="en-US" w:eastAsia="en-US" w:bidi="ar-SA"/>
        </w:rPr>
        <w:t xml:space="preserve"> Distinct from the types of estoppel by representation previously explained is estoppel by encouragement or by acquiescence. </w:t>
      </w:r>
      <w:r>
        <w:rPr>
          <w:rFonts w:ascii="arial" w:eastAsia="arial" w:hAnsi="arial" w:cs="arial"/>
          <w:i/>
          <w:color w:val="000000"/>
          <w:sz w:val="20"/>
          <w:lang w:val="en-US" w:eastAsia="en-US" w:bidi="ar-SA"/>
        </w:rPr>
        <w:t>This doctrine is applicable where one party knowingly encourages another to act, or acquiesces in the other's actions, to his detriment and in infringement of the first party's rights. He will be unable to complain later about the infringement, and may indeed be required to make good the expectation which he encouraged in the other party. Unlike other estoppels, therefore, this doctrine may, in some circumstances, create a claim, and an entitlement to positive proprietary rights.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addition, Stromberg-Stein J. said this about the concept of estoppel more generally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It is important to keep in mind that the primary consideration under any test, as emphasized in the unified model, is the presence of an unconscionable or inequitable result which justifies an intervention in equity. In order to succeed in advancing the doctrine of equitable estoppel, [the plaintiff] must establish that he has been taken advantage of by the [defendant] in an unconscionable, inequitable or unjust 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Hinds J.A. wrote of proprietary estoppel in </w:t>
      </w:r>
      <w:r>
        <w:rPr>
          <w:rFonts w:ascii="arial" w:eastAsia="arial" w:hAnsi="arial" w:cs="arial"/>
          <w:i/>
          <w:color w:val="000000"/>
          <w:sz w:val="20"/>
          <w:lang w:val="en-US" w:eastAsia="en-US" w:bidi="ar-SA"/>
        </w:rPr>
        <w:t>Zelmer v. Victor Projects Ltd.</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(1997), 147 D.L.R. (4th) 216</w:t>
        </w:r>
      </w:hyperlink>
      <w:r>
        <w:rPr>
          <w:rFonts w:ascii="arial" w:eastAsia="arial" w:hAnsi="arial" w:cs="arial"/>
          <w:color w:val="000000"/>
          <w:sz w:val="20"/>
          <w:lang w:val="en-US" w:eastAsia="en-US" w:bidi="ar-SA"/>
        </w:rPr>
        <w:t xml:space="preserve"> (B.C.C.A.) at paras. 48 and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Based on the foregoing analysis I conclude that, in appropriate circumstances, a cause of action can be based on the doctrine of proprietary estoppel.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"appropriate circumstances" may arise as stated by Megaw L.J. in </w:t>
      </w:r>
      <w:r>
        <w:rPr>
          <w:rFonts w:ascii="arial" w:eastAsia="arial" w:hAnsi="arial" w:cs="arial"/>
          <w:i/>
          <w:color w:val="000000"/>
          <w:sz w:val="20"/>
          <w:lang w:val="en-US" w:eastAsia="en-US" w:bidi="ar-SA"/>
        </w:rPr>
        <w:t>Western Fish Products Ltd. v. Penwith District Council</w:t>
      </w:r>
      <w:r>
        <w:rPr>
          <w:rFonts w:ascii="arial" w:eastAsia="arial" w:hAnsi="arial" w:cs="arial"/>
          <w:color w:val="000000"/>
          <w:sz w:val="20"/>
          <w:lang w:val="en-US" w:eastAsia="en-US" w:bidi="ar-SA"/>
        </w:rPr>
        <w:t>, [1981] 2 All E.R. 204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217, where he interpreted the judgment of Lord Denning in </w:t>
      </w:r>
      <w:r>
        <w:rPr>
          <w:rFonts w:ascii="arial" w:eastAsia="arial" w:hAnsi="arial" w:cs="arial"/>
          <w:i/>
          <w:color w:val="000000"/>
          <w:sz w:val="20"/>
          <w:lang w:val="en-US" w:eastAsia="en-US" w:bidi="ar-SA"/>
        </w:rPr>
        <w:t>Crabb</w:t>
      </w:r>
      <w:r>
        <w:rPr>
          <w:rFonts w:ascii="arial" w:eastAsia="arial" w:hAnsi="arial" w:cs="arial"/>
          <w:color w:val="000000"/>
          <w:sz w:val="20"/>
          <w:lang w:val="en-US" w:eastAsia="en-US" w:bidi="ar-SA"/>
        </w:rPr>
        <w:t>, [1976] 1 Ch. 179, in the following manner: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when A to the knowledge of B acts to his detriment in relation to his own land in the expectation, encouraged by B, of acquiring a right over B's land, such expectation arising from what B has said or done, the court will order B to grant A that right on such terms as may be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To put the plaintiffs' claim in the language of </w:t>
      </w:r>
      <w:r>
        <w:rPr>
          <w:rFonts w:ascii="arial" w:eastAsia="arial" w:hAnsi="arial" w:cs="arial"/>
          <w:i/>
          <w:color w:val="000000"/>
          <w:sz w:val="20"/>
          <w:lang w:val="en-US" w:eastAsia="en-US" w:bidi="ar-SA"/>
        </w:rPr>
        <w:t>Hanbury &amp; Martin</w:t>
      </w:r>
      <w:r>
        <w:rPr>
          <w:rFonts w:ascii="arial" w:eastAsia="arial" w:hAnsi="arial" w:cs="arial"/>
          <w:color w:val="000000"/>
          <w:sz w:val="20"/>
          <w:lang w:val="en-US" w:eastAsia="en-US" w:bidi="ar-SA"/>
        </w:rPr>
        <w:t>, it is this: the City encouraged or acquiesced in the plaintiffs' actions, to the plaintiffs' detriment and in infringement of the City's rights. The encouragement is said to be the promise of leases extending to 2016. The detriment is the completion of the purchase of Lot 7 and the money expended on Lot 6, as well as the cost of pursuing the rezoning and other matters. Put in the language of Lord Denning, the claim is that the plaintiffs, to the knowledge of the City, acted to their detriment in relation to the plaintiffs' own lands in the expectation, based on encouragement by the City, of acquiring rights (leases) over the City's lands. If these matters are established, the doctrine may operate to compel the City to grant the right (in this case a lease) which, from its conduct, the plaintiffs justifiably expected would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noted above, the June 12, 2007 meeting between Ms. Dalziel and Mr. MacIsaac was informal, ad hoc and brief. Mr. MacIsaac said that he was going to purchase the marina. He asked about the term of the leases. Ms. Dalziel told him the leases were being drafted by the City's lawyers and that the terms of both would be to the end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issue is whether this information, passed on in these circumstances, renders it unjust, inequitable or somehow unconscionable for the City to later insist on the lease terms that it did. Largely for the reasons set out above, I do not think it does. First, prior to that meeting, Ms. Dalziel had told Mr. Lightle that the City was prepared to negotiate a lease, and Mr. Lightle understood that to mean that a draft would be prepared and a period of negotiation would follow. If either side decided that the terms were not acceptable, they could agree to disagree and that would be the end of it. Mr. MacIsaac must be taken to have understood this because Mr. Lightle was his co-investor or partner in this endeavour until at least the end of May. Second, while Mr. MacIsaac was confident that the City would grant him or his nominee a lease he knew that was not a certainty. He knew and accepted that risk. This conclusion is supported by the language in all the various revitalization plans that Mr. Querengesser submitted on Mr. MacIsaac's behalf. None of those documents refer to a commitment by the City; to the contrary, they all refer to the need in the future to settle the terms of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There can be no suggestion that it would be somehow inequitable for the City to insist on the terms that it did after November 22, 2007. It had sent the draft leases with those terms to the plaintiffs and heard nothing in response. Outwardly, a reasonable observer would conclude that the plaintiffs did not take issue with the termination clauses. They did not express any dissent to the City and completed the transaction three months after the City had provided the drafts to them. The City assumed that Mr. Fletcher had the drafts and said as much in the March 2008 e-mail. Mr. Fletcher did not disabuse the City of that assumption. For this reason, it cannot be said that the City encouraged the plaintiffs to act to their detriment based on a misunderstanding. To the contrary, to all outward appearances everyone knew where everyone else 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plaintiffs' claim based on proprietary estoppel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City's Claim for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City demanded vacant possession of the lands by August 15, 2009. The plaintiffs remained in possession of both properties until August 31,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City claims mesne profits which it equates to rent, property taxes and GST or HST, totaling $35,098.86 as against Willy's Wharf Inc. and Clare's Cove Marina Ltd. This sum consists of rent on both Lot 6 and the Water Lot. The rent on the Water Lot is that which the City is obliged to pay the province under the Head Lease. For December 2008, it was $300. For 2009, it was $297.50 per month, and during 2010, it was $303.33 per month. The rent claimed on Lot 6 is $875 per month from December 2008 to the end of 2009 and $916.67 per month for 2010. Property taxes total $8,672.81 for both properties for the period from December 2008 to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rent portion of the mesne profits claim is the rent that was agreed to in the extension that was granted on October 21, 2008, for the period ending November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Mesne profits are the damages for a tenant's trespass. A tenant becomes a trespasser when it remains in possession beyond the point at which its right to occupy the lands has ended (see generally </w:t>
      </w:r>
      <w:r>
        <w:rPr>
          <w:rFonts w:ascii="arial" w:eastAsia="arial" w:hAnsi="arial" w:cs="arial"/>
          <w:i/>
          <w:color w:val="000000"/>
          <w:sz w:val="20"/>
          <w:lang w:val="en-US" w:eastAsia="en-US" w:bidi="ar-SA"/>
        </w:rPr>
        <w:t>Fuoco Estates v. Kamloops (City)</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2001 BCCA 325</w:t>
        </w:r>
      </w:hyperlink>
      <w:r>
        <w:rPr>
          <w:rFonts w:ascii="arial" w:eastAsia="arial" w:hAnsi="arial" w:cs="arial"/>
          <w:color w:val="000000"/>
          <w:sz w:val="20"/>
          <w:lang w:val="en-US" w:eastAsia="en-US" w:bidi="ar-SA"/>
        </w:rPr>
        <w:t xml:space="preserve">, and the excerpt from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3rd ed., vol. 23, cited at para. 17). The plaintiffs' right to possession of the lands ended on November 30, 2008, when the last extension of the Heraids' leases expired. While the measure of damages may not always equal the rent that had been paid until the trespass arose, there is no basis to conclude that it is not an appropriate basis to value the City's claim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am satisfied that the City is entitled to damages in the nature of mesne profits for the plaintiffs' trespass. Those damages amount to $35,098.86. The next issue is who, among the various plaintiffs, is responsible for those damages. It seems to me that it is Clare's Cove Marina Ltd. It is that entity which was in possession as of November 2008, and it is that entity to which the City granted the extensions following the conclusion of the Heraid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summary, the plaintiffs' claims are dismissed. The City is entitled to judgment against Clare's Cove Marina Ltd. in the sum of $35,098.86. The parties have leave to address the question of costs. They may do that by arranging a hearing through the Supreme Court Scheduling office. I will hear submissions by telephone should that suit the parties'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April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released April 2, 2013 (2013 BCSC 553).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the sixth sentence of paragraph 12, the word "in" is inserted after the word "lived" so that the paragraph may now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the spring of 2007, the marina consisted of some 72 boat slips attached to two parallel wharfs that extended north into the lake almost to the northern boundary of the Water Lot. In fact, the western wharf was not located entirely within the Water Lot. The Water Lot boundary ran almost down the center of that wharf such that all the boats moored to the west side of it are not within the boundary of the Water Lot. The Heraids operated a small confectionary store on Lot 6 from which they rented sea-doos and sold motor oil and gas. Most of Lot 6 was used for parking. Its surface was not paved. On Lot 7, there was a house that the Heraids lived </w:t>
      </w:r>
      <w:r>
        <w:rPr>
          <w:rFonts w:ascii="arial" w:eastAsia="arial" w:hAnsi="arial" w:cs="arial"/>
          <w:color w:val="000000"/>
          <w:sz w:val="20"/>
          <w:u w:val="single"/>
          <w:lang w:val="en-US" w:eastAsia="en-US" w:bidi="ar-SA"/>
        </w:rPr>
        <w:t>in</w:t>
      </w:r>
      <w:r>
        <w:rPr>
          <w:rFonts w:ascii="arial" w:eastAsia="arial" w:hAnsi="arial" w:cs="arial"/>
          <w:color w:val="000000"/>
          <w:sz w:val="20"/>
          <w:lang w:val="en-US" w:eastAsia="en-US" w:bidi="ar-SA"/>
        </w:rPr>
        <w:t xml:space="preserve"> during the boating season. They lived in Alberta during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Further, in the last sentence of paragraph 91, the word "enforceable" is replaced with the word "unenforceable" so that the paragraph may now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The defendant argues that no contract was ever concluded. The City argues that it made no offer either on April 11, 2007, or at any other time that was capable of being accepted. Further, the City argues that there was no consensus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on April 11, 2007, and that, on all the evidence, it is clear that there was no intention by the City to create contractual relations either on April 11, 2007, or at any time thereafter. For all of these reasons, the City argues that no enforceable contract was ever concluded between the parties. Further, they argue that if there was a contract it was not between the City and the parties to this action, with whom there was and could be no privity of contract. Finally, and in the further alternative, the defendant argues that if there was a contract, it is </w:t>
      </w:r>
      <w:r>
        <w:rPr>
          <w:rFonts w:ascii="arial" w:eastAsia="arial" w:hAnsi="arial" w:cs="arial"/>
          <w:color w:val="000000"/>
          <w:sz w:val="20"/>
          <w:u w:val="single"/>
          <w:lang w:val="en-US" w:eastAsia="en-US" w:bidi="ar-SA"/>
        </w:rPr>
        <w:t>unenforceable</w:t>
      </w:r>
      <w:r>
        <w:rPr>
          <w:rFonts w:ascii="arial" w:eastAsia="arial" w:hAnsi="arial" w:cs="arial"/>
          <w:color w:val="000000"/>
          <w:sz w:val="20"/>
          <w:lang w:val="en-US" w:eastAsia="en-US" w:bidi="ar-SA"/>
        </w:rPr>
        <w:t xml:space="preserve"> due to s. 59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The reasons for judgment are amended accordingly, and in all other aspects, the reasons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 w:history="1">
        <w:r>
          <w:rPr>
            <w:rFonts w:ascii="arial" w:eastAsia="arial" w:hAnsi="arial" w:cs="arial"/>
            <w:b/>
            <w:bCs/>
            <w:i/>
            <w:color w:val="0077CC"/>
            <w:kern w:val="32"/>
            <w:sz w:val="28"/>
            <w:szCs w:val="32"/>
            <w:u w:val="single"/>
            <w:shd w:val="clear" w:color="auto" w:fill="FFFFFF"/>
            <w:lang w:val="en-US" w:eastAsia="en-US" w:bidi="ar-SA"/>
          </w:rPr>
          <w:t>Cullinane v. Prince George (City), [2001] B.C.J. No. 138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January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01743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663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Cullinane, plaintiff, and The City of Prince George and OEPP (Northland) Realty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Municipal law — Bylaws — Scope of — Snow removal — Practice — Costs — Party and party costs — Liability for party and party costs — Bullock order or Sanderson order, where success divided.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Cullinane against the defendant City of Prince George for a Bullock or Sanderson order. Cullinane sued the City after she slipped and fell on a sidewalk. The sidewalk was adjacent to property owned by the defendant OEPP Realty. Cullinane claimed that the City was negligent because it breached its duty to clear its sidewalks. She also claimed Realty was liable because it contravened a bylaw to clear sidewalks adjacent to its property. Realty claimed it was not liable because the accident occurred on land owned and controlled by the City. The bylaw did not impose civil liability if the property owner failed to keep the sidewalk clear of snow and ice. At the time of the accident Realty's land was located downtown and was vacant. The trial judge decided that the bylaw did not impose civil liability on Realty. He found that the City was 65 per cent at fault and Cullinane was 35 per cent liable. The claim against Realty was dismissed. Cullinane wanted the City to pay Realty's costs. She claimed it was reasonable for her to keep Realty in the action until judgment.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reasonable for Cullinane to keep Realty in the action. There was nothing to be thoroughly explored. The law was clear that Realty was not liable. Cullinane would have known that Realty's land was vacant when she contemplated the lawsuit.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57(18).</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Original reasons for judgment were released July 17, 2000. See </w:t>
            </w:r>
            <w:hyperlink r:id="rId45" w:history="1">
              <w:r>
                <w:rPr>
                  <w:rFonts w:ascii="arial" w:eastAsia="arial" w:hAnsi="arial" w:cs="arial"/>
                  <w:i/>
                  <w:color w:val="0077CC"/>
                  <w:sz w:val="18"/>
                  <w:u w:val="single"/>
                  <w:shd w:val="clear" w:color="auto" w:fill="FFFFFF"/>
                  <w:lang w:val="en-US" w:eastAsia="en-US" w:bidi="ar-SA"/>
                </w:rPr>
                <w:t>[2000] B.C.J. No. 1488</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 w:name="Counsel_0"/>
      <w:bookmarkEnd w:id="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H. Cluff, for the plaintiff. Marie Louise Ahrens, for the defendant, the City of Prince George. Anastase E. Maragos, for the defendant, OEPP (Northland) Realty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COULTAS J."/>
            <w:bookmarkEnd w:id="13"/>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issue is costs. On August 17, 2000, </w:t>
      </w:r>
      <w:hyperlink r:id="rId45" w:history="1">
        <w:r>
          <w:rPr>
            <w:rFonts w:ascii="arial" w:eastAsia="arial" w:hAnsi="arial" w:cs="arial"/>
            <w:i/>
            <w:color w:val="0077CC"/>
            <w:sz w:val="20"/>
            <w:u w:val="single"/>
            <w:shd w:val="clear" w:color="auto" w:fill="FFFFFF"/>
            <w:lang w:val="en-US" w:eastAsia="en-US" w:bidi="ar-SA"/>
          </w:rPr>
          <w:t>[2000] B.C.J. No. 1488</w:t>
        </w:r>
      </w:hyperlink>
      <w:r>
        <w:rPr>
          <w:rFonts w:ascii="arial" w:eastAsia="arial" w:hAnsi="arial" w:cs="arial"/>
          <w:color w:val="000000"/>
          <w:sz w:val="20"/>
          <w:lang w:val="en-US" w:eastAsia="en-US" w:bidi="ar-SA"/>
        </w:rPr>
        <w:t>, I gave judgment to the plaintiff against the City of Prince George for 65 percent of her damages. I found she was contributorarily negligent and responsible for 35 percent of her loss. I dismissed the plaintiff's claim against the defendant OEPP (Northland) Realty Ltd. ("Northland"). The plaintiff now seeks a Bullock or Sanderson order requiring the costs awarded to Northland to be paid by the defendant, The City of Prince George ("the City"), alleging it was reasonable for her to join Northland as a party and keep it in the action until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my opinion, it was not reasonable to do either and my Reasons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arose from the plaintiff's fall on an icy and dangerous sidewalk in Prince George causing her injury and loss. In her Writ and Statement of Claim the plaintiff alleged that the City was liable because it had a duty to clear its sidewalks or to warn of dangers there and she alleged that Northland was liable because it contravened a Prince George bylaw to clean the sidewalks adjacent to its land or to warn others of the dangers there. Both defendants filed separate Statements of Defence and were represented by separate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Northland pled that the fall occurred on lands owned and controlled by the City and the City was solely responsible for the plaintiff's loss. In its Statement of Defence, the City denied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pled that it was the obligation of Northland to remove ice and snow pursuant to Prince George Bylaw 3302. The City did not bring third party proceedings against Northland.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Northland's property was vacant and had been since 1995 except for the month of December 1995 and the month of December 1996 when it rented the property to Greyhound for a one month period at Christmas time in both years. The Northland property was located in a central downtown location in Prince George and at the time the lawsuit was contemplated, the plaintiff or her counsel must have known that Northland's property had been vacant for a considerable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Reasons for Judgment, I considered the liability of Northland and I now recite excerpts from my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The plaintiff claims that Northland owed a duty to her at common law and by the provisions of the Act. I find that the City and not Northland was an occupier of the sidewalk, within the definition of the Act. Northland was not in physical possession of the sidewalk, nor did it have the requisite responsibility for and control of pedestrians using the sidewalk. The cases of Lysack v. Burrard Motor Inn </w:t>
      </w:r>
      <w:hyperlink r:id="rId46" w:history="1">
        <w:r>
          <w:rPr>
            <w:rFonts w:ascii="arial" w:eastAsia="arial" w:hAnsi="arial" w:cs="arial"/>
            <w:i/>
            <w:color w:val="0077CC"/>
            <w:sz w:val="20"/>
            <w:u w:val="single"/>
            <w:shd w:val="clear" w:color="auto" w:fill="FFFFFF"/>
            <w:lang w:val="en-US" w:eastAsia="en-US" w:bidi="ar-SA"/>
          </w:rPr>
          <w:t>(1991), 58 B.C.L.R. (2d) 33</w:t>
        </w:r>
      </w:hyperlink>
      <w:r>
        <w:rPr>
          <w:rFonts w:ascii="arial" w:eastAsia="arial" w:hAnsi="arial" w:cs="arial"/>
          <w:color w:val="000000"/>
          <w:sz w:val="20"/>
          <w:lang w:val="en-US" w:eastAsia="en-US" w:bidi="ar-SA"/>
        </w:rPr>
        <w:t xml:space="preserve"> (C.A.) and Gardner v. Unimet Investments Ltd. </w:t>
      </w:r>
      <w:hyperlink r:id="rId47" w:history="1">
        <w:r>
          <w:rPr>
            <w:rFonts w:ascii="arial" w:eastAsia="arial" w:hAnsi="arial" w:cs="arial"/>
            <w:i/>
            <w:color w:val="0077CC"/>
            <w:sz w:val="20"/>
            <w:u w:val="single"/>
            <w:shd w:val="clear" w:color="auto" w:fill="FFFFFF"/>
            <w:lang w:val="en-US" w:eastAsia="en-US" w:bidi="ar-SA"/>
          </w:rPr>
          <w:t>(1996), 19 B.C.L.R. (3d) 196</w:t>
        </w:r>
      </w:hyperlink>
      <w:r>
        <w:rPr>
          <w:rFonts w:ascii="arial" w:eastAsia="arial" w:hAnsi="arial" w:cs="arial"/>
          <w:color w:val="000000"/>
          <w:sz w:val="20"/>
          <w:lang w:val="en-US" w:eastAsia="en-US" w:bidi="ar-SA"/>
        </w:rPr>
        <w:t xml:space="preserve"> (C.A.), are supportive of my findings. The Northland property was unoccupied at the time the plaintiff fell. She was not proceeding to enter the Northland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issue with respect to Northland's liability is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Does a municipal bylaw requiring an owner of property to keep a sidewalk adjacent to the property free of ice and snow, translate into civil liability to a third party using the sidewalk, for failure to comply with the bylaw when an injury occurs due to ice and snow on that sidewalk?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Case authority in British Columbia, in Ontario and in Nova Scotia has held that it does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The City of Prince George had enacted two ice and snow-clearing bylaws which did not impose any civil liability on owners of adjacent property with respect to third parties. Bylaw 1991 reads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City shall remove the snow from the sidewalks but shall not be responsible to remove snow and ice to bare pavement. The owner shall be responsible pursuant to the By-laws of the City of Prince George to keep his sidewalk clear of ice and snow that is not removed pursuant to the service provided under this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Bylaw 3302, reads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Sidewalk Cleanliness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 or occupiers of real property in other than residential zones shall remove snow or ice from any sidewalk bordering such property by 10:00 o'clock in the morning on the day following the snowfall.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defendant Northland did not comply with those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my Reasons I then referred to decisions in British Columbia, Ontario and Nova Scotia that held that a failure by an owner of property adjacent to a sidewalk to comply with municipal bylaws to keep the sidewalk clear of snow and ice did not translate into liability for compensation to a third party injured on the sidewalk unless the bylaw imposed civil liability. (The Prince George bylaws did not impose civil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concept is not new law and the cases are numerous. Had counsel carefully considered the point, that is the liability of Northland in the circumstances, he should have concluded that joining Northland in the action was not prudent. That is so despite the City's pleading that it was not liable but that Northland was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counsel joins a party in any lawsuit they have a duty to ensure that there is a triable issue. Litigation is a costly business. Not infrequently parties are joined in the initial stages of litigation and the action discontinued when it becomes clear during the course of the litigation that the claim should no longer be pursued. That did not occur in this litigation, and with respect, it should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When exercising its discretion to make a Bullock or Sanderson order pursuant to Rule 57(18) of the Rules of Court, the Court must first answer a threshold question. The threshold question was set out in Besterman v. British Motor Cab Co., Ltd., [1914] 3 K.B. 181 (C.A.) and adopted by the British Columbia Court of Appeal in Robertson v. North Island College Technical and Vocational Institute, </w:t>
      </w:r>
      <w:hyperlink r:id="rId48" w:history="1">
        <w:r>
          <w:rPr>
            <w:rFonts w:ascii="arial" w:eastAsia="arial" w:hAnsi="arial" w:cs="arial"/>
            <w:i/>
            <w:color w:val="0077CC"/>
            <w:sz w:val="20"/>
            <w:u w:val="single"/>
            <w:shd w:val="clear" w:color="auto" w:fill="FFFFFF"/>
            <w:lang w:val="en-US" w:eastAsia="en-US" w:bidi="ar-SA"/>
          </w:rPr>
          <w:t>(1980), 119 D.L.R. (3d) 17</w:t>
        </w:r>
      </w:hyperlink>
      <w:r>
        <w:rPr>
          <w:rFonts w:ascii="arial" w:eastAsia="arial" w:hAnsi="arial" w:cs="arial"/>
          <w:color w:val="000000"/>
          <w:sz w:val="20"/>
          <w:lang w:val="en-US" w:eastAsia="en-US" w:bidi="ar-SA"/>
        </w:rPr>
        <w:t>, at p.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these circumstances, was it a reasonable thing for the plaintiff in his action against a man who ultimately turns out to be in fact the wrong-doer to join the other defendant in order that the matter might be thoroughly threshed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my respectful opinion, it was not reasonable for the plaintiff to join the defendant Northland so that the matter might be "thoroughly threshed out". There was no issue to be thoroughly threshed out, for the law was clear. In Reidy v. Kamloops Hotel Ltd. </w:t>
      </w:r>
      <w:hyperlink r:id="rId49" w:history="1">
        <w:r>
          <w:rPr>
            <w:rFonts w:ascii="arial" w:eastAsia="arial" w:hAnsi="arial" w:cs="arial"/>
            <w:i/>
            <w:color w:val="0077CC"/>
            <w:sz w:val="20"/>
            <w:u w:val="single"/>
            <w:shd w:val="clear" w:color="auto" w:fill="FFFFFF"/>
            <w:lang w:val="en-US" w:eastAsia="en-US" w:bidi="ar-SA"/>
          </w:rPr>
          <w:t>(1997), 41 B.C.L.R. (3d) 338</w:t>
        </w:r>
      </w:hyperlink>
      <w:r>
        <w:rPr>
          <w:rFonts w:ascii="arial" w:eastAsia="arial" w:hAnsi="arial" w:cs="arial"/>
          <w:color w:val="000000"/>
          <w:sz w:val="20"/>
          <w:lang w:val="en-US" w:eastAsia="en-US" w:bidi="ar-SA"/>
        </w:rPr>
        <w:t xml:space="preserve"> (S.C.) Lamperson J. awarded damages against the owner of premises when a pedestrian slipped on an icy patch right outside the main exit of the hotel's beer parlour. He found the ice created an unusual danger, saying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finding would probably be different if the accident had occurred in any other place other than almost at the threshold of the doorway used by people as they leave. It seems to me that it would have been easy to remove that patch of ice or to ensure that it was not slippery. I have therefore decided that the defendants are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decision can give no comfort to the plaintiff for she was not intending to enter the Northland parking lot or its building. That case was clearly distinguishable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result, I decline to make a Bullock or Sanderson order. In my earlier Reasons, I ordered that Northland was entitled to its costs, and I find that the plaintiff is liable to pay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Gill v. Carr, [2016] B.C.J. No. 901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J.M.I. Duncan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16-20, 23-26, March 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7-10, 13-17 and July 13-15,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21983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901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792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Simon Gill, Dino Giannatos and 075241 B.C. Ltd., Plaintiffs, and Darcy Neil Carr, Judy Ann Kirton and 0739207 B.C. Ltd., Defendants, and Elvira Askarova, Defendant by Way of Counterclaim, and Elvira Askarova,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Corporations, partnerships and associations law — Partnerships — Formation — Ownership of property — Dissolution — Action by shareholders and corporation for various relief concerning properties allowed in part and counterclaim by shareholder to enforce swap agreement dismissed — Parties were joint shareholders in two corporations which each owned apartment building and Carr and Gill owned junkyard — Development of junkyard constituted partnership — As partnership was unworkable, it was dissolved and junkyard to be sold. Property manager entitled to compensation, but was to repay bonus — Claim for conversion and for repayment of loan not made out — Swap agreement unenforceable as financial documents not provided — Corporations to be dissolved and liquidated.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Corporations, partnerships and associations law — Corporations — Liquidation and dissolution — Court order for liquidation — Oppression remedy — Action by shareholders and corporation for various relief concerning properties allowed in part and counterclaim by shareholder to enforce swap agreement dismissed — Parties were joint shareholders in two corporations which each owned apartment building and Carr and Gill owned junkyard — Development of junkyard constituted partnership — As partnership was unworkable, it was dissolved and junkyard to be sold. Property manager entitled to compensation, but was to repay bonus — Claim for conversion and for repayment of loan not made out — Swap agreement unenforceable as financial documents not provided — Corporations to be dissolved and liquidated.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shareholders, Gill and Giannatos, and their corporation, Cedar Park for declarations that the swap agreement was terminated and unenforceable, an accounting of the defendant corporation Parkview and an order that the individual defendants provide financial records, judgment for breach of the management agreement, breach of fiduciary duty, breach of trust, self-dealing, unjust enrichment or conversion, declarations concerning the junkyard, dissolution of the partnership and sale of the property, distribution of net proceeds of sale of property, liquidation of corporation and an oppression remedy and counterclaim by Carr for specific performance of the swap agreement. Carr incorporated Parkview in 2005. He and Gill each owned 50 per cent of the shares. In 2006, Parkview purchased an apartment building. Gill loaned Carr $50,000 for the purchase. Carr incorporated Cedar Park in 2006. Gill, Carr and Giannatos were its shareholders. Cedar Park purchased an apartment building in May 2006. Each of the shareholders notionally paid $230,000 towards the purchase price. In March 2006, Carr bought a junkyard in foreclosure. The money to purchase the property was advanced by Gill. They planned to subdivide the property and sell the lots for profit. They signed a development agreement which provided that Gill would finance the purchase and additional costs and Carr would do work on the property and provide accounts. Carr obtained a second mortgage on the Parkview building and paid Gill for a half interest in the junkyard and cleared up other monies owed to Gill. The junkyard remained undeveloped. Gill and Giannatos had little to do with the operation of the companies and nothing to do with the operation of the buildings. A property manager was hired for the buildings. The Cedar Park building had a number of issues. The property manager, at Carr's direction, withheld a portion of the monthly cash income from both buildings (the "skim operation"). Carr alleged that both Gill and Giannatos knew about the skim operation and received their portion of the skim money, which they denied. In 2009, Gill and Carr discussed an agreement to swap their shared in Parkview and Cedar Park. Gill was to receive Carr's share in Cedar Park and Carr was to receive Gill's share in Parkview. The swap agreement was never carried out, but Carr acted as if it had. In October 2010, Gill raised issues with alleged accounting irregularities and continued to press for supporting documentation for Parkview. On May 2011, Gill filed a petition seeking the appointment of an auditor for Parkview. Subsequently, Gill, Giannatos and Cedar Park filed actions against Carr, Parkview and the property manager and Carr counterclaimed. Cedar Park had been sold and the proceeds of sale amounted to $927,000. Carr still ran the Parkview building.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Action allowed in part and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development of the junkyard constituted a partnership between Carr and Gill and the junkyard was a partnership property. As the partnership was no longer workable, dissolution was ordered and the junkyard was to be listed for sale. The property manager was entitled to compensation for her role as manager. However, Cedar Park was entitled to judgement of $2,000 for a bonus payment she made to herself which she had no authority to make. The claim for conversion in relation to the skimming operation and unauthorized expenditures had not been made out. All parties were aware of the skimming operation. An absence of documentation for expenses was not sufficient proof. Giannatos' claim for the unpaid balance owing under the Cedar Park loan was not proven. Giannatos' evidence that the money was never paid was unreliable and insufficient to prove the claim. The swap agreement was not enforceable. Carr had not delivered the necessary documents to Gill in a reasonable time in order to facilitate the financial review. It was just and equitable that Cedar Park be dissolved and liquidated as it was no longer an active company and it had sold its only real asset. Parkview should also be dissolved and liquidated as the parties could not work together.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57" w:history="1">
        <w:r>
          <w:rPr>
            <w:rFonts w:ascii="arial" w:eastAsia="arial" w:hAnsi="arial" w:cs="arial"/>
            <w:i/>
            <w:color w:val="0077CC"/>
            <w:sz w:val="20"/>
            <w:u w:val="single"/>
            <w:shd w:val="clear" w:color="auto" w:fill="FFFFFF"/>
            <w:lang w:val="en-US" w:eastAsia="en-US" w:bidi="ar-SA"/>
          </w:rPr>
          <w:t>S.B.C. 2002, c. 57, s. 227</w:t>
        </w:r>
      </w:hyperlink>
      <w:r>
        <w:rPr>
          <w:rFonts w:ascii="arial" w:eastAsia="arial" w:hAnsi="arial" w:cs="arial"/>
          <w:color w:val="000000"/>
          <w:sz w:val="20"/>
          <w:lang w:val="en-US" w:eastAsia="en-US" w:bidi="ar-SA"/>
        </w:rPr>
        <w:t>, s. 232, s. 324, s. 324(3)(a)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Partnership Act, </w:t>
      </w:r>
      <w:hyperlink r:id="rId58" w:history="1">
        <w:r>
          <w:rPr>
            <w:rFonts w:ascii="arial" w:eastAsia="arial" w:hAnsi="arial" w:cs="arial"/>
            <w:i/>
            <w:color w:val="0077CC"/>
            <w:sz w:val="20"/>
            <w:u w:val="single"/>
            <w:shd w:val="clear" w:color="auto" w:fill="FFFFFF"/>
            <w:lang w:val="en-US" w:eastAsia="en-US" w:bidi="ar-SA"/>
          </w:rPr>
          <w:t>R.S.B.C. 1996, c. 348, s. 2</w:t>
        </w:r>
      </w:hyperlink>
      <w:r>
        <w:rPr>
          <w:rFonts w:ascii="arial" w:eastAsia="arial" w:hAnsi="arial" w:cs="arial"/>
          <w:color w:val="000000"/>
          <w:sz w:val="20"/>
          <w:lang w:val="en-US" w:eastAsia="en-US" w:bidi="ar-SA"/>
        </w:rPr>
        <w:t>, s. 27, s. 27(a), s. 27(c), s. 27(d), s. 27(e), s. 27(f), s. 32, s. 38, s. 47, s. 47(b)(iv)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18, Rule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J.A. Bird.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R.S. Miles.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PROPERTIES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HOW THE PARTIES KNEW EACH OTHER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PROPERTY PURCHASES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MANAGEMENT OF PARKVIEW AND CEDAR PARK</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SKIM OPERATION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MONTHLY ACCOUNTS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COMMUNICATION BETWEEN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AFTER THE FACT CALCULATIONS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BREAKDOWN IN RELATIONS IN 2008-2009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SWAP AGREEMENT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RELIEF SOUGHT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Swap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Accounting of Parkview Co.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Judgments against Mr. Carr and Ms. Kirton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Sale of the Junkyard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Distribution of Net Sale Proceeds of Cedar Park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Liquidation and Dissolution of Parkview Co.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Oppression/Derivative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PURCHASE OF PARKVIEW MANOR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PURCHASE OF CEDAR PARK</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JUNKYARD PURCHASE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DISTRIBUTION OF MONEY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DETERIORATION IN 2009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DECEMBER 2009 MEETING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EVENTS OF EARLY 2010 IN CRANBROOK</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CREDIBILITY AND RELIABILITY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Giannatos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Carr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Ms. Kirton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CONCERNING THE JUNKYARD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FOR CONVERSION AGAINST MR. CARR AND MS. KIRTON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ENFORCEABILITY OF THE SWAP AGREEMENT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REMEDIES FOR CEDAR PARK CO. AND PARKVIEW CO.</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 AND OTHER POST-JUDGMENT ISSUES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J.M.I. DUNCAN J."/>
            <w:bookmarkEnd w:id="20"/>
            <w:r>
              <w:rPr>
                <w:rFonts w:ascii="arial" w:eastAsia="arial" w:hAnsi="arial" w:cs="arial"/>
                <w:b/>
                <w:color w:val="000000"/>
                <w:sz w:val="30"/>
                <w:lang w:val="en-US" w:eastAsia="en-US" w:bidi="ar-SA"/>
              </w:rPr>
              <w:t>J.M.I. DUNCAN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litigation involves three properties, two incorporated companies and a development agreement. Three actions have been consolidated into one, with many intertwined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was originally scheduled for 13 days but in the end occupied twice as much court time. There were no examinations for discovery because of a disagreement over conduct money. The lack of discoveries compounded the length of cross-examinations.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Gill testified by videolink from the United Kingdom. The quality of the videolink was good and apart from a few breakdowns in the connection there was no difficulty with receiving his evidence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lengthy chronology of major events and the parties' roles is necessary before the issues raised in the pleadings can be specifically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Simon Gill, the plaintiff Dino Giannatos and the defendant Darcy Carr all have backgrounds in the petroleum industry. I will refer to them from time to time as the major players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Judy Kirton was at all materials times the common law spouse or wife of Darcy Carr. They separated in 2010 and have since divorced, but are still on good terms. Elvira Askarova, the defendant by way of counterclaim and third party, is Mr. Gill's wife. The actions against Ms. Askarova were discontinued on January 20,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corporate plaintiff, 0756241 B.C. Ltd. (hereafter "Cedar Park Co.") is a company incorporated in British Columbia. The corporate defendant, 0739207 B.C. Ltd. (hereafter "Parkview Co.") is a company incorporated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properties consist of a 14.5 acre parcel of land and two apartment buildings. The 14.5 acre parcel is in Wycliffe, which was outside the city of Cranbrook when it was purchased by Mr. Gill and Mr. Carr, but has since been included in the amended city boundaries. It was referred to in the course of this litigation primarily as the Junkyard but occasionally as Wycliffe. There is a house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apartment buildings are Parkview Manor, a 15-unit building in Cranbrook, and Cedar Park, a 36-unit building, also located in Cranbrook.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How the Parties Knew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Gill has known Mr. Giannatos since the mid-1980s when the two worked together in the petroleum industry in Angola. Mr. Gill has known Mr. Carr since 1993 when the two met at an engineering conference in Houston, Texas. They became good friends and had business interests together in the ensuing years. Mr. Carr ran a company called Investments International and looked after some investments for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Giannatos first met Mr. Carr in Trinidad and Tobago in the late 1990s. Mr. Carr was supervising the construction of some villas in Tobago in which Mr. Gill had a financial interest. Mr. Giannatos did not form a positive first impression of Mr. Carr; however, Mr. Gill spoke highly of Mr. Carr and eventually Mr. Giannatos warmed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close relationship between Mr. Gill and Mr. Carr ended as a result of events leading up to this litigation. Mr. Gill and Mr. Giannatos remain on good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all times material to this litigation Mr. Gill lived in Trinidad and Tobago or the United Kingdom. While he has lived in Canada in the past, he rarely visited between 2006 and 2010, when most of the incidents concerning this litigation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Giannatos is ordinarily resident in Stockholm, Sweden though he is a citizen of the United States. He never visited Cranbrook until his testimony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Carr is ordinarily resident in Trinidad and Tobago but spent an average of 100 days per year in Cranbrook attending to the three properties during the timeframe involved in this litigation. He has a cabin at Rosen Lake, an hour's drive outside of Cranbrook.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Kirton is a citizen of Trinidad and Tobago but lived in Cranbrook from late August 2006 to February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Property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or around 2005, Mr. Gill learned from Mr. Carr that there were investment opportunities in real estate in Cranbrook. Mr. Gill had come into possession of a sum of money and wanted to invest it somewhere safe. That ready availability of cash started the chain of purchases which led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Carr incorporated Parkview Co. on October 31, 2005. He and Mr. Gill each owned 50% of the shares and were initially the company directors. They were later replaced by their spouses. Mr. Gill maintained this was done to simplify his directorships so he could focus on Bayfield Energy, an emerging petroleum company in Trinidad. Mr. Carr maintained it was done so Mr. Gill's ex-wife Olga could not trace his real estate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1, 2006, Parkview Co. purchased Parkview Manor. Mr. Gill loaned Mr. Carr $50,000 to effect the purchase. Parkview Co. then hired Judy Kirton, through a company resolution, to be the manager of Parkview Manor. Her remuneration was set at 10% of the rent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Carr regarded the purchase of Parkview Manor a long-term venture for his retirement and was committed to improving the units as they were vacated in order to generate higher rents and increase the value of the building. Mr. Gill expected the property to generate income, although he acknowledged the age of the building and the carrying costs militated against a large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Carr incorporated Cedar Park Co. on May 1, 2006. Its three shareholders were Mr. Gill, Mr. Carr and Mr. Giannatos. Mr. Gill and Mr. Carr were initially directors but were subsequently replaced by their spouses, as had occurred with Parkview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Cedar Park Co. purchased the Cedar Park apartment building on May 31, 2006. Each of the three shareholders notionally paid $230,000 towards the purchase price. I say "notionally" because Mr. Gill loaned Mr. Carr funds for his share of the purchase and Mr. Giannatos paid $252,282. Mr. Giannatos had to transfer the money from Greece and since there were difficulties involved, he transferred more money than was necessary to complete his part of the transaction. Mr. Giannatos was interested in a safe place to invest money for his retirement. As with Parkview Manor, Mr. Gill expected income from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three shareholders of Cedar Park Co. agreed that Judy Kirton would manage the apartment building. The amount of remuneration Ms. Kirton was to receive for managing Cedar Park was hotly disputed at trial. Mr. Gill and, to a certain extent, Mr. Giannatos, took the position she would be paid something like $900 per month for managing Cedar Park, since she was already being paid for managing Parkview. They also rejected the suggestion that she would be entitled to live in the manager's suite of Cedar Park as had her predecessor.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March 21, 2006, Mr. Carr bought the Junkyard in a foreclosure sale for $426,000 plus disbursements. Title did not pass until October 2006 due to difficulties with an individual who had stripped the house of everything that was not nailed down, and some things that were. The money to purchase the property ($472,000 for the purchase price and start-up costs) was advanced by Mr. Gill, but the property was registered in Mr. Carr's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two men planned to subdivide the property and sell the lots for profit within a fairly short timeframe of about 18 to 24 months. On November 6, 2006, they signed a development agreement. Mr. Gill agreed to finance the purchase and additional costs. Mr. Carr would do work on the property and provide proper accounts to Mr. Gill. Both men had access to a bank account Mr. Carr opened to service the Junkyard. Mr. Gill would hold a first lien on the property with 5% interest and the parties would share the profits equally when the property was subdivided and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Subsequently, Mr. Carr obtained a second mortgage against Parkview Manor and with the proceeds from it he paid Mr. Gill for a half interest in the Junkyard and cleared up other monies owed to Mr. Gill. Mr. Gill was never put on title at the Junkyard. The development agreement was never amended or replaced by another written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Junkyard remains undeveloped. At the time of trial there was still outstanding litigation concerning the damage to it when Mr. Carr took possession of it (the Felske action). The house on the property has been occupied by tenants for a number of years at a modest rent. Mr. Carr collects the rent and pays the expenses associated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Management of Parkview and Cedar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choice, Mr. Gill and Mr. Giannatos had little to do with the operation of the companies and nothing to do with the operation of the apartment buildings and, in Mr. Gill's case, the Junkyard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Judy Kirton initially managed Parkview from Trinidad and Tobago. She paid the bills via the internet and relied on the resident handyman, Ron Dean, to collect rents and attend to maintenance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Kirton also carried out her initial responsibilities for Cedar Park via the internet because Cedar Park had a resident manager, Scott Barrocca, the son of Cedar Park's former owner. When the building changed hands he stayed on, living in unit 105 rent-free and collecting 10% of the rents as his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August 2006, Mr. Barrocca gave notice that he was moving out of the building to manage another property his father had acquired. Ms. Kirton travelled to Canada in August to learn about the building and take over from Mr. Barrocca. She also moved into the manager's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Cedar Park was populated largely by seniors and a resident manager was advantageous in a number of respects. Residents would lock themselves out or need medical assistance which in turn required someone to let the ambulance attendants in. Ms. Kirton also dealt with contractors and service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Cedar Park had a number of maintenance issues beyond normal wear and tear. There was a bed bug problem which required Mr. Carr to oversee a substantial bathroom re-fit to get rid of the pests. A vagrant gained access to the building and lived in the elevator room. The coin operated washers and dryers were targeted by vandals. The boiler for the hot water system was prone to difficulties and expensive to operate. The roof leaked. When snow fell and the nearby creek got high, the basement would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Skim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Once Ms. Kirton moved to Cranbrook she took over maintaining the hand-written rent rolls for both Cedar Park and Parkview Manor, collecting laundry money from both buildings, making bank deposits and paying invoices. She was also responsible for withholding, at Mr. Carr's direction, a portion of the monthly cash income of both buildings. This became known as the Skim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Carr testified that Mr. Gill and Mr. Giannatos knew about it and received their share of the skim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Gill and Mr. Giannatos agreed at trial that they each received about $15,000 from the Cedar Park investment from the time it was purchased until the time it was sold. Mr. Gill received approximately $9,000 from Parkview Manor prior to around April 2009. They agreed these payments were made by bank drafts or direct deposits into various accounts. Both denied receipt of cash payments and both denied any knowledge or approval of the Skim Operation. Neither of them questioned why the payments were not made by company cheque. Neither of them tendered income tax returns or any other documents to establish how they characterized or accounted for the money they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Monthly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it appears that Mr. Gill expected Ms. Kirton to produce detailed monthly accounts, Ms. Kirton did not have the requisite computer skills to do so. It fell to Mr. Carr to carry out the more complex financial or managerial duties associated with the two apartment units. He relied on the software program Quicken to keep track of bank deposits and payment of expenses out of the bank accounts for the two buildings. Mr. Carr and Ms. Kirton gathered income and expense receipts quarterly and Mr. Carr would input them into Quicken and send the information to Mr. Gill and Mr.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Quicken provided only a partial picture of the financial health of the buildings. It would take an extensive examination of the hand-written rent rolls, damage deposit receipts and refunds and bank deposits, including coins, to get a true picture of the income of each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All three of the major players in this case were averse to spending money on legal advice, tax advice or accounting advice to make their holdings and dealings transparent. This is no doubt because the properties did not generate much income. At one point they received a quote of $2,500 for an accountant to prepare some reports for them. They balked at that amount. Mr. Giannatos proposed that an accounting student might be able to produce accounts without charging a great deal of money, but that was never acted upon. In hindsight, paying for advice before things went off the rails would have made more sense than engaging in what has turned out to be lengthy and acrimonious litigation generated by at best lax and at worst shambolic business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Carr spent a great deal of his time while in Cranbrook, approximately 100 days per year on average, attending to the upkeep of both apartment buildings. He undertook renovations to Parkview Manor to improve the building with a view to increasing rents and ultimately the value of the building. He made bulk purchases of cabinetry and materials to have on hand when a unit was vacated so it could be quickly renovated and tenanted. Between the efforts of Ms. Kirton and Mr. Carr, both Parkview and Cedar Park were well run buildings with fairly low vacancy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time to time after both Parkview Manor and Cedar Park were purchased the individuals involved in the ownership of the two buildings discussed selling them. Both buildings were listed for sale at various times. In March 2008, Cedar Park was listed for $2.95 million. In June 2008, Mr. Carr turned down an offer of $2.35 million. Cedar Park was taken off the market in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Parkview Manor was listed for sale late in 2008 for $1.339 million but in 2009 a second mortgage was registered against it. As noted earlier in these reasons, Mr. Carr took out the mortgage to pay Mr. Gill for half his share of the Junkyard project, which was at a standstill, as well as to pay Mr. Gill for other outstanding loans. After the second mortgage was registered, Mr. Carr was firmly opposed to selling Parkview Manor because he would be responsible for break fees on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Another issue related to the second Parkview Manor mortgage was that the bank which funded it required the personal guarantee of both Mr. Carr and Mr. Gill, but advanced the mortgage funds in error without having Mr. Gill's executed guarantee in hand. This caused Mr. Carr a great deal of consternation and led to a side issue at trial about whether Mr. Gill had agreed to execute the personal guarantee in the first place, or if he had executed it and then taken advantage of the fact that the courier lost it by subsequently refusing to sign a new one. Mr. Gill maintained Mr. Carr used the personal guarantee issue to force him into signing the Swap Agreement. Mr. Carr maintained Mr. Gill used his refusal to sign the personal guarantee to intimidate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Communication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the parties agreed that they frequently spoke by telephone about their investments, much of the communication was also via email. Some of that was presented to the court in a number of binders. The initial email communications were friendly and respectful, but things began to deteriorate in 2008 and 2009. Mr. Gill or Mr. Carr would send an email and the other would respond in red letters or blue letters to emphasize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both sides placed a great deal of emphasis on this email correspondence. While from time to time an email would assist with determining what happened, I found that for the most part the emails after late August 2009 between Mr. Gill and Mr. Carr were the equivalent of internet yelling matches. They were full of posturing, self-serving pronouncements, accusations and efforts to impose agreements on the opposing party. As a result, they were largely bereft of evidentiary value. Mr. Giannatos chimed in on occasion but his style of email correspondence was considerably more restrained than that of either Mr. Gill or Mr.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After the Fact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relied on volumes of documents prepared well after the fact by both Mr. Gill and Mr. Carr to demonstrate their views on various financial issues between the parties. Mr. Gill and his counsel prepared documents concerning what the incomes of the apartment buildings would have been absent the Skim Operation and if the manager's suite in Cedar Park had been rented out and if the laundry income been accounted for. Mr. Carr prepared documents to indicate what the Skim Payments were on a monthly basis as well as a binder of materials representing all the work he had done on the Junkyard.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have reviewed these documents and taken them into account in my decision to the extent necessary to resolve the issues between the parties, but absent an accounting, exact figures are impossible to calculate and the parties' documents concerning what would have/should have been were not particularly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Breakdown in Relations in 2008-2009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genesis of the dissent in 2008 appeared to be twofold. First, Mr. Gill and Mr. Giannatos wanted to get their money out of their Canadian investments so they could invest it in Bayfield, the Trinidad petroleum venture. The Bayfield issue caused dissent between Mr. Carr and Mr. Giannatos, in particular concerning a subsidiary boatbuilding company, Polypoto Bourbon. Second, Mr. Gill and Mr. Giannatos, I suspect in large part because he seemed to follow Mr. Gill's lead, began to ask for more detailed financial information about their Canadian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Carr maintained at trial that he provided financial information to Mr. Gill and Mr. Giannatos. It appears from some of the email correspondence that Mr. Carr sent Mr. Gill quarterly reports based on the Quicken program from the bank and provided informal periodic updates. Mr. Giannatos was not initially very interested in these reports, particularly in the Quicken format. I find that Mr. Carr did not produce consistent financial reporting on either apartment building for the other investor(s) involved although he was in care and control of the information flow to prepare such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Swap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2009, Mr. Gill and Mr. Giannatos were consistently pressing for more financial information from Mr. Carr than he was able, or willing, to produce. Mr. Carr suggested that Mr. Gill's wife, an accountant by training, could do the accounts. Mr. Gill rejected that suggestion but a friend of hers, Sanym Bissenaliyeva, agreed to look over the financial information for both buildings. All three of the major players knew and trusted Ms. Bissenaliyeva, who was a trained accountant employed in the oil industry in Kazakhstan.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fall of 2009, Mr. Carr said he wanted to separate his business interests in Canada from those of Mr. Gill and Mr. Giannatos. At a meeting on December 12, 2009 at Mr. Gionnatis's office in Galeota, Trinidad, the three men discussed a variety of concerns, including their Canadian holdings. Mr. Gill and Mr. Carr discussed what became known as the Swap Agreement. The two men would swap their respective shares in Parkview Co. and Cedar Park Co., leaving Mr. Gill with Mr. Carr's one third share of Cedar Park Co. and Mr. Giannatos holding the remaining one third. Mr. Giannatos did not oppose this as long as his share position in Cedar Park Co. was not affected. Mr. Carr would receive Mr. Gill's share of Parkview Co. Mr. Carr did not want to divest himself of Parkview Manor, which he viewed as his retirement nest egg and which he had borrowed against heavily.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was agreed that Sanym Bissenaliyeva would produce the accounts for the two companies. It did not appear that Mr. Gill expected any irregularities in the accounts, and in effect said so. He simply wanted to have a picture of the financial health of both buildings in light of the informal, if not sporadic, manner Mr. Carr had provided him with financial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Bissenaliyeva testified at a video deposition that in late 2009 Mr. Gill asked her to look over the accounts for Cedar Park and Parkview for 2006 through to the end of 2009. She described her level of engagement as an informal audit. She received Quicken data for Cedar Park and Parkview, although the data for Parkview was not complete. In addition to Quicken, Ms. Bissenaliyeva required supporting documents to confirm income and expenditures to complete her review. She required a list of people who lived in the buildings, the rent paid, and cheques for expenses with supporting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a result of Mr. Carr's mistrust of the other two major players, he refused to ship the original supporting documentation for both buildings to Ms. Bissenaliyeva. As a result, Mr. Gill and Ms. Bissenaliyeva met with Mr. Carr on February 22, 2010 in the manager's suite at Cedar Park to take possession of the books for Cedar Park and Parkview. Mr. Carr refused to provide the originals and instead promised to send scanned 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Bissenaliyeva stayed in Canada for 10 days and received a variety of supporting documentation for Cedar Park but nothing for Parkview. She said some time later Mr. Carr sent her a CD with Parkview bank statements but nothing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Bissenaliyeva had questions about some of the expenses for Cedar Park and contacted Mr. Carr for answers. Ms. Bissenaliyeva did not get all of her questions answered and did not complete the review in 2010. Mr. Gill did not thereafter press her for further work on the project. Based on what she received, Ms. Bissenaliyeva determined that there was a total of $17,631.31 in expenditures for Cedar Park which lacked any supporting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Bissenaliyeva acknowledged that Mr. Gill gave her some information about the occupancy of Cedar Park, including his view that the manager's suite should have generated $750 per month in rent. This was contrary to the evidence of Mr. Carr and Ms. Kirton to the effect that Ms. Kirton was to have the manager's suite rent-free. The additional income in turn would affect Ms. Bissenaliyeva's assessment of Cedar Park's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February 24, 2010, Mr. Gill and a representative of Highland Property Management met with Mr. Carr at Cedar Park to turn over management to Highland under the supervision of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March 2, Mr. Gill and Mr. Carr met at the office of Robert Apps, Q.C. Mr. Apps had been copied on most of the email traffic about how to wind up the affairs of the three major players, in particular Mr. Gill and Mr. Carr vis-à-vis the Junkyard. He hoped to mediate a way forward for the parties but was unsuccessful. Mr. Gill stormed out and according to Mr. Carr, threatened to sue him over everything he did not have documents to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Gill commenced an action against Mr. Carr by way of an endorsed Writ of Summons on March 26, 2010 for dissolution of the Junkyard partnership and sale of the property. Mr. Carr filed an appearance but was never served with the Writ of Summons. Mr. Gill filed a Claim of Pending Litigation against the Junkyard on March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Notwithstanding the dramatic end to the meeting in Mr. Apps' office, Mr. Gill and Mr. Carr continued to discuss the Swap Agreement by email. Mr. Gill wanted to sell Cedar Park and needed Mr. Carr's agreement to do so when a sale appeared imminent. In late April 2010 Mr. Carr accepted Mr. Gill's email proposal to proceed with the swap based on adjusted values. On May 3, 2010, Cedar Park Co. issued a consent resolution to sell the building for $2.2 million. The sale was completed on August 23,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October 2010, Mr. Gill raised issues with alleged accounting irregularities. He continued to press for all the supporting documentation for Parkview Manor, taking the position that it had not been provided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February 11, 2011, a special general meeting of Cedar Park Co.'s shareholders was held and Judy Kirton was removed as director and officer of the company through a majority vote consisting of Mr. Gill and Mr. Giannatos, by proxy.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May 4, 2011, Mr. Gill filed a petition against Mr. Carr and Ms. Kirton seeking the appointment of an auditor for Parkview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Between October 2011 and October 2012, Mr. Gill, Mr. Giannatos and Cedar Park Co. filed actions against Mr. Carr, Ms. Kirton and Parkview Co. Mr. Carr filed a counterclaim in early 2012 and then an amended counterclaim in the fall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Swap Agreement has never been carried out, either as originally discussed or as later amended. Mr. Gill claimed he initially understood from Mr. Carr that it would be tax neutral but subsequently learned the swap would trigger tax consequences. He also balked because of difficulties in obtaining financial information from Mr. Carr for the two apartment buildings, particularly Parkview Manor, to provide to Ms. Bissenaliyeva.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Carr treated the Swap Agreement as satisfied and managed Parkview Manor as his own. In his view Ms. Bissenaliyeva had access to sufficient financial information about the two apartment buildings to give them a clean bill of financial health, in keeping with the Swap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three proceedings were consolidated into one by consent order on September 17, 2012. That order also approved the appointment of Donna Gallinger as the auditor of Parkview Co.'s books. On November 16, 2012 Mr. Carr met with Ms. Gallinger to deliver the books. He told her about the Skim Operation. Ms. Gallinger was concerned the job would turn out to be a forensic audit and ultimately declined to perform 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Carr attempted to obtain Mr. Gill's agreement in late 2013 for another accountant to audit the company accounts; Mr. Gill refused. Mr. Carr then retained Jason Reyes, an accountant in Trinidad, to review the accounts of Cedar Park on the same basis that Ms. Bissenaliyeva had examined them. Mr. Reyes' evidence was to the effect that the accounts seemed to be in good order and he found no glaring irregularities.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proceeds of the sale of Cedar Park in the amount of approximately $927,000 are held in trust by Mr. Gill's counsel pending the outcome of this litigation. Mr. Carr still runs Parkview Manor. He does not want to sell it. There is a second mortgage on it and there was a fire in the building which led to a complicated insurance claim that had not been resolved at the time this trial concluded. He cannot sell it because he only holds half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seek the following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Swap Agreement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Swap Agreement has been terminated.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Swap Agreement is not an enforceable contract as the parties were never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specific performance of the Swap Agreement is not available as Mr. Carr has not come to the court with the clean hands required for an equitable remedy.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Swap Agreement is not enforceable, as it was contrary to the articles of Cedar Park Co. or alternatively it could not be carried out without the approval of Mr. Giannatos as a shareholder or Elvira Askarova and Mr. Giannatos as directors, such approval never being obtained.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 declaration that the conditions precedent to the Swap Agreement have not been fulfilled and that Mr. Gill is relieved of his obligations under it.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if the Swap Agreement is enforceable, an order that the amount payable under it to Mr. Carr be set off against any overpayments, misappropriation or other claims made against Mr. Carr and Ms. Kirton.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Accounting of Parkview Co.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an accounting with respect to Parkview Co. and an order appointing an auditor for Parkview Co. in the place of Donna Gallinger, with the terms of the accounting and the appointment of the auditor to be determined at a post-judgment hearing.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Mr. Carr promptly furnish all financial records and supporting documents to which he has access and which are reasonably required by the auditor to adequately perform a proper accounting.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Ms. Kirton promptly furnish all financial records and support documents to which she has access and which are reasonably required by Parkview Co.'s accountants to adequately perform a proper accounting.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Judgments against Mr. Carr and Ms. Kirton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Ms. Kirton in favour of Cedar Park Co. for breach of the management agreement, breach of fiduciary duty, breach of trust, self-dealing, unjust enrichment, or conversion for overpayments made to her as a property manager.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Ms. Kirton in favour of Cedar Park Co. for breach of fiduciary duty, breach of trust, self-dealing, unjust enrichment, or conversion for Judy's utilities and other personal expenses paid for with Cedar Park Co. funds.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against Mr. Carr and Ms. Kirton in favour of Cedar Park Co. for conversion for misappropriated funds from rental income and laundry income or, in the alternative, judgment against them in favour of Cedar Park Co.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collect such income.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Mr. Carr and Ms. Kirton in favour of Cedar Park Co. for conversion in the amount of $17,361 for unauthorized expenditures.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Mr. Carr in favour of Mr. Giannatos for the unpaid balance owing under the Cedar Park Loan in the amount of $6,961.07.</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applicable, an order for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Sale of the Junkyard Property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development of the Junkyard property constitutes a partnership between Mr. Carr and Mr. Gill.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Junkyard is partnership property.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Mr. Carr's interest in his action against Gord Felske, Cranbrook Registry No. 15212, is partnership property.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for dissolution of the partnership under s. 38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the dissolution, the Junkyard property will be offered for sale immediately, free and clear of all encumbrances except the reservations and conditions in the original grant from the Crown.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Steve Brine of Rockies Law Corporation shall have exclusive conduct of the sale.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persons in possession of the Junkyard property, including any tenants, shall permit any duly authorized agent of Steve Brine to inspect or appraise the Junkyard property and the interior and show the property and interior to prospective purchasers between the hours of 10:00 a.m. and 8:00 p.m. any day, including Sundays and statutory holidays, and to post signs on the property indicating that the property is offered for sale.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sale shall be subject to the approval of the court unless agreed to in writing by Simon Gill and Darcy Carr.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an accounting by a Master or Registrar, pursuant to Rule 18-1 with the following directions from the court: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Master or Registrar shall make a recommendation on how the partnership assets should be distributed in accordance with section 47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with Simon Gill and Darcy Carr entitled to share equally in the ultimate residue under s. 47(b)(iv);</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the terms of the partnership agreement, or alternatively, s. 27(f)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Mr. Carr will not be compensated for acting in the partnership business;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32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Mr. Carr must account for any benefits received from the partnership, including insurance proceeds from the fire;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Simon Gill and Darcy Carr's respective advances and capital contributions were equalized as of May 11, 2009 and the accounting need only take into account advances or capital contributions since then.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27(e)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Darcy Carr and Simon Gill have joint conduct of the Felske action and neither may take any steps in the action without consent of the other. The parties are at liberty to apply for directions. Any funds obtained are partnership property and, unless Simon Gill and Darcy Carr agree in writing, shall be paid into court and released upon application by either party. If the funds that were paid to the Minister of Finance as unclaimed court funds are not repaid to the benefit of the Felske action, then Simon Gill has liberty to apply for judgment against Mr. Carr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allowing the funds to be lost as unclaimed court funds.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Mr. Carr for outstanding interest on the Junkyard loan, up until May 9, 2011.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Distribution of Net Sale Proceeds of Cedar Park</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Swap Agreement is not enforceable, an order that the net sale proceeds from the Cedar Park apartments sale cease to be held on undertakings and may be used by Cedar Park Co.</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Rockies Law Corporation and its associates be released and discharged of any liability with respect to the handling of the sale proceeds from the sale of Cedar Park Apartments and, without limiting the generality of the foregoing, shall be relieved from their obligations under any undertakings given in respect thereto.</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Liquidation and Dissolution of Parkview Co.</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that Parkview Co. be liquidated and dissolved pursuant to section 324(3)(a)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terms of liquidation and the appointment of a liquidator be determined at a post-judgment hearing.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Oppression/Derivative Action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Orders pursuant to section 227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removing Judy Kirton as director from Parkview Co. and appointing Simon Gill in her place;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setting aside the Swap Agreement.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Leave for Simon Gill to commence a derivative action in the name of Parkview Co. against Mr. Carr and Ms. Kirton for misappropriation, conversion, breach of fidiciary duty, self-dealing, and for an accounting, pursuant to section 232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response, the defendants deny all allegations of breach, self-dealing, unjust enrichment, conversion, unauthorized expenditures, and failure to pay Mr. Giannatos for the unpaid balance of the Cedar Park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Carr seeks enforcement of the Swap Agreement by specific performance. He maintains Mr. Gill has had all of the information necessary to complete the financial requirements of the Swap Agreement for some time. Mr. Carr has run Parkview Manor efficiently over the years since the rift between the parties and to allow Mr. Gill to sidestep the Swap Agreement and retain his share of Parkview is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Carr is prepared to undertake to purchase Mr. Gill's share, if any, in the Junkyard and thus takes the position there is no need for the property to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Purchase of Parkview Manor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Gill testified that in 2005 Mr. Carr approached him about an investment opportunity in Cranbrook involving an apartment building. Mr. Carr already owned a fourplex in Cranbrook as well as a cabin at nearby Rosen Lake. He was looking for someone to put in half the money to buy Parkview Manor, a 15 unit building. Mr. Gill had money to invest and was interested. He loaned Mr. Carr $50,000 to finance his side of the deal. The purchase was completed on February 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origin of Mr. Gill's money was not apparent until he was under cross-examination at trial, when he explained that most of it belonged to his wife's father and mother. They were Russian nationals looking for a safe investment opportunity for their retirement funds outside of Europe.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Carr incorporated Parkview Co. with Simon Gill and Darcy Carr as shareholders and directors to buy Parkview Manor. Mr. Gill left the formalities of incorporation to Mr. Gill. This type of delegation was a hallmark of their relationship. Mr. Gill advanced money but took little active interest in day to day operations of the properties he invested in with Mr.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Carr and Mr. Gill held a meeting of Parkview Co. via telephone on December 4, 2005 and passed a resolution to buy Parkview Manor. It was also agreed that Robert Apps, Q.C. would be appointed as the company solicitor. Mr. Gill knew Mr. Apps had done work for Mr. Carr in the past but he had no objection to Mr. Apps becoming company solicitor. Mr. Gill said he trusted Mr. Carr and signed off on what he wanted, because he was just following Mr. Carr's lead and supplying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One of the things Mr. Carr suggested was for Judy Kirton to manage Parkview Manor. She had experience in smaller investment properties and Mr. Gill recalled the job would assist her with Canadian residency requirements. He believed she was already living in Cranbrook at the time, although his memory in this regard is faulty as Ms. Kirton did not relocate permanently to Canada until August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Gill recalled being in Cranbrook in February 2006, likely to conduct a walk-through of Parkview Manor with Mr. Carr. He was at the second meeting of the directors of Parkview Co. on February 12, 2006 at Carr's cabin at Rosen Lake. At that meeting Mr. Gill proposed a resolution that the company would pay a 10% management fee to the active party looking after the property. He understood this to mean Mr. Carr would pay Ms. Kirton a 10% fee based on the rent receipts for managing Parkview. Mr. Carr would help her with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Gill did not intend to take an active role in the management of Parkview Manor as he worked for petroleum companies in other parts of the world. Mr. Gill agreed that Ms. Kirton was paid for collecting the rent, running the bank account, managing expenses and producing income/expense accounts and then Mr. Carr would produce annual accounts and tax returns. Mr. Gill said Parkview Co.'s plan was to refurbish the building and fund the refurbishment from ongoing cash flow. This was at the suggestion of Mr. Carr. Mr. Gill wanted to make a steady income from the building rather than improve it and sell it as a capital investment. Mr. Gill agreed the apartments were not top quality, they were relatively cheap rentals and that refurbishing the building had a twofold purpose: to attract a higher rent and a better clientele.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Gill testified the shareholder money into Parkview Co. was a loan which would be repaid out of income from the apartment rental. He and Mr. Carr both had the skill set to analyze the profitability of a building using an Excel spreadsheet. Mr. Gill expected about a 10% rate of return, relying on Mr. Carr's projections. The building was highly leveraged with a large mortgage so the rate of return was relatively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Gill did not recall meeting with the former owner of Parkview Manor or hearing his suggestion that the new owners should withhold reporting rent from two of the units as he had been doing, then gradually report all the income. He denied having lunch with Mr. Carr after meeting the former owner and suggesting they continue the practice. Mr. Gill maintained there was no need to go "off the books" for income because there was a big shareholders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Gill expected to get monthly income and expense statements with a payment of what was due to him on a monthly basis as well as an annual report. He said he asked Mr. Carr on a regular basis, about every four to six months, for the statements. Mr. Carr always had excuses, saying he was too busy and an accountant was too expensive. If Mr. Gill was not so busy he would have asked Mr. Carr for financial accounting more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Carr testified that he and Ms. Kirton wanted to move away from Trinidad, where crime was on the rise, and live somewhere safer. The currency in Trinidad, the "TT dollar", was strong compared to the Canadian dollar and that made Canada an attractive place to go. In addition, Mr. Carr had a rental property, a fourplex, in Cranbrook. Mr. Gill was aware of the fourplex and its cash generation capability and encouraged Mr. Carr in 2005 to look for properties they could jointly invest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Parkview Manor came on the market and Mr. Carr sent pictures to Mr. Gill. They discussed it and in the late summer of 2005 they put in an offer. The closing date was February 1, 2006 to accommodate the vendor's desire to wait for the next tax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Carr did not have the cash to buy his share of Parkview Manor himself. He said it was Mr. Gill who was enthusiastic about investing in Canada and had the cash to invest. Mr. Carr would not have become involved in a building the size of Parkview absent Mr. Gill's prodding and offer of a loan to make the purchase. Mr. Carr had $100,000 and Mr. Gill helped him with the balance of his share of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Carr would look after the investment and make sure it did well while Mr. Gill would be the silent partner. They agreed Ms. Kirton would oversee the building, including paying the bills and approving new tenants. Ron Dean was a sort of live-in manager who kept the building quiet, collected and deposited rents, and took care of garbage and maintenance. He lived in unit 201 rent-free.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Carr and Ms. Kirton had experience with small rentals in Trinidad. Mr. Gill had no experience with rentals. Mr. Carr talked with a realtor, Sandy Smith, and learned the going rate for property management was 10% of rentals. Mr. Carr set up the company online, looked after the company minute book and annual reports. At their initial company meeting in 2006, Mr. Carr was elected chairman because he had the knowledge to administer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Carr maintained that he and Mr. Gill evaluated the project and decided to reinvest cash in the building, which was somewhat old and tired and attracted less than attractive tenants. He disagreed with Mr. Gill's evidence that the priority with Parkview Manor was to generate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late 2007, Mr. Carr said Mr. Gill asked him questions about the registration of Parkview Co. and whether his name would be identified in the online system. Mr. Carr understood Mr. Gill's former wife Olga was pursuing him for spousal support and he was trying to keep a low profile. As a result, Mr. Carr agreed that Mr. Gill's wife and Judy Kirton should be listed as directors. The same switch was done for the directorship of Cedar Park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Gill denied the directorship changes were effected to hide things from his former wife, because she knew Ms. Kirton and Ms. Askarova. He acknowledged that he did not list all of his Canadian properties on a property statement in the matrimonial proceedings. He said it was because the shares in those properties had been transferred to his wife and were ultimately owned by her family in Russia.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Purchase of Cedar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Gill testified he was sailing in Greece with Mr. Giannatos, likely in 2005, when Mr. Giannatos said he was looking to invest money for retirement. Mr. Gill asked Mr. Carr if there was anything the three of them could invest in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When Mr. Gill was in Cranbrook in early 2006 visiting Mr. Carr, they viewed Cedar Park along with Ms. Kirton. Once the decision was made to purchase the building, Mr. Gill loaned Mr. Carr his full share, approximately $160,000 USD (about $177,000 CAD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Giannatos said he became a 1/3 shareholder in Cedar Park Co. because of Mr. Gill. He also thought the idea of investing in Canada came up on sailing trip in Greece, but on cross-examination he agreed the first time he heard about it could have been in a call made by Mr. Gill from Mr. Carr's cabin.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Giannatos' role was as investor only. He was not active or participating in the company or its holdings. He left Mr. Gill to do that on his behalf. He expected some sort of financial reporting on a monthly or quarterly basis but received little from anyone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Giannatos paid $252,280 into Cedar Park Co. for his share of the company. He transferred more than the required $230,000 because he was sending Euros and was concerned about the exchange rate. Mr. Gill calculated the equalization of the payments in and as a result Mr. Giannatos was owed $6,961.07 by Cedar Park Co. Mr. Giannatos maintains he never received that money from Mr. Carr, who handled Cedar Park Co.'s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Giannatos thought the investment in Cedar Park was a good long-term one. He embraced the notion of selling it after a couple of years because he did not have information about accounts and possible liabilities and was happy to get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Carr testified that when Mr. Gill was in Cranbrook in February 2006 to finalize the Parkview purchase, he was enthusiastic about looking for another building. The two of them drove around looking at different properties as far away as Yak. Mr. Gill noticed Cedar Park as they were driving by and on impulse rang the manager's suite. Scott Barrocca came out to speak with them. He told them the owner was not interested in selling but the next day he called them back and they looked at the building. Judy Kirton attended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Cedar Park was far beyond what Mr. Carr could afford, but Mr. Gill and Mr. Carr called Mr. Giannatos from Mr. Carr's cabin to discuss the purchase of Cedar Park. Mr. Giannatos was interested. Mr. Carr looked after the incorporation of a company and made arrangements for financing. Mr. Gill fronted Mr. Carr all the money for his share, pending some money coming due to Mr. Carr in August of that year. Mr. Carr said in August he paid Mr. Gill $124,000 which took care of the Parkview loan and left him owing Mr. Gill $160,000 for Cedar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Cedar Park had a number of shareholder meetings but the main players were scattered all across the globe. The meetings were via Skype and Mr. Carr admittedly did not document them properly. Mr. Giannatos attended about 20% of the time. At the meeting the financial operations were discussed as were the day to day operation of the building, including issues with bed bugs and so on. Mr. Carr did not retain the minute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Initially, Scott Barrocca stayed on to manage Cedar Park for $2,000 per month and free rent in unit 105. Ms. Kirton provided an oversight role from Trinidad, paying bills and dealing with Scott. Mr. Carr said it was agreed at a meeting of Cedar Park Co. that Judy Kirton would receive 5% of rent as remuneration, or about $963 per month. When Scott Barrocca left in August 2006, Mr. Carr said it was Mr. Gill's idea that Judy Kirton take over the management of Cedar Park on the same terms as Mr. Barrocca. He said Mr. Gill observed that she could carry over the cash withholding practice from Parkview Manor to Cedar Park. Mr. Carr wrote a letter dated September 2006 outlining Ms. Kirton's managerial duties and remuneration. None of the other shareholders had any objection to the arrangement. The letter was tendered as an exhibit by Mr.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their evidence, Mr. Gill and Mr. Giannatos denied any knowledge of the management arrangement with Ms. Kirton at Cedar Park. It appeared they believed she would manage the building for less than half of what Mr. Barrocca had received and would not have a rent-free suite. Ms. Kirton testified it would make no sense for her to manage the building on a less favourable basis than what Mr. Barrocca had enjoyed. If that had been the arrangement, she would have refused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with Parkview Manor, Mr. Carr said the plan with Cedar Park was to improve the units as they became vacant then increase the rents. He also gave three month notices every year under the Residential Tenancy provisions for annual rent increases.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Carr said it was difficult to find cost effective renovation materials locally. He and Ms. Kirton took trips to Alberta and the United States to find good deals. Mr. Carr became the general contractor. He kept inventory in the basement and renovated units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an email dated October 7, 2006, Mr. Carr alerted Mr. Gill and Mr. Giannatos to a bed bug problem in unit 309. Mr. Giannatos offered a practical solution concerning the use of certain materials. Mr. Gill said Mr. Carr should do what he thought he needed to do to get rid of the bugs.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 couple of months later, Mr. Carr wrote an email to update the other major players on a variety of issues, including the bed bug problem: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thinking you guys are together right now. Hope all is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Judy and I have reconciled all the accounts for the year and are just cleaning up some personal expenses which require reimbursement before finalizing and sending off to you guys. Apartments are running well and we have seemingly licked the bed bug problem. We renovated 309 and successfully rented it at $545 a month (ie up from 490 or greater than 10%). We are currently renovating 209 and have it lined up for rental at $565.00 mid January occupancy.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Judy deposited some more money into your guys account. For Dino, $770.00 which is composed of a $700 "over-ride royalty" on the rents and $70 from the laundry. Simon's is Cedar Park $700 "over-ride royalty" on the rents, and $70 from the laundry, plus Parkview $500.00 over-ride, 260 for a rent held from change over, and $100 from the laundry. Total deposit, 2400.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Still working on lots of other stuff. I was thinking too that some sort of compensation to me for doing the apartment renos would be nice and was suggesting 15% of the bills as a suitable fee. For that, I am getting all the material and bringing it to the site, supervising all the contractors and of course doing a bunch of labor.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Simon, lots of other stuff to discuss as well. Am traveling to T&amp;T on Monday but may not go if my meetings dn't firm up. When are you back in London. Darcy.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response was dated Saturday January 06, 2007. It came from Dino Giannatos and was copied to Simon Gill: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Hey Darcy,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the update.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we are here together in Greece and missing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agree with your proposal of 15% in material cost for your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call you right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best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Carr said Mr. Gill visited Cranbrook in the spring of 2007. They walked through the Junkyard and apartment 105 in Cedar Park. Mr. Gill remarked on the bright colours that Judy Kirton had painted the apartment. Ms. Kirton acknowledged in her evidence that she had painted the apartment red and gold at her own expense and promised Mr. Gill she would return it to "boring grey" when she moved out. Mr. Gill testified it was the Junkyard that had been painted bright colours and that he was not in apartment 105 during that particular visit to see that it had been painted bright colours.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Carr testified about other issues at Cedar Park that affected its profitability and smooth management, outlined earlier in these reasons. Mr. Carr regularly discussed these issues with Mr. Gill in particular. Mr. Giannatos never complained about a lack of information and rarely offered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Junkyard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Gill and Mr. Carr viewed the Wycliffe property in February 2006, around the time the purchase of Cedar Park was being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Carr made an offer to purchase the Wycliffe property, which was in foreclosure, in March 2006. On March 21, 2006 the order approving the sale to Mr. Carr was made. The purchase was plagued with difficulties because a former resident stripped the house on the property of anything of value. Mr. Carr filed a writ of summons on March 2, 2007 concerning the damage. This was referred to as the Felske action after the individual who was living in the house when the property was sold in foreclosure. Title did not pass to Mr. Carr until October 23,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Gill advanced $440,000 including the adjustments. He testified he advanced a total of $472,000 for the purchase and related expenses. He said there was no discussion of who was going to own the property. He assumed he would because he put down the money, but Mr. Carr ended up on title. Mr. Gill testified Mr. Carr told him this was because it would confuse the issue in a foreclosure sale to put Mr. Gill on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When the Junkyard was purchased, the area in which it was located was undergoing development for the Shadow Mountain Golf Course. Mr. Gill and Mr. Carr both reasonably believed they could subdivide the land into building lots and make a profit within a couple of years at most of purchasing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Gill testified that it was Mr. Carr's idea to put a 5% interest clause in the written agreement in case something went wrong, such as a drop in the price of land or a decision not to sell or something of that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subdivision plan did not come to fruition for a variety of reasons related to a faltering economy, a glut of building parcels on the market, the failure of the golf course and the creation of an unsightly trench which affected the view from the property. At the time of trial, the land was still not subdivided.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Gill and Mr. Carr agreed in writing to the arrangements respecting the Wycliffe property. They did not seek legal advice in drafting it. The agreement was dated November 4 and was signed by Simon Gill on November 5 and Darcy Carr on November 6. It was addressed to Simon Gill at his home in England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agreement outlines the full and complete terms under which together, we the parties (Mr Simon Gill and Mr Darcy Carr) agree to govern our intended development of the subject property for the purposes of profiting on the investment therein, either through real estate development of the lands, building improvements or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return for a 50% share in the net profits of the project, Simon Gill agrees to fund all development costs including the full purchase price of the property and all third party costs, such moneys to be supplied on request to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return for a 50% share in the net profits of the project, Darcy Carr has located and completed the work required to obtain the property, and will supply all the management efforts and accounting requirements to steer the project to successful completion.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ensure good business order, a proper set of computerized accounts supported by payment vouchers and third party invoices shall be kept by Mr. Carr. To operate the financial aspects, that is to say, the income and expenses for the project, a stand alone bank account where either Mr. S Gill or Mr. D Carr can sign (any one signature to operate the account) shall be established for payment of the future expenses for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further agreed between the parties that the funds supplied by Mr. Gill shall hold a first lien and single most superior debtors position against the property and shall be repaid, along with any interest due as per the interest terms included in this agreement, prior to any further disbursements for any reason whatsoever of any funds and/or profits received to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Interest is to be paid on all funds advanced and/or loaned to the project regardless of source at a rate calculated annually at 5%, such interest to accrue from the date advanced to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agreement represents the full terms agreed between the parties and may be modified at any time by mutual agreement of both parties in writing and shall endure until the project is completed and all property and or assets associated with the project are sold or other wise disposed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Carr testified that when he and Mr. Gill looked at the property, Mr. Carr said he wanted five acres with a view to build a house on. Mr. Gill agreed and considered keeping one of the parcels to build a house on as well. This was never reduced to writing and Mr. Gill had no recollection of 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Gill thought the house on the property was going to be fixed up for Judy Kirton to live in while she was managing the two apartment buildings because Mr. Carr told him she would live there. He said the house was painted bright Caribbean colours because that is what Ms. Kirton liked. I find Mr. Gill's belief that Ms. Kirton was living in the house to be mistaken. Ms. Kirton did not drive, the Junkyard was several miles outside of Cranbrook and she was required to be on site much of the time while managing Cedar Park. Ms. Kirton testified she stayed at the Junkyard for a few nights during her time in Cranbrook as respite from the demands of the tenants at Cedar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was a fire, determined by police to be arson, at the Junkyard property on the Labour Day weekend in 2007. Mr. Carr testified it destroyed a number of items in the garage which had been purchased to improve the house and the garage itself. He wanted to have the garage rebuilt under the insurance claim. Mr. Carr testified Mr. Gill told him "I need you in Trinidad working on Bayfield Energy, not in Cranbrook. There is no time for this. Take the money." Accordingly, Mr. Carr took the monetary payout of the policy and sent $50,000 of it to Mr. Gill in September 2008. He kept the rest for himself to pay for items lost in the fire which belonged to him, or, in the case of a Bobcat tractor, were actually the property of Cedar Park Co., having been purchased with money from Cedar Park Co. There was also a claim related to the replacement of two large pine trees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difficulty in sorting out the ultimate accounting for the Junkyard will be compounded by financial commingling between Parkview Manor and the Junkyard. Before Mr. Gill and Mr. Carr had their falling out it was apparently common for Mr. Carr to pay Junkyard bills with Parkview money rather than ask Mr. Gill for the Junkyard operating expenses, particularly after mid-2008.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Carr kept track of the time he spent managing the fire incident at Wycliffe. He felt he had to clean up and safeguard the property, tasks which were above and beyond what he was supposed to be doing with respect to the subdivision project. He spent 8 to 10 hours per days on the property and recorded his time at $125 per hour, which is what he would charge if he was in his office. A significant amount of Mr. Carr's time in Cranbrook in 2007 and 2008 was devoted to cleaning up the Junkyard, including building a gate to secure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Carr testified that Mr. Gill did not fulfil his end of the written agreement because he refused to advance money to pay the Junkyard property taxes in 2008. Mr. Carr tendered in evidence Quicken records which show that he contributed $2,000 on June 25, 2008 towards the property taxes and Ms. Kirton contributed $300. The property taxes that year were $2,092.74 and were paid on June 30, 2008. Mr. Carr said he kept all receipts and expenses for the Junkyard in a binder and maintained the bank account even after Mr. Gill was not supplying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accept Mr. Carr's evidence that after the middle of 2008 Mr. Gill contributed nothing towards the Junkyard, though he may have contributed indirectly through the commingling with Parkview funds noted earlier in these reasons. It was around this time Mr. Gill was attempting to settle the issue of spousal support with his ex-wife. Mr. Giannatos testified he loaned Mr. Gill something in excess of $40,000 USD to assist him in this regard. This need for funds to settle the spousal support matter may explain Mr. Gill's reluctance to put more money into the Junkyard.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By late 2008, the parties were over two years into the Junkyard investment with no signs of a pending subdivision or sale. Mr. Gill said Mr. Carr agreed to pay him half the money he had invested and put Mr. Gill, or his wife Ms. Askarova, on title. Mr. Gill emailed Robert Apps, Q.C., who Mr. Carr had used in the past, to arrange the property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Gill prepared a chart concerning the financing of the Junkyard along with Cedar Park and Parkview Manor. According to his calculations, Mr. Carr owed Mr. Gill a total of $392,980 for half the Junkyard purchase ($208,000 USD), the purchase of Parkview Manor and Cedar Park ($160,000 USD) as well as $50,000 Mr. Carr borrowed from Mr. Gill's investment account, which Mr. Carr had been managing. Mr. Gill wanted the money to be paid to Bayfield, the petroleum venture, and Jersey, a joint account he had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Gill received the money, in excess of $392,000, from Mr. Carr in May 2009. Some of the money went to Bayfield and some went to the Jersey account. Mr. Gill said Mr. Carr made a bit of a fuss about repaying the money. Mr. Carr took out a mortgage against Parkview Manor and had to pay financing fees as a result. Mr. Gill wanted to sell Parkview but Mr. Carr was not in a position financially to do so as a result of the mortgage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a result of Mr. Carr's payment of half the original purchase price of the Junkyard, Mr. Gill felt the agreement they had been operating the Junkyard under was no longer valid, it was owned 50/50 and they needed to discuss financing it in the future, selling it and so on. There were discussions between Mr. Gill and Mr. Carr about modifying the Junkyard agreement. Mr. Gill wanted Mr. Apps to add him to title, with his wife Elvira Askarova as joint owner with right of survivorship. Mr. Apps declined to do the transfer because of a potential conflict of interest and suggested a trust be drawn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Gill felt things were overly complicated as there was no transfer of title or money exchanging hands; however, he received an email from Mr. Apps' conveyancing assistant advising that there would be property transfer tax and withholding tax in excess of $40,000 required. I am satisfied this is part of the reason he did not move ahead with having his name added to the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Gill and Mr. Carr continued emailing back and forth in 2010 about selling the Junkyard. Mr. Gill asked to visit the property in March 2010 to pick up some boxes of old documents and ski equipment but claims Mr. Carr refused. Mr. Carr said he was at his cabin at Rosen Lake when Mr. Gill called. Mr. Carr did not wish to travel to the Junkyard that night to permit access but offered alternatives for access. Mr. Gill treated Mr. Carr's refusal to let him onto the property as an overt act of hostility.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Apps testified at trial about various of his dealings with Mr. Gill and Mr. Carr, but one thing he said stands out: the two men seemed to always be in negotiations concerning the Junkyard.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Distribution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 central issue in this litigation, and a large part of the plaintiffs' claim for conversion against Mr. Carr and Ms. Kirton, is the Skim Operation. Mr. Gill and Mr. Giannatos flatly denied any knowledge of it and claim to have never received any money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Carr testified the idea for the Skim Operation originated with the former owner of Parkview Manor. He told Mr. Carr and Mr. Gill that he had not been declaring income for two of the apartments in the building and suggested they continue with the practice before gradually declaring all the income. Mr. Carr said he went to lunch with Mr. Gill at Denny's and Mr. Gill said they should continue the practice of withholding some of the building's income, if that was normal. The practice continued with Cedar Park once Ms. Kirton took over from Mr. Barrocca.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Carr testified he instructed Ms. Kirton to withhold cash rental payments and some of the laundry money. That money constituted the funds he would divide into two (for Parkview Manor) or three (for Cedar Park) and distribute, either as cash or as deposits to the other major players'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skim payments were initially sent to Mr. Gill's Scotiabank account with a certain portion to be forwarded on to Mr. Giannatos. Ultimately Mr. Giannatos asked for his money in larger batches and in TT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Carr relied on a series of emails and some bank deposits to illustrate what he was sending to Mr. Gill and Mr. Carr. One of the emails from early 2007 is set out earlier in these reasons. I will reproduce the salient portion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Judy deposited some more money into your guys account. For Dino, $770.00 which is composed of a $700 "over-ride royalty" on the rents and $70 from the laundry. Simon's is Cedar Park $700 "over-ride royalty" on the rents, and $70 from the laundry, plus Parkview $500.00 over-ride, 260 for a rent held from change over, and $100 from the laundry. Total deposit, 2400.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Carr sent money to Mr. Gill's Scotiabank as well as his Templeton Funds account in Toronto and his Trinidad bank account. Sometimes he gave Mr. Gill cash at his home in Tobago. On one occasion Mr. Carr said Mr. Gill produced some caviar, obtained cheaply in Kazakhstan, and served it at the kitchen counter while Mr. Carr handed over the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Kirton confirmed that Mr. Carr told her to withhold money from the income of Parkview and Cedar Park. She thought for Cedar Park it was initially $700 for each shareholder and then it went up to $1,000 plus $60 from the laundry money. Payments from Parkview Manor were $400 each plus $100 from the laundry. She would write receipts for all the rent and the damage deposits but withhold cash from bank deposits, though coins were deposited. The amount of laundry money was not tracked.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Kirton told Mr. Carr she was not happy about the Skim Operation; he told her to get over it. She deposited the skim money in the accounts of the major players quarterly. On occasion when she was in Tobago she gave Mr. Gill cash directly and once she bought sheets for Mr. Gill's wife out of Mr. Gill's skim money. Mr. Giannatos' share initially went to Mr. Gill's account but then he asked for bank drafts in TT dollars. Ms. Kirton would take cash with her on trips to Trinidad and convert it there to pay him. She had no direct dealings with Mr. Giannatos and did not discuss the Skim Operation with Mr. Gill when she saw him or spoke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Elena Askarova, Mr. Gill's wife, denied that she received skim payments in cash or otherwise through the joint accounts she held with her husband. She remembered the purchase of sheets but maintained she had given Ms. Kirton the money for it. Ms. Askarova said on cross-examination words to the effect that it was up to Mr. Carr to prove the money. Otherwise she gave fairly vague answers financial issues relating to her accounts with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Sometimes there was not enough money coming in to the apartments to pay all the bills so Ms. Kirton would not withhold the skim payments. Mr. Carr would loan money from his overdraft to cover any shortfalls in building operating expenses. Ms. Kirton stopped making the skim payments in the early part of 2009, because she was fed up and Mr. Gill was "acting like an idiot" towards Mr. Carr, complaining about the lack of financial reporting among other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Kirton identified a bank draft dated November 15, 2009 to Dino Giannatos in the amount of $16,300 TTD. She said that money was short earlier in the year so the Skim Operation payout was delayed.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Carr used Quicken to download data from the bank accounts. He compiled the data every quarter. Ms. Kirton testified she would work with Mr. Carr, either in person or via Skype, to add in information about what certain cheques that had been deposited were for. The quarterly data took two or three hours to complete. Mr. Carr said neither Mr. Gill nor Mr. Giannatos complained about this manner or the frequency of financial reporting. Quicken did not reflect the Skim Operation, which came from funds that never reached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Gill periodically asked about the skim money and, in Mr. Carr's words, got "quite snarky" about it in 2009. Mr. Carr referred to an email he received from Mr. Gill, copied to Mr. Giannatos, dated October 7,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checking my record and the last income I seem to have received was received on 2 April 09. Can you let me know if anything has been sent since then and what the status of the payments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Dino, Have you received any money in this time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Carr responded later that same day, adding Ms. Kirton to the email thread: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haven't looked at the accounts since June when I sent you the last update in quicken. As far as I know, the vacancies which occurred in the spring and summer impacted on income and we also had expenses to repair the roof at Cedar Park. I believe Dino still has his first quarter dividend to get, which is sitting in the account, but that is all I know about that is outstanding. With the end of the quarter, I will go up online and bring in the last three months of banking data to update quicken.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is Sanym at with regard to reviewing the accounts?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This correspondence confirms Mr. Carr's account that he was sending quarterly Quicken updates to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Deterioration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August 2009, the parties began discussing in earnest how to divide their Canadian properties. Mr. Carr emailed Mr. Gill and Mr. Giannatos on August 23. He noted that Mr. Gill and Mr. Giannatos were inclined to sell Cedar Park for whatever they could get and that Mr. Carr could take over Mr. Gill's shares in Parkview Manor for Mr. Carr's share in Cedar Park. Mr. Carr stated any mortgage, penalties, tax or legal costs associated with selling Cedar Park would be for Mr. Gill and Mr. Giannatos to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Gill responded by email on August 27 and copied Ms. Kirton on the correspondence. He expressed his view that this was a one-sided offer and that he had loaned Mr. Carr most of the money to become involved in the three properties. He acknowledged the apartments appeared to have been run well but accounts from them were non-existent and income was sporadic at best. He bemoaned the lack of accounts for the Junkyard and said he had paid for upgrades to the house, which he had no prior knowledge of, so that Mr. Carr and Ms. Kirton could live in it. He complained about Mr. Carr's decision to take Cedar Park off the market and turn down an offer for $2.3 Million in May 2008 and an offer for Parkview Manor of $1.15 million in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Gill also said he defended Mr. Carr against criticisms from individuals involved in the oil venture in Trinidad and Tobago and had lost credibility in doing so. He queried why he and Mr. Giannatos would have to bear the costs of selling Cedar Park; why Mr. Carr applied the per unit price for the 36-unit building to the 15-unit building; and why their agreement to sell the Junkyard and split the money, which they had discussed, was not mentioned in Mr. Carr's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December 2009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December 12, 2009, Mr. Gill, Mr. Carr, Mr. Giannatos and Mr. Carr's accountant Cintra met at Mr. Giannatos' office at Galeota Point in Trinidad. Cintra took minutes. Mr. Giannatos testified he received a scanned copy of the minutes but it was not produced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three men discussed property management of Cedar Park and replacing Judy Kirton with a professional. Mr. Gill had obtained a quote from Highland Property Management in Cranbrook and presented it at the meeting. Mr. Gill said he was fed up with promises of proper accounting which were not carried out. He also felt that after 3 1/2 years they were receiving little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Giannatos and Mr. Gill voted in favour of removing Ms. Kirton and appointing Highland as property manager. Mr. Gill also wanted to remove Ms. Kirton as property manager at Parkview Manor but Mr. Carr was opposed and said since he was managing director he would block Mr. Gill's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Gill and Mr. Giannatos testified the three men agreed that when Mr. Gill and Ms. Bissenaliyeva were in Canada at the end of February to get the boxes of records for Parkview Co. and Cedar Park Co., including the financial documents for the two buildings, the property management change would be effected. Mr. Gill had initially asked Mr. Carr to send the boxes to England, then arranged with Mr. Carr to have a key to the manager's apartment supplied to him so they could be examined on site, but ultimately Mr. Carr demurred and wanted to be present in Cranbrook when the books were handed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Carr and Mr. Gill discussed the Swap Agreement but Mr. Gill says they came to no agreement on price and nothing could be done until accounts were completed for the two apartment buildings because there would be no way to value the properties. Mr. Gill also expressed concern that according to Quicken data he had received from Mr. Carr, it appeared that the second mortgage on Parkview Manor, for which Mr. Carr was responsible, was being paid for by Parkview Manor and not by Mr. Carr. Mr. Gill said Mr. Carr "blew him off", claiming that Parkview Manor owed him money and it would all work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After the December meeting Mr. Carr continued to voice concern that Mr. Gill had failed or refused to sign the personal guarantee on the documents for the second Parkview Manor mortgage and he pushed to conclude the Swap Agreement as soon as possible. Mr. Gill wanted three years' worth of financial records for both apartment buildings (2006 through the end of 2009), an agreed price on both and a sales agreement concerning the Junkyard by March 1 or his name put on title. Mr. Gill felt he was being pressured into the Swap Agreement by Mr. Carr, who wanted to keep Parkview Manor because it was easy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By December 31, Mr. Gill says they agreed via email to a sale price of $1.1325 million for Parkview Manor and $2.4 million for Cedar Park. Mr. Carr had calculated the capitalization rates of the two buildings but Mr. Gill felt those figures were too nebulous and wanted to base the values on offers received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Carr wanted to do the swap without including the break fees for the Cedar Park mortgage. That would mean Mr. Gill and Mr. Giannatos would have to absorb that cost. Mr. Gill suggested rather than a Swap Agreement they sell shares for cash but wait to pay out until either Cedar Park or the Junkyard sold. There would be no share acquisition that way. Even with that arrangement Mr. Gill insisted he wanted accounts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Gill said he wrote up the initial Swap Agreement when he was at an energy conference in January 2010 in Port of Spain, Trinidad. It set out: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Price of CP $2.4 Million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Price of PVM $1.35 Million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 Price - 1st loan - break fee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Point forward DNC 100% responsible for PVM operations and loans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Point forward SKG and DFG 100% responsible for CP operations and loans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Accounts and audits for last 3 years for both properties to be done and reconciled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DNC to replace me as guarantor, we agree I don't sign papers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next day Mr. Gill said he and Mr. Carr signed a document entitled Swap of Apartments in Canada dated January 27, 2010. The document was prepared without legal advice or advice about tax implications. It provided: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Agreed terms between Simon Gill and Darcy Carr</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 Date of Swap to be December 31st, 2009</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Mechanism of swap to be the redemption of shares held in the Company by the company of the surrendering party.</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of Cedar Park to be Cdn $2,400,000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of Parkview Manor to be Cdn $1,132,500</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due Simon Gill from Parkview Manor to be calculated by using $1,132,500 less the value of the first mortage, less the mortgage break fee divided by two. ("DNC to be responsible for 2nd mortgage" is added in handwriting and initialled)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due Darcy Carr from Cedar Park to be calculated by using $2,400,000 less the value of the first mortgage, less the mortgage break fee divided by three.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 assumes all liabilities for company operations [the word "past" is crossed off and initialled] present and future including any ["past" crossed out again] tax liabilities or future capital gains taxes which may become applicable.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Mortgage security for each apartment is to be regularized with the bank to reflect the new ownerships with the surrendering parties being released from any and all obligations related to the building they are swapping out of.</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accounts and full audit of both companies is to be completed.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supersedes and replaces all other agreements between the parties regarding these two apartment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handwritten notation at the bottom, initialled by both parties, reads "Balance of funds owing to be settled when Cedar Park sells".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Gill testified he expected that complete accounts would be provided and full audits would be completed at the end of February 2010 when he travelled to Cranbrook with Ms. Bissenaliyeva. At that point, Cedar Park was listed for sale and he thought the audits would be completed before Cedar Park was sold. He was not willing to give up his shares in Parkview without a completed audit. Mr. Gill used the term "audit" in a loose sense. I accept that what he wanted was for Ms. Bissenaliyeva to look at the financial records for both apartment buildings to ensure they appeared to be in good order, with records of income and expenses available. This is consistent with Ms. Bissenaliyeva's evidence concerning what she had been asked to do. If there were any irregularities, an accountant would be retained to do a proper examination of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Carr takes a different view about the timing of the handwritten note in relation to the final written agreement. He says Mr. Gill's handwritten notes were prepared at or shortly after the December 2009 and the typewritten document was the product of refining those notes with further discussions. Mr. Carr's recollection in this regard is to be preferred, as the difference in price for Parkview between the handwritten note and the typed and signed agreement was the product of emails back and forth between the December 12 meeting and the energy conference in January, rather than a change in price overnight at the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Events of Early 2010 in Cranbrook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Gill and Ms. Bissenaliyeva met Mr. Carr in Cranbrook at Cedar Park in February 2010. Mr. Carr refused to give them the financial documents and said he would scan and email them. Mr. Gill said in the days and weeks that followed, Mr. Carr emailed random PDF files of Cedar Park data, but nothing about Parkview.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Gill and Mr. Carr agreed to meet at Mr. Apps office in late February in the hopes that Mr. Apps could mediate an agreement to sort out their disputes. Mr. Carr emailed to say he would attend with corporate resolutions to complete share redemptions, which Mr. Gill understood meant the Swap Agreement. Mr. Gill did not want to carry forward with that as the audits had not been done and he had advice from BDO that there were tax issues with the Swap Agreement which needed to be sorted out. Mr. Gill thought the parties intended the Swap Agreement to be tax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Gill advised Mr. Carr and Mr. Apps of the tax issue at the meeting. Mr. Carr maintained the issue of tax neutrality was never raised in talks with Mr. Gill concerning the swap of shares. Mr. Carr presented papers he wanted signed to complete the Swap Agreement and again "made a fuss" about the personal guarantee on the second Parkview mortgage. Mr. Gill steadfastly refused to sign the personal guarantee because he would effectively be guaranteeing a loan that was used to pay him back and it made no sense. The meeting was strained and ultimately broke down when Mr. Gill left, telling Mr. Carr he would see him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Carr testified that he sent Ms. Bissenaliyeva scanned documents concerning Cedar Park and answered her questions about expenditures. He did not think she understood how an apartment building's accounts would look. One example was her question about a large expense in July, which Mr. Carr explained was the property tax. There were other examples where Mr. Carr felt Ms. Bissenaliyeva questioned things that were in his view fairly standard. He maintained he sent Parkview documents to Mr. Gill on a CD; Mr. Gill said the CD was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Notwithstanding the acrimonious end to the meeting at Mr. Apps's office, Mr. Gill and Mr. Carr continued to email back and forth about the Swap Agreement. On April 27, 2010, with a sale of Cedar Park looming large, Mr. Gill wrote an email to Mr. Carr, Mr. Giannatos and several lawyers: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been correspondence sent to your lawyer and Bob Apps, by my lawyer that you do not seem to be aware of, therefore I have attached some relevant letters to this email. Your lawyer has not responded to my lawyer and we would like guidance on whether we should continue corresponding with him, or deal directly with you. As you can see from the attached letters, Bob Apps is in a conflict position and will not do anything until we all agree on a way forward. Additionally, be aware that he has informed my lawyer that he is not the corporate lawyer. As I think we would all like to settle this and move forward and please note that the reasons for the previous swap agreement being no longer valid are documented facts, but this agreement could be used as a framework for an agreement. Therefore, I make the following suggestions: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to sell Cedar Park for $2.2 million.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that the value of Parkview is reduced by the same 8.33%.</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in advance that on closing the Cedar Park Sale, you would use your proceeds to purchase my half of Parkview for half of the new value of $1,038,125 less the break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is acceptable, we could get my lawyer to draw up necessary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Carr responded the next day, advising "This is acceptable. Please proceed to prepare the appropriate documents. Darcy".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appropriate documents consisted of a shareholders' consent resolution of Cedar Park Co. to sell the company's property, Cedar Park Apartments. The resolution also stated:</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 proceeds attributable to Darcy Carr's share of the Company of the aforementioned Offer shall be applied to complete the Swap Agreement of January 27, 2010 entered into between Simon Gill and Darcy Carr, as amended by offer from Simon Gill dated April 27, 2010 and acceptance of same by Darcy Carr on April 28, 2010. The said Swap Agreement, as amended, is hereby approved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sale of Cedar Park completed in September 2010. Mr. Gill continued to press Mr. Carr, through their respective legal counsel, for the supporting documents for Parkview Manor's accounts. Mr. Gill had the bank statements and Quicken but did not have the income receipts, company Visa statements or support for expenses. These concerns were reiterated in February 2011. In May 2011, Mr. Gill filed a petition for document production in relation to Parkview and the appointment of an auditor. Matters languished until September 17, 2012 when Mr. Gill obtained the order appointing Ms. Gallinger as auditor of the books of Parkview Manor.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Carr takes the position that he has satisfied paragraph 9 of the Swap Agreement by providing Mr. Gill with original documents for Cedar Park and copies for Parkview of all financial records, invoices, receipts and financial statements in a timely fashion. In spite of Mr. Carr fully cooperating with this, he says Mr. Gill never retained an accountant to prepare the financial statements for Cedar Park or to review the financial records of Parkview. Mr. Carr maintains he has been ready, willing and able to complete the exchange of shares as set out in the Swap Agreement but Mr. Gill has refused to act on it, notwithstanding being in possession of all the relevant financial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As noted recently in </w:t>
      </w:r>
      <w:r>
        <w:rPr>
          <w:rFonts w:ascii="arial" w:eastAsia="arial" w:hAnsi="arial" w:cs="arial"/>
          <w:i/>
          <w:color w:val="000000"/>
          <w:sz w:val="20"/>
          <w:lang w:val="en-US" w:eastAsia="en-US" w:bidi="ar-SA"/>
        </w:rPr>
        <w:t>R. v. Khan</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2015 BCCA 320</w:t>
        </w:r>
      </w:hyperlink>
      <w:r>
        <w:rPr>
          <w:rFonts w:ascii="arial" w:eastAsia="arial" w:hAnsi="arial" w:cs="arial"/>
          <w:color w:val="000000"/>
          <w:sz w:val="20"/>
          <w:lang w:val="en-US" w:eastAsia="en-US" w:bidi="ar-SA"/>
        </w:rPr>
        <w:t xml:space="preserve"> at para. 44, credibility and reliability are not the same thing. Credibility concerns the veracity of a witness whereas reliability involves the accuracy of the witness's testimony. Assessing accuracy engages consideration of the ability of the witness to observe, recall and recount.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Madam Justice Dillon summarized the principles involved in a credibility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Gill's credibility was affected by a number of factors. He tended to give lengthy and often self-serving answers. On cross-examination he was argumentative on occasion, asking questions of opposing counsel rather than answering the question he had been asked. He tried to portray himself as someone who bowed to the wishes and advice of Darcy Carr. In closing submissions, Mr. Gill's counsel suggested that Mr. Carr had lured Mr. Gill to invest in Cranbrook by preying on the latter's trust and then taking advantage of him. I find that was not an accurate portrayal. Mr. Gill actively pursued an interest in investing with Mr. Carr in Cranbrook and encouraged him to step up from investing in small properties by offering him loans. He did not disclose the source of the money he was looking to invest. While technically speaking Mr. Gill may not have been obliged to tell Mr. Carr that most of the money belonged to his Russian in-laws, it does indicate that he was not giving Mr. Carr the full picture about his financial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Gill's tendency to hold his cards close to his chest was replicated in two documents presented to him on cross-examination. One, a financial statement prepared in the context of a spousal support proceeding with his ex-wife Olga was not as forthcoming about his property holdings as one might expect. The other, a disclosure statement prepared when the second mortgage on Parkview was sought, did not disclose all of Mr. Gill's property holdings.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Giannatos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found Mr. Giannatos was credible but the reliability of his evidence was hampered by the fact that he paid little or no attention to the Cedar Park investment, even when Mr. Gill and Mr. Carr discussed the Swap Agreement in front of him at the December 2009 meeting. Mr. Giannatos was content to invest his money and have his friend Mr. Gill take care of it. The emails filed in this case tend to show that any efforts by Mr. Giannatos to gain more information about the finances of Cedar Park Co. were at the prodding of Mr. Gill when he sent out emails copied to all three of the major players asking specific questions of Mr. Carr.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Like Mr. Gill, Mr. Carr gave lengthy and self-serving answers to some questions, sometimes to the point of forgetting the question he had been asked. Mr. Carr tried to portray himself as quite passive in relation to Mr. Gill, to whom he referred to as the "alpha dog". I find that characterization of the balance of power to be somewhat inaccurate, although, as noted,n I accept that it was Mr. Gill who pushed Mr. Carr into investing in larger properties than he was accustomed to, rather than Mr. Carr preying on Mr. Gill's goodwill and healthy cash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Carr's credibility was affected when he was cross-examined about the binder of expenses concerning the Junkyard which he tendered in evidence. It was apparent in cross-examination that some of the claims he made were inflated or might have been duplications. As detailed later in these reasons, an accounting in respect of the Junkyard is necessary to wind up affairs between Mr. Gill and Mr. Carr concerning that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Kirton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Kirton was not one of the major players in this litigation, but she is a party and there were serious allegations made against her. I found her to be generally forthright and honest and her recall of details did not seem to be calculated to shore up her ex-husband's position in this lawsuit, or her own. Her credibility suffered on cross-examination when she acknowledged having sworn an affidavit in these proceedings with several serious inaccuracies. Ms. Kirton said she swore the affidavit under pressure from Mr. Carr and later regretted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Concerning the Junkyard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find that Mr. Gill and Mr. Carr both wanted and expected to conclude the Junkyard development in a fairly short turnaround, something in the range of 18 to 24 months. That did not occur for a variety of reasons. The time Mr. Carr spent in Cranbrook was not devoted solely to pursuing the development of the Junkyard property, because it simply could not be. A great deal of his time was taken up with the management of Cedar Park and Parkview. He was left by the other investors holding the bag in that respect. When Mr. Carr was able to devote time to the Junkyard it was primarily for the purpose of cleaning up the property, particularly after the fire in the fall of 2007. In retrospect Mr. Carr spent a lot of time tidying up the house and outbuildings, time that could perhaps have been spent on other aspects of the Junkyard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evidence satisfied me that the Shadow Mountain golf course development and subdivision of lots associated with it created a glut of building lots on a market weakened by the economic downturn. Additionally, I accept Mr. Carr's evidence that the golf course developers dug a large, ugly trench along the property line with the Junkyard, which may have made lots with a view of that area less attractive to potential buyers. I also accept that Mr. Gill ceased funding the Junkyard property expenses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If the Junkyard property had been subdivided and sold as planned in the time originally anticipated, the terms of the development agreement might have been sufficient to conclude the project without the need for litigation. That of course did not occur. The property was not developed and Mr. Gill became insistent in 2008 that Mr. Carr repay money owed to him on the other projects as well as buying out half of Mr. Gill's interest in the Junkyard. Mr. Carr paid the money. Mr. Gill was never put on title. He was occupied with matters in another part of the world and he was resistant to paying the fees associated with transferring a half interest in the property to his name as well as fees for the Canada Revenue Agency. No written addendum to the original agreement was ever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issue now is how to characterize the legal status of the Junkyard before and after Mr. Carr paid Mr. Gill half of the purchase price. While at first blush it appears the original arrangement was akin to a partnership, it contains features which are contrary to partnership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A partnership is defined in s. 2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 xml:space="preserve"> as "persons carrying on business in common with a view of profit." This implies three requirements: 1) a business 2) which is carried on by two or more persons in common 3) with a view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Determining whether or not a partnership exists is an objective exercise. Where parties have declared a partnership, or signed a partnership agreement, the parties' actual behaviour might lead to a finding of no partnership. Equally, where parties have made a declaration or agreement that they are not entering a partnership relationship, a partnership may still be found based on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Under the letter agreement, Mr. Gill was responsible for funding the project, including providing all funds for the purchase of the junkyard, while Mr. Carr was responsible for all of the management and accounting requirements. Each was to receive a 50% share of the net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Based on the agreement alone, Mr. Gill's involvement was purely financial. His evidence and the evidence of Mr. Carr supports the conclusion that this was his intention. He did not participate in any management or decision-making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contains default rules that apply to any partnership arrangement, but which can be supplemented or modified by agreement. Sections 27(c) and (d) provide that subject to any agreement to the contrary, a partner is not entitled to interest on the capital subscribed to the partnership, but may receive interest at a fair rate for any additional amount contributed beyond the agreed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Under the letter agreement, interest was to be paid on all funds advanced or loaned to the development project. One of the remedies Mr. Gill seeks is judgment for oustanding interest on the "Junkyard Loan". Both the pursuit of interest and the classification of the capital as a loan are contrary to typical partnership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Furthermore, the letter agreement states that "the funds provided by Mr. Gill shall hold a first lien and single most superior debtor's position against the property." On a plain reading, this comprises two elements. First, Mr. Gill has a lien against the property, presumably meaning it cannot be sold or disposed of in any way without his permission. This is corroborated to some extent by his witness evidence, where he stated with respect to the property: "I have first lien. I control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It is generally understood that when a partnership owns property, no individual partner has the right to deal with that property separately: </w:t>
      </w:r>
      <w:r>
        <w:rPr>
          <w:rFonts w:ascii="arial" w:eastAsia="arial" w:hAnsi="arial" w:cs="arial"/>
          <w:i/>
          <w:color w:val="000000"/>
          <w:sz w:val="20"/>
          <w:lang w:val="en-US" w:eastAsia="en-US" w:bidi="ar-SA"/>
        </w:rPr>
        <w:t>Robert Porter &amp; Sons Ltd. v. Armstrong</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[1926] S.C.R. 328</w:t>
        </w:r>
      </w:hyperlink>
      <w:r>
        <w:rPr>
          <w:rFonts w:ascii="arial" w:eastAsia="arial" w:hAnsi="arial" w:cs="arial"/>
          <w:color w:val="000000"/>
          <w:sz w:val="20"/>
          <w:lang w:val="en-US" w:eastAsia="en-US" w:bidi="ar-SA"/>
        </w:rPr>
        <w:t>. If the parties viewed themselves as partners and the Junkyard was understood to be partnership property, it would be unnecessary to articulate such a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second element, the phrase "single most superior debtors position", is less clear. It appears to imply that Mr. Gill's capital contribution would be the first to be paid back before the disbursement of any funds or profits from the project, potentially making Mr. Gill, in effect, a creditor of the partnership rather than a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same phrase "single most superior debtors position" is relevant to the issue of loss-sharing. Under the default rules, all partners must "contribute equally to the losses, whether of capital or otherwise, sustained by the firm" (s. 27(a)). Again, this can be altered by agreement, but loss-sharing is a common characteristic of partnerships. Section 47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requires that, on dissolution, the partnership assets, including sums contributed by the partners, must be used to make up losses and first pay debts to those who are not partners. This section, like s. 27, is subject to agreement, but again in this regard the terms of the letter agreement are contrary to the basic elements of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It does not appear as though the parties intended to share losses incurred by the project. Based on the witness evidence summaries, the property seems to have lost value because of the glut of building lots on the market and the unsightly ditch. The parties did not present evidence about its value so it is difficult to say if it is worth more or less than when Mr. Carr first acquired it. In spite of this, Mr. Gill seeks to be indemnified as fully as possible for his capital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light of the provision for interest, the characterization of the funds advanced as a lien, and the provision that Mr. Gill be paid back before any profits are to be distributed, I find the letter agreement was a contract of loan rather than a partnership. Based on the terms of the letter agreement, Mr. Gill is entitled to 5% interest on the monies he advanced from the date they were advanced until the date he received half of the purchase price of the Junkyard from Mr. Carr. Mr. Gill did not seek repayment of half of all the money he advanced to the project when he sought payment from Mr. Carr and I find he is not entitled to recover anything more than half the purchase price. Nor is Mr. Carr entitled to claim for payment for his sweat equity under the original development agreement. There is no provision for him to do so apart from through the successful completion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From the point Mr. Carr paid Mr. Gill half the purchase price for the Junkyard, the relationship between the parties changed and the development agreement no longer applied. Mr. Carr and Mr. Gill each owned a half interest in the property. Mr. Gill and Mr. Carr held legal title to the Junkyard; Mr. Gill held an equitable interest in it. They both wanted to profit from its sale. While counsel for Mr. Carr maintains that at best Mr. Gill held an equitable mortgage against the property, this does not reflect the understanding between the parties. The relationship from that point forward is best characterized as a partnership. Accordingly, the development of the Junkyard constitutes a partnership between Mr. Carr and Mr. Gill and the Junkyard is partnership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As the partnership is clearly no longer workable given the rift between Mr. Carr and Mr. Gill, I order dissolution under s. 38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The Junkyard will be listed for sale as soon as practicable, free and clear of all encumbrances, except the reservations and conditions in the original grant from the Crown. The sale price will be determined by an independent third party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Once the assessment is completed and a sale price is determined, Steve Brine of Rockies Law Corporation shall have exclusive conduct of the sale and be at liberty to list the Junkyard for sale and to do all things reasonably incidental thereto, including paying to any real estate agent or firm retained by him the standard commission charged by agents in the Cranbrook area from the proceeds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order that any person or persons in possession of the Junkyard, including any tenants, shall permit any duly authorized agent of Steve Brine to inspect or appraise the Junkyard property and the house on it and show the property and house to prospective purchasers between the hours of 10:00 a.m. and 8:00 p.m. any day, including Sundays and statutory holidays, and to post signs on the property indicating that the property is offered for sale. Any offer for sale shall be subject to approval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order that there be an accounting by a Master or Registrar, pursuant to Rule 18-1, concerning the partnership, with the following directions:</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Master or Registrar shall make a recommendation on how the partnership assets should be distributed in accordance with section 47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with Simon Gill and Darcy Carr entitled to share equally in the ultimate residue under s. 47(b)(iv);</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27(f)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Mr. Carr will not be compensated for acting in the partnership business but is entitled to claim expenses incurred for looking after the property, including but not limited to property tax, utilities and insurance;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32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Mr. Carr must account for any benefits received from the partnership, including insurance proceeds from the fire in 2007 and rental income from the tenancy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also order that there be a pre-hearing conference 90 days before the accounting to address the time requirements for the process and the materials to be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Mr. Carr's interest in his action against Gord Felske, Cranbrook Registry No. 15212, is partnership property. Pursuant to s. 27(e)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Darcy Carr and Simon Gill have joint conduct of the Felske Action and neither may take any steps in the action without consent of the other. In the event of disagreement the parties are at liberty to apply to the trial judge for directions. Any funds obtained are partnership property and shall be paid into court and their release subject to court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 for Conversion against Mr. Carr and Ms. Kirton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 Cedar Park Co. seeks judgment against Ms. Kirton for breach of the management agreement, breach of fiduciary duty, breach of trust, self-dealing, unjust enrichment, or conversion for overpayments made to her as a property manager as well as in respect of utility payments on unit 105 and other personal expenses paid for with Cedar Park Co. funds. This claim is based on Mr. Gill's evidence that Ms. Kirton was not entitled to be paid 10% of the rental receipts for Cedar Park, or live rent-free in the manager's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find that Ms. Kirton was managing Cedar Park and being reimbursed for her work under the authority of the letter written to her in September 2006 by Mr. Carr. Mr. Carr in turn was acting under at the very least the implied authority of all the shareholders and directors in Cedar Park Co. when he wrote that letter. As a result of that letter, Ms. Kirton received the same consideration for managing the building as did her predecessor, Mr. Barrocca. She lived rent-free in unit 105 and collected a salary of 10% of the rental receipts. In return she collected the rents and damage deposits, dealt with the tenants, dealt with contractors and maintenance people and did all the things necessary to ensure Cedar Park was a well-run and well-maintained building. What Ms. Kirton failed to deliver was a monthly expense/income statement, which all parties understood was to be delivered by Mr.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At trial, Mr. Gill expressed an unrealistic expectation that because Ms. Kirton was being paid to run Parkview that she would run Cedar Park either for free or for some nominal sum. He also held the view that she would live at the Junkyard. Having left Mr. Carr with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management of Cedar Park, Mr. Gill has to accept the result: Ms. Kirton was acting pursuant to the letter Mr. Carr wrote in September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There is one payment Ms. Kirton made to herself in her role as manager of Cedar Park that is not covered by the management letter: the $2,000 bonus she admitted paying to herself in late 2009 or early 2010 when she was preparing to leave Cranbrook prior to the takeover of Cedar Park by Highland property management. Ms. Kirton had no express or implied authority to do so. The plaintiff Cedar Park Co. shall have judgment against Ms. Kirton in the amount of $2,000, plus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calculated from January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plaintiff Cedar Park Co. seeks judgment against Ms. Kirton and Mr. Carr for conversion for misappropriated funds from rental income and laundry income or, in the alternative, judgment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collect such income. This relates to the Skim Operation. I find this claim has not been proven on a balance of probabilities. I reject Mr. Gill's evidence that he did not know of, or approve, the Skim Operation. I accept Mr. Carr's evidence that the scheme went into place at Parkview at the suggestion of its former owner and it was carried over to Cedar Park when Ms. Kirton took over its management from Mr. Barrocca. Various emails tendered in evidence outlining payments to Mr. Gill and Mr. Giannatos support Mr. Carr's evidence that some monies were being withheld from the Cedar Park bank deposits and paid to the owners under the guise of owner payments or rent royalty overrides or laundry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These payments were by bank draft, direct deposit or cash. They were never by company cheque, which is very telling. Mr. Gill, in particular, presented as highly concerned about the lack of financial reporting, yet it appears he accepted payments that were not clearly marked as coming from either of the two companies he had shares in. There was no questioning of the source of the money until Mr. Giannatos expressed concern about the November 2009 bank draft he received. By that point relations between the major players had soured and Mr. Gill and Mr. Giannatos were firmly aligned against Mr.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dismiss the plaintiff Cedar Park Co.'s claim against Mr. Carr and Ms. Kirton for conversion in the amount of $17,361 for unauthorized expenditures. This represents the amount of money Ms. Bissenaliyeva determined to be unsupported by documentation. Mr. Carr and Ms. Kirton maintained they paid back any money shown as personal expenses in the records referenced by the plaintiff. They also periodically paid their own money into both Parkview and Cedar Park to cover shortfalls. I accept their denials of the plaintiffs' allegations. An absence of documentation for expenses is not sufficient proof in this case to establish the plaintiff's claim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dismiss Mr. Giannatos' claim for the unpaid balance owing under the Cedar Park Loan in the amount of $6,961.07 as not proven on a balance of probabilities. Mr. Giannatos' evidence that this money had never been paid was simply unreliable and insufficient to prove the claim. Mr. Giannatos said he checked his accounts before trial and could not find evidence of the payment, but he did not have an explanation as to why he waited until the statement of claim was filed in 2011 to address a financial shortcoming which had been outstanding since just after the purchase of Cedar Park in 2006. I accept Ms. Kirton's evidence that she paid this money into the account of Mr. Giannatos' father in Greece, as Mr. Giannatos had requested. I suspect Mr. Giannatos genuinely could not recall if payment had been made but that is insufficient to meet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Enforceability of the Swap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Counsel for Mr. Gill submits the Swap Agreement is not enforceable for a variety of reasons, primarily:</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were never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so no contract was formed;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Swap Agreement lacked the necessary approval by the directors of the companies involved and the approval of the third shareholder of Cedar Park Co., Mr. Giannatos;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be oppressive to Mr. Giannatos and should be set aside pursuant to s. 227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conditions precedent to the Swap Agreement were not fulfilled, as Mr. Carr did not provide financial information about both companies within a reasonable time;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the parties had an agreement, Mr. Carr is not entitled to specific performance because he does not have clean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Counsel for Mr. Carr submits the Swap Agreement as amended concerning the price for Cedar Park by the April 27 email was binding. He seeks specific performance or damages for Mr. Gill's failure to complete the agreement by participating in or facilitating the necessary corporate resolutions of the two companies. Mr. Carr takes the position that he satisfied the requirement to provide financial information to Mr. Gill for his perusal. Mr. Gill has raised issues about tax neutrality, which Mr. Carr maintains were never discussed or in the contemplation of the parties when the Swap Agreement was first 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will deal with (a) and (d) on for Mr. Gill's list as I found those issues to be dispositive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terms of the Swap Agreement are to be gleaned partly from the January 27, 2010 written agreement and partly based on discussions and emails prior and subsequent to that document, particularly the April 27 and 28 emails. Mr. Gill and Mr. Carr clearly desired to end their business association with each other through Cedar Park Co. and Parkview Co. The January 27, 2010 document referred to the mechanism of the swap to be the redemption of shares held in the company by the company of the surrendering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April 27 and 28 emails changed the landscape somewhat. I will reproduce Mr. Gill's email set out earlier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been correspondence sent to your lawyer and Bob Apps, by my lawyer that you do not seem to be aware of, therefore I have attached some relevant letters to this email. Your lawyer has not responded to my lawyer and we would like guidance on whether we should continue corresponding with him, or deal directly with you. As you can see from the attached letters, Bob Apps is in a conflict position and will not do anything until we all agree on a way forward. Additionally, be aware that he has informed my lawyer that he is not the corporate lawyer. As I think we would all like to settle this and move forward and please note that the reasons for the previous swap agreement being no longer valid are documented facts, but this agreement could be used as a framework for an agreement. Therefore, I make the following suggestions: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to sell Cedar Park for $2.2 million.</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that the value of Parkview is reduced by the same 8.33%.</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in advance that on closing the Cedar Park Sale, you would use your proceeds to purchase my half of Parkview for half of the new value of $1,038,125 less the break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this is acceptable, we could get my lawyer to draw up necessary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Carr emailed back and agreed to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Counsel for Mr. Gill maintained the email agreement introduced more uncertainty into the mechanism of the swap than had previously existed. I agree. There was nothing to determine what Mr. Carr's share of Cedar Park proceeds would be, whether a net or gross amount of the sale proceeds. The April 27 email did not state that it was an agreement to amend the value of Cedar Park in the Swap Agreement to reflect its actual sale price, just that the building would be sold and Mr. Carr's "proceeds" would be used to purchase Mr. Gill's half of Parkview based on half the new value less the break fee. There was no mention of the share redemption clause which had existed in the January 27, 2010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Counsel for Mr. Gill also notes that the parties failed to consider what would happen to the shareholders' loan account in Cedar Park Co. Company tax returns reflected a loan balance of approximately $650,000. Each of Cedar Park Co.'s contributing shareholders could expect the money to be paid back on a tax-free basis and that was a company liability. This fundamental issue escaped the attention of the parties when they discussed the Swap Agreement, executed the January 27, 2010 document and purported to amend it four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Even if an agreement on how to determine the mechanism of the share swap and the value of the respective shares could be discerned from the parties' discussions, I find there was a fundamental condition attached to the severing of the parties' interests in the two companies: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Gill maintained from the start of negotiations about ending his Canadian holdings with Mr. Carr that he wanted someone to look at the books for both apartment buildings. He did not initially think there was anything amiss but felt it was prudent to do so. I accept that Mr. Carr provided Mr. Gill with periodic updates on the financial health of their holdings, but Mr. Gill sensibly wanted more information before signing off on his ownership of Parkview Manor and the Parkview Co.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For his part, Mr. Carr was not opposed to Ms. Bissenaliyeva looking at the financial information even before the January 27, 2010 Swap Agreement was signed. Thereafter, he provided Ms. Bissenaliyeva with some information for the Cedar Park building's accounts but nothing for Parkview Manor, apart from Quicken.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accept that Mr. Gill wanted Ms. Bissenaliyeva to look through the accounts for both buildings to ensure things were generally in good order before he proceeded with any exchange, redemption or share purchase with Mr. Carr. It would make no sense for Mr. Gill to defer a financial review, however informal, until after the Swap Agreement in whatever form was carried out. Mr. Carr, perhaps disgruntled after several years of managing the two buildings while living and working in another part of the world, utterly failed to deliver the necessary documents to Mr. Gill in a reasonable time in order to facilitate the financial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the result, the Swap Agreement is not enforceable by Mr.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Remedies for Cedar Park Co. and Parkview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Mr. Gill seeks an order that Cedar Park Co. be dissolved and liquidated pursuant to s. 324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as it is no longer an active company and has sold its only real asset. The order is not opposed by the other shareholders or the directors of the company. Accordingly, I find it just and equitable that Cedar Park Co. be liquidated and dissolved.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company has in effect been liquidated but the section requires the appointment of a liquidator. Counsel shall address this point with the court prior to any order concerning release of the money from trust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Mr. Gill also seeks liquidation and dissolution of Parkview Co. under s. 324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Mr. Carr, having sought to enforce the Swap Agreement via the remedy of specific performance, is not in agreement with this procedure. Mr. Carr has managed Parkview Manor, the only asset of Parkview Co., singlehandedly since the rift with Mr. Gill and does not want to lose the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Golden Pheasant Holding Corp. v. Synergy Corporate Management Ltd., </w:t>
      </w:r>
      <w:hyperlink r:id="rId66" w:history="1">
        <w:r>
          <w:rPr>
            <w:rFonts w:ascii="arial" w:eastAsia="arial" w:hAnsi="arial" w:cs="arial"/>
            <w:i/>
            <w:color w:val="0077CC"/>
            <w:sz w:val="20"/>
            <w:u w:val="single"/>
            <w:shd w:val="clear" w:color="auto" w:fill="FFFFFF"/>
            <w:lang w:val="en-US" w:eastAsia="en-US" w:bidi="ar-SA"/>
          </w:rPr>
          <w:t>2011 BCSC 173</w:t>
        </w:r>
      </w:hyperlink>
      <w:r>
        <w:rPr>
          <w:rFonts w:ascii="arial" w:eastAsia="arial" w:hAnsi="arial" w:cs="arial"/>
          <w:color w:val="000000"/>
          <w:sz w:val="20"/>
          <w:lang w:val="en-US" w:eastAsia="en-US" w:bidi="ar-SA"/>
        </w:rPr>
        <w:t>, Mr. Justice Greyell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The threshold for liquidation and dissolution under s. 324 is that the court considers it "just and equitable", as provided in s. 324(3)(1)(b). This is a lower threshold than the oppression remedy in s. 227, which requires a finding of oppression or unfairly prejudicial conduct. The court has discretion to fashion a remedy that is "just and equitable" where the conduct complained of falls short of oppressive or unfairly prejudicial acts. There does not need to be a finding of oppression or wrongdoing to engage s. 324: </w:t>
      </w:r>
      <w:r>
        <w:rPr>
          <w:rFonts w:ascii="arial" w:eastAsia="arial" w:hAnsi="arial" w:cs="arial"/>
          <w:i/>
          <w:color w:val="000000"/>
          <w:sz w:val="20"/>
          <w:lang w:val="en-US" w:eastAsia="en-US" w:bidi="ar-SA"/>
        </w:rPr>
        <w:t>Samra</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[2009] B.C.J. No. 818</w:t>
        </w:r>
      </w:hyperlink>
      <w:r>
        <w:rPr>
          <w:rFonts w:ascii="arial" w:eastAsia="arial" w:hAnsi="arial" w:cs="arial"/>
          <w:color w:val="000000"/>
          <w:sz w:val="20"/>
          <w:lang w:val="en-US" w:eastAsia="en-US" w:bidi="ar-SA"/>
        </w:rPr>
        <w:t xml:space="preserve"> at para. 92; </w:t>
      </w:r>
      <w:r>
        <w:rPr>
          <w:rFonts w:ascii="arial" w:eastAsia="arial" w:hAnsi="arial" w:cs="arial"/>
          <w:i/>
          <w:color w:val="000000"/>
          <w:sz w:val="20"/>
          <w:lang w:val="en-US" w:eastAsia="en-US" w:bidi="ar-SA"/>
        </w:rPr>
        <w:t>Safarik v. Ocean Fisheries Ltd.</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(1995), 12 B.C.L.R. (3d) 342</w:t>
        </w:r>
      </w:hyperlink>
      <w:r>
        <w:rPr>
          <w:rFonts w:ascii="arial" w:eastAsia="arial" w:hAnsi="arial" w:cs="arial"/>
          <w:color w:val="000000"/>
          <w:sz w:val="20"/>
          <w:lang w:val="en-US" w:eastAsia="en-US" w:bidi="ar-SA"/>
        </w:rPr>
        <w:t xml:space="preserve"> at paras. 87-93, 103-104, 118-122, </w:t>
      </w:r>
      <w:hyperlink r:id="rId68" w:history="1">
        <w:r>
          <w:rPr>
            <w:rFonts w:ascii="arial" w:eastAsia="arial" w:hAnsi="arial" w:cs="arial"/>
            <w:i/>
            <w:color w:val="0077CC"/>
            <w:sz w:val="20"/>
            <w:u w:val="single"/>
            <w:shd w:val="clear" w:color="auto" w:fill="FFFFFF"/>
            <w:lang w:val="en-US" w:eastAsia="en-US" w:bidi="ar-SA"/>
          </w:rPr>
          <w:t>22 B.L.R. (2d) 1</w:t>
        </w:r>
      </w:hyperlink>
      <w:r>
        <w:rPr>
          <w:rFonts w:ascii="arial" w:eastAsia="arial" w:hAnsi="arial" w:cs="arial"/>
          <w:color w:val="000000"/>
          <w:sz w:val="20"/>
          <w:lang w:val="en-US" w:eastAsia="en-US" w:bidi="ar-SA"/>
        </w:rPr>
        <w:t xml:space="preserve"> (C.A.). The court's jurisdiction is engaged where, for example, there is a deadlock between the shareholders, as in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"just and equitable" test thus permits a broader approach to assess conduct that is unfairly prejudicial to a shareholder's legal or equitable rights: </w:t>
      </w:r>
      <w:r>
        <w:rPr>
          <w:rFonts w:ascii="arial" w:eastAsia="arial" w:hAnsi="arial" w:cs="arial"/>
          <w:i/>
          <w:color w:val="000000"/>
          <w:sz w:val="20"/>
          <w:lang w:val="en-US" w:eastAsia="en-US" w:bidi="ar-SA"/>
        </w:rPr>
        <w:t>Safarik,</w:t>
      </w:r>
      <w:r>
        <w:rPr>
          <w:rFonts w:ascii="arial" w:eastAsia="arial" w:hAnsi="arial" w:cs="arial"/>
          <w:color w:val="000000"/>
          <w:sz w:val="20"/>
          <w:lang w:val="en-US" w:eastAsia="en-US" w:bidi="ar-SA"/>
        </w:rPr>
        <w:t xml:space="preserve">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It is clear from the scorched earth nature of this litigation that Mr. Gill and Mr. Carr cannot work together to run Parkview Co. There is no trust or cooperation possible between them. Deadlock is inevitable. I find that an order for liquidation and dissolution under s. 324 is the only realistic remedy in the circumstances of this case,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If counsel cannot agree on a liquidator they may apply to the court for the appointment of one. In addition, I order the appointment of an auditor for Parkview Co. As with the appointment of the liquidator, if counsel cannot agree on one, they may apply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Another order sought by Mr. Gill is the removal of Ms. Kirton as property manager. Ms. Kirton left Cranbrook in early 2010 and is no longer managing the building. Mr. Carr has a manager in place for Parkview Manor. I make no order at this point removing the current manager. If issues arise with the current manager once the auditor and liquidator commence their work, the parties may apply before me concerning a replacement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parties may also apply to the court for an accounting respecting Parkview Co. pursuant to Rule 18 if that is necessary to wind up the company's affairs or otherwise sort out the financial issues between the shareholders. I note that Mr. Carr may wish to pursue a claim against Parkview Co. for remuneration concerning his management of the building and company since the litigation began. The parties may apply to the court concerning whether or not such a claim can be addressed in the context of the liquidation and dissolution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and Other Post-Judgment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Counsel are at liberty to apply to address the costs of this proceeding and any other post-judgment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J.M.I. DUNCAN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Interlink Business Management Inc. v. Bennett Environmental Inc., [2007] B.C.J. No. 2284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 Powers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S063252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1538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162 A.C.W.S. (3d) 182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Interlink Business Management Inc., Appellant, and Bennett Environmental Inc.,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Administrative law — Arbitration — Jurisdiction of the court — Application by the appellant for leave to appeal an arbitration decision allowed — Appellant raised arguable issues of law — Case had sufficient substance to warrant the appeal proceeding — Decision had significant monetary impact on the appellant.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Appeals — Leave to appeal — Application by the appellant for leave to appeal an arbitration decision allowed — Appellant raised arguable issues of law — Case had sufficient substance to warrant the appeal proceeding — Decision had significant monetary impact on the appellant.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Interlink Business Management Inc. for leave to appeal an arbitration decision -- Interlink and the respondent Bennett Environmental Inc. entered into a commercial contract -- Contract provided that disputes would be submitted to arbitration -- Parties had a disagreement and the matter was arbitrated -- Interlink sought leave to appeal parts of the decision -- It claimed that the arbitrator made several errors of law that it wished to argue -- First pertained to the interpretation of the agreement regarding commissions -- Second was that the arbitrator found that Interlink breached a fiduciary duty that it owed to Bennett -- Third was that the arbitrator determined that the agreement excluded any commissions that might be payable to Interlink as a result of certain contracts -- HELD: Application allowed -- Three issues that Interlink raised were questions of law -- Interlink had more than an arguable point -- Case had sufficient substance to warrant the appeal proceeding -- It certainly had significant impact on Interlink with regard to the issue of breach of fiduciary relationship by itself as the amount of money involved was $315,000 -- There could be significant amounts of commission that were affected as a result of the arbitrator's intepretation of the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Counsel_2"/>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Appellant: D.S. Mulroney.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B.W.M. Bowen.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2" style="position:absolute;z-index:2517637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R.E. POWERS J. (orally)"/>
            <w:bookmarkEnd w:id="25"/>
            <w:r>
              <w:rPr>
                <w:rFonts w:ascii="arial" w:eastAsia="arial" w:hAnsi="arial" w:cs="arial"/>
                <w:b/>
                <w:color w:val="000000"/>
                <w:sz w:val="30"/>
                <w:lang w:val="en-US" w:eastAsia="en-US" w:bidi="ar-SA"/>
              </w:rPr>
              <w:t>R.E. POWERS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the decision on the application for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a commercial contract between the parties Interlink and Bennett. That agreement was in writing, January 1, 2002, and there was a supplementary agreement January 24, 2002. One of the terms of the agreement, paragraph 19, provides that if there is a dispute between the parties with regard to the agreement, then they would submit it to arbitration. Disagreement did arise between the parties, and the matter was arbitrated. The hearing took approximately 10 days. The decision was rendered March 31, 2006. The decision itself is well laid out, clear and concise.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Interlink seeks leave to appeal parts of the decision, in particular those portions of the decision that deal with the termination or the ending of the agreement itself. They claim that GST should have been awarded on a portion of the claim which was allowed, and I have been told by counsel that they will be able to work out the details of that. It is not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appellant wishes to appeal as well the decision dealing with the interpretation of paragraphs 7 and 12 of the agreement that deal with entitlement to commissions, as well a decision as to whether commissions are payable pursuant to a contract referred to as the federal creosote contract, a portion of the decision that deals with damages for entitlement to options which the appellant says were not delivered; the issue of costs; and as well in the notice of appeal it refers to a denial of natural justice due to a failure -- or refusal of the arbitrator to allow oral examinations for discovery. I do not know whether that is one of the arguments in which the appellant relies on for the right to bring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arbitration itself and the appeal from the arbitration is governed by the </w:t>
      </w:r>
      <w:r>
        <w:rPr>
          <w:rFonts w:ascii="arial" w:eastAsia="arial" w:hAnsi="arial" w:cs="arial"/>
          <w:b/>
          <w:i/>
          <w:color w:val="000000"/>
          <w:sz w:val="20"/>
          <w:lang w:val="en-US" w:eastAsia="en-US" w:bidi="ar-SA"/>
        </w:rPr>
        <w:t>Commercial 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Counsel have referred to s. 30, which allows the court to set aside an award or remit the award to the arbitrator for reconsideration if the award was improperly procured or an arbitrator has committed an arbitral error. The court is not required to set aside the award or to remit it, though it has a discretion to exercise and may refuse to set aside or remit if the error consists of a defect in form or a technical irregularity. The refusal would not constitute a substantial wrong or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32 and ss. 3 also provides that, except as provided in s. 31, the court must not set aside or remit an award on the grounds of an error in fact or law on the case of the award. Arbitral errors are defined in s. 1. The only portion of s. 1 we are concerned with is that which defines an "arbitral error" to consist of ss. (d) failure to observe the rules of natural justice. The complaint relates to the refusal to grant an order for oral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Section 31 is also referred to by the parties, and in this case to have an appeal proceed, the parties must either consent or the court must grant leave. Section 31 also spells out the circumstances in which leave could be granted or may be granted. I will not read all of s. 31, but it begins: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31(1) A party to an arbitration may appeal to the court on any question of law arising out of the award if</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parties to the arbitration consent; or</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grants leave to appeal.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application for leave under subsection (1)(b), the court may grant leave if it determines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result of the arbitration to the parties justifies the intervention of the court and the determination of the point of law may prevent a miscarriage of justice,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view is of importance to some class or body of persons of which the applicant is a member,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view is of general or public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section goes on to deal with the power of the court to attach conditions to an order granting leave and the power of the court on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respondent referred to s. 32 primarily as an indication of the approach the court should take with regard to applications for leave or as an argument in support of the proposition that the court should be reluctant to grant leave. Section 32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Arbitral proceedings of an arbitrator and any order, ruling or arbitral award made by an arbitrator must not be questioned, reviewed or restrained by a proceeding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or otherwise except to the extent provided in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that section is not helpful. Sections 30 and 31 themselves and the cases that have considered those sections are the ones that outline the court's approach to applications for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32 simply says that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is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Dealing with s. 30, the appellant argues that the arbitral error in this case was a denial of natural justice. Part of the dispute between the parties relates to commissions due to the appellant and the decision that the appellant failed to prove it was the effective cause of purchases that would result in a commission. The appellant argues that, although they applied for oral examinations for discovery, that application was dismissed and therefore prevented them from proving their case. The very lack of evidence was the basis for the arbitrator dismissing that portion of the claim and that was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respondent refers to the documents in the document book, tab 6(d), (e) and (f), that is the letter application for oral examinations for discovery, the reply and the arbitrator's decision. The respondent points out that the decision as to whether or not oral examinations for discovery was properly made by the arbitrator following the appropriate procedures again was within the jurisdiction of the arbitrator. The respondent points out that the appellant Interlink had the ability to obtain documentary discovery and to cross-examine the witnesses presented by Bennett, the respondent, at the hearing. Also that Interlink was well aware of its own activities and could have obtained documents or evidence on cross-examination of potential contracts or purchases that might have entitled it to a commission and that, therefore, Interlink was not denied an opportunity to prove its case or to obtain the necessary evidence and was not denied natural justice. I agree with the respondent that there has been no denial of natural justice. The process was fair, even if it was not the most favourable.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regard to s. 31, the appellant Interlink argues that there were a number of particular errors of law that it wishes to argue. The first deals with the interpretation of the agreement regarding commissions and what was required to entitle Interlink to a commission. That deals with sections 7 and 12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Second, Interlink says that there was an error in law when the arbitrator concluded that Interlink or its principal breached a fiduciary duty that it owed to Bennett. Therefore, this related to the termination of the agreement itself, whether or not Interlink would be entitled to being paid the annual compensation provided for in the agreement for a balance of almost three years or whether or not the agreement was terminated or ended in some fashion in May of 2005, I believe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third alleged error of law is the arbitrator's determination that the agreement excluded any commissions that might be payable to Interlink as a result of the contracts referred to as the federal creosote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appellant pointed out that sometimes it is difficult to determine what is a question of law and what is a question of mixed fact and law, and it refers to Supreme Court of Canada decision </w:t>
      </w:r>
      <w:r>
        <w:rPr>
          <w:rFonts w:ascii="arial" w:eastAsia="arial" w:hAnsi="arial" w:cs="arial"/>
          <w:b/>
          <w:i/>
          <w:color w:val="000000"/>
          <w:sz w:val="20"/>
          <w:lang w:val="en-US" w:eastAsia="en-US" w:bidi="ar-SA"/>
        </w:rPr>
        <w:t>Canada (Director of Investigation and Research, Competition Act) v. Southam Inc.</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[1997] 1 S.C.R. 748</w:t>
        </w:r>
      </w:hyperlink>
      <w:r>
        <w:rPr>
          <w:rFonts w:ascii="arial" w:eastAsia="arial" w:hAnsi="arial" w:cs="arial"/>
          <w:color w:val="000000"/>
          <w:sz w:val="20"/>
          <w:lang w:val="en-US" w:eastAsia="en-US" w:bidi="ar-SA"/>
        </w:rPr>
        <w:t xml:space="preserve"> and </w:t>
      </w:r>
      <w:hyperlink r:id="rId76" w:history="1">
        <w:r>
          <w:rPr>
            <w:rFonts w:ascii="arial" w:eastAsia="arial" w:hAnsi="arial" w:cs="arial"/>
            <w:i/>
            <w:color w:val="0077CC"/>
            <w:sz w:val="20"/>
            <w:u w:val="single"/>
            <w:shd w:val="clear" w:color="auto" w:fill="FFFFFF"/>
            <w:lang w:val="en-US" w:eastAsia="en-US" w:bidi="ar-SA"/>
          </w:rPr>
          <w:t>144 DLR (4th) 1</w:t>
        </w:r>
      </w:hyperlink>
      <w:r>
        <w:rPr>
          <w:rFonts w:ascii="arial" w:eastAsia="arial" w:hAnsi="arial" w:cs="arial"/>
          <w:color w:val="000000"/>
          <w:sz w:val="20"/>
          <w:lang w:val="en-US" w:eastAsia="en-US" w:bidi="ar-SA"/>
        </w:rPr>
        <w:t>. That case dealt with the appeals following a decision of the competition tribunal dealing with acquisitions of community newspapers and findings about what impact that had on competition in the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parties disagreed about the nature of the problem before that tribunal and whether it was one of fact or whether it was one of law. The court found that it was a question of mixed fact and law, and at para. 35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Briefly stated, questions of law are questions about what the correct legal test is; questions of fact are questions about what actually took place between the parties; and questions of mixed law and fact are questions about whether the facts satisfy the legal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court then went on to cite as an example a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simple example will illustrate these concepts. In the law of tort, the question what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means is a question of law. The question whether the defendant did this or that is a question of fact. And, once it has been decided that the applicable standard is one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question whether the defendant satisfied the appropriate standard of care is a question of mixed law and fact. I recognize, however, that the distinction between law on the one hand and mixed law and fact on the other is difficult. On occasion, what appears to be mixed law and fact turns out to be law, or vice 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case, at para. 39, the court referred to the respondent in that case, their view of the matter,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respondent says that, having informed itself correctly on the law, the Tribunal proceeded nevertheless to ignore certain kinds of indirect evidence. Because the tribunal must be judged according to what it does and not according to what it says, the import of the respondent's submission is that the Tribunal erred in law. After all, if a decision-maker says that the correct test requires him or her to consider A, B, C, and D, but in fact the decision-maker considers only A, B, and C, then the outcome is as if he or she had applied a law that required consideration of only A, B, and C. If the correct test requires him or her to consider D as well, then the decision-maker has in effect applied the wrong law, and so has made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went on at para. 41 to point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Tribunal did ignore items of evidence that the law requires it to consider, then the Tribunal erred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addition, the parties have both referred to a decision of </w:t>
      </w:r>
      <w:r>
        <w:rPr>
          <w:rFonts w:ascii="arial" w:eastAsia="arial" w:hAnsi="arial" w:cs="arial"/>
          <w:b/>
          <w:i/>
          <w:color w:val="000000"/>
          <w:sz w:val="20"/>
          <w:lang w:val="en-US" w:eastAsia="en-US" w:bidi="ar-SA"/>
        </w:rPr>
        <w:t>Domtar Inc. v. Belkin Inc.</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(1989), 39 B.C.L.R. (2d) 257</w:t>
        </w:r>
      </w:hyperlink>
      <w:r>
        <w:rPr>
          <w:rFonts w:ascii="arial" w:eastAsia="arial" w:hAnsi="arial" w:cs="arial"/>
          <w:color w:val="000000"/>
          <w:sz w:val="20"/>
          <w:lang w:val="en-US" w:eastAsia="en-US" w:bidi="ar-SA"/>
        </w:rPr>
        <w:t>, a decision of the British Columbia Court of Appeal. That case is authority for the proposition that the interpretation of a contract between the parties is a question of law and a misreading of an agreement is an error in law (pp. 11 and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With regard to the issue of the breach of fiduciary duty, there is an argument about whether that is a question of law or mixed fact and law. Based on </w:t>
      </w:r>
      <w:r>
        <w:rPr>
          <w:rFonts w:ascii="arial" w:eastAsia="arial" w:hAnsi="arial" w:cs="arial"/>
          <w:b/>
          <w:i/>
          <w:color w:val="000000"/>
          <w:sz w:val="20"/>
          <w:lang w:val="en-US" w:eastAsia="en-US" w:bidi="ar-SA"/>
        </w:rPr>
        <w:t>Canada v. Southam</w:t>
      </w:r>
      <w:r>
        <w:rPr>
          <w:rFonts w:ascii="arial" w:eastAsia="arial" w:hAnsi="arial" w:cs="arial"/>
          <w:color w:val="000000"/>
          <w:sz w:val="20"/>
          <w:lang w:val="en-US" w:eastAsia="en-US" w:bidi="ar-SA"/>
        </w:rPr>
        <w:t xml:space="preserve">, and also a decision </w:t>
      </w:r>
      <w:r>
        <w:rPr>
          <w:rFonts w:ascii="arial" w:eastAsia="arial" w:hAnsi="arial" w:cs="arial"/>
          <w:b/>
          <w:i/>
          <w:color w:val="000000"/>
          <w:sz w:val="20"/>
          <w:lang w:val="en-US" w:eastAsia="en-US" w:bidi="ar-SA"/>
        </w:rPr>
        <w:t>Housen v. Nikolaisen</w:t>
      </w:r>
      <w:r>
        <w:rPr>
          <w:rFonts w:ascii="arial" w:eastAsia="arial" w:hAnsi="arial" w:cs="arial"/>
          <w:color w:val="000000"/>
          <w:sz w:val="20"/>
          <w:lang w:val="en-US" w:eastAsia="en-US" w:bidi="ar-SA"/>
        </w:rPr>
        <w:t xml:space="preserve">, a decision made in 2001, but the cite for it is </w:t>
      </w:r>
      <w:hyperlink r:id="rId78"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The correct test is that in the </w:t>
      </w:r>
      <w:r>
        <w:rPr>
          <w:rFonts w:ascii="arial" w:eastAsia="arial" w:hAnsi="arial" w:cs="arial"/>
          <w:b/>
          <w:i/>
          <w:color w:val="000000"/>
          <w:sz w:val="20"/>
          <w:lang w:val="en-US" w:eastAsia="en-US" w:bidi="ar-SA"/>
        </w:rPr>
        <w:t>Southam</w:t>
      </w:r>
      <w:r>
        <w:rPr>
          <w:rFonts w:ascii="arial" w:eastAsia="arial" w:hAnsi="arial" w:cs="arial"/>
          <w:color w:val="000000"/>
          <w:sz w:val="20"/>
          <w:lang w:val="en-US" w:eastAsia="en-US" w:bidi="ar-SA"/>
        </w:rPr>
        <w:t xml:space="preserve"> decision, </w:t>
      </w:r>
      <w:r>
        <w:rPr>
          <w:rFonts w:ascii="arial" w:eastAsia="arial" w:hAnsi="arial" w:cs="arial"/>
          <w:b/>
          <w:i/>
          <w:color w:val="000000"/>
          <w:sz w:val="20"/>
          <w:lang w:val="en-US" w:eastAsia="en-US" w:bidi="ar-SA"/>
        </w:rPr>
        <w:t>Housen</w:t>
      </w:r>
      <w:r>
        <w:rPr>
          <w:rFonts w:ascii="arial" w:eastAsia="arial" w:hAnsi="arial" w:cs="arial"/>
          <w:color w:val="000000"/>
          <w:sz w:val="20"/>
          <w:lang w:val="en-US" w:eastAsia="en-US" w:bidi="ar-SA"/>
        </w:rPr>
        <w:t xml:space="preserve"> refers to the </w:t>
      </w:r>
      <w:r>
        <w:rPr>
          <w:rFonts w:ascii="arial" w:eastAsia="arial" w:hAnsi="arial" w:cs="arial"/>
          <w:b/>
          <w:i/>
          <w:color w:val="000000"/>
          <w:sz w:val="20"/>
          <w:lang w:val="en-US" w:eastAsia="en-US" w:bidi="ar-SA"/>
        </w:rPr>
        <w:t>Southam</w:t>
      </w:r>
      <w:r>
        <w:rPr>
          <w:rFonts w:ascii="arial" w:eastAsia="arial" w:hAnsi="arial" w:cs="arial"/>
          <w:color w:val="000000"/>
          <w:sz w:val="20"/>
          <w:lang w:val="en-US" w:eastAsia="en-US" w:bidi="ar-SA"/>
        </w:rPr>
        <w:t xml:space="preserve"> decision. The appellant says that with regard to the finding of a fiduciary relationship and a breach of that relationship, that there are a number of questions that need to be asked and that the arbitrator has failed to ask those questions or address them, including such things as what is the true nature of the relationship? Was there any dependency or reliance in this case by Bennett upon Interlink? Was Bennett in a position of vulnerability as part of that relationship? Was Interlink ever aware that Bennett relied upon it? The appellant also argues that the arbitrator improperly considered the fact that Interlink claimed that Bennett owed it a fiduciary relationship and, therefore, concluded that there was no argument about the fiduciary relationship and duties going in both directions. Normally a finding of a fiduciary relationship is one of mixed fact and law, but the appellant argues that here there is in fact an error in law because of a faulty analysis or a failure to consider those things which should have been considered. In further support of that, the appellant refers to the fact that Interlink is an independent contractor, that there are unusual terms of the contract that in fact allow Interlink to provide similar services to competitors of Bennett, and Bennett to use other individuals to provide services that Interlink was providing. Also that Bennett had knowledge of the contractual relationship with Interlink and the contract itself and, therefore, there could be no obligation on Interlink to warn Bennett of something which they should have been aware of or in fact were aware of; that is, the automatic renewal of the contract. There was no reliance by Bennett on Interlink and no reason for Interlink to think that Bennett was relying on them with regard to that issue, and that there was no reason for Interlink to think that it was in Bennett's interest to terminate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the issue of the fiduciary relationship or breach thereof is a question of law. I find that the interpretation of the agreement and the entitlement to commissions is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regard to the issue of the federal creosote commissions, and whether or not the agreement applied to the federal creosote commissions or whether they had been settled in their entirety by the entry into the agreement and no commissions were payable in the future regarding federal creosote, is also a question of law in the sense that there may be an issue about whether the arbitrator was entitled to consider evidence outside of the agreement itself, or whether or not he applied the correct legal test in determining what the agreement of the parties was. I recognize that aside from that, though, it may well be a question of mixed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determining that these are questions of law, the next question is whether or not I should grant leave. In this case, the appellant is relying on s. 31(2)(a) in arguing that the importance of the result of the arbitration to the parties justifies the intervention of the court and the determination of the point of law may prevent a miscarriage of justice. There is some argument between the parties about what was required in the court exercising its discretion. Because arbitration is to be encouraged, appeals are not to be encouraged because they are contrary to the advantages of arbitration, those advantages being a quick, inexpensive resolution of parties to their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Domtar</w:t>
      </w:r>
      <w:r>
        <w:rPr>
          <w:rFonts w:ascii="arial" w:eastAsia="arial" w:hAnsi="arial" w:cs="arial"/>
          <w:color w:val="000000"/>
          <w:sz w:val="20"/>
          <w:lang w:val="en-US" w:eastAsia="en-US" w:bidi="ar-SA"/>
        </w:rPr>
        <w:t xml:space="preserve"> at para. 22 talks about s. 31(2)(a) and says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(a) is more difficult. It deals with cases where the focus falls on the effect of the award on the parties themselves. The words chosen in paragraph (a) to carry out the legislative scheme can only be understood in the context of the overriding power in the court to refuse leave on the basis of a rational approach to the objects of the legislation as a whole. The words "the importance of the result of the arbitration to the parties justifies the intervention of the court" seem to me to mean only that there must be enough at stake either in terms of principle or money, to make the extra step of going to court worthwhile. The words "and the determination of the point of law may prevent a miscarriage of justice" seem to me to mean either that the point of law must be one that affects the result, or that the correct determination of the point of law, and only the correct determination of the point of law, will bring about a just result, or both. Those points seem to me to be likely present in every case, particularly if one considers that a question of law will not justify the intervention of the court unless it affects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 26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para. (a) is met if the result of the arbitration is sufficiently important to the parties that the expense and time of court proceedings is justified, and if the point of law, if decided differently, would have led the arbitrator to a different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Domtar</w:t>
      </w:r>
      <w:r>
        <w:rPr>
          <w:rFonts w:ascii="arial" w:eastAsia="arial" w:hAnsi="arial" w:cs="arial"/>
          <w:color w:val="000000"/>
          <w:sz w:val="20"/>
          <w:lang w:val="en-US" w:eastAsia="en-US" w:bidi="ar-SA"/>
        </w:rPr>
        <w:t xml:space="preserve"> went on then to consider the exercise of the residuary discretion and talked about the answer to whether or not that discretion is exercised. To decline leave must grow out of a consideration of the purpose and the design of commercial arbitration (p28). The court talked about the advantages and disadvantages in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advantages are supposed to be expertise, speed, privacy, finality and the maintenance of amicable relations. The disadvantages are said to be, roughly, that the advantages don't always work out in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points out in para. 30 that the starting point is the fact that the parties have agreed to resolve the dispute by arbitration and that free and ready access to the court on every point of law would do away with that speed, privacy, finality and maintenance of the amicable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court then cited from a decision </w:t>
      </w:r>
      <w:r>
        <w:rPr>
          <w:rFonts w:ascii="arial" w:eastAsia="arial" w:hAnsi="arial" w:cs="arial"/>
          <w:b/>
          <w:i/>
          <w:color w:val="000000"/>
          <w:sz w:val="20"/>
          <w:lang w:val="en-US" w:eastAsia="en-US" w:bidi="ar-SA"/>
        </w:rPr>
        <w:t>Pioneer Shipping</w:t>
      </w:r>
      <w:r>
        <w:rPr>
          <w:rFonts w:ascii="arial" w:eastAsia="arial" w:hAnsi="arial" w:cs="arial"/>
          <w:color w:val="000000"/>
          <w:sz w:val="20"/>
          <w:lang w:val="en-US" w:eastAsia="en-US" w:bidi="ar-SA"/>
        </w:rPr>
        <w:t xml:space="preserve">, a decision of the House of Lords. The citation for that is </w:t>
      </w:r>
      <w:r>
        <w:rPr>
          <w:rFonts w:ascii="arial" w:eastAsia="arial" w:hAnsi="arial" w:cs="arial"/>
          <w:b/>
          <w:i/>
          <w:color w:val="000000"/>
          <w:sz w:val="20"/>
          <w:lang w:val="en-US" w:eastAsia="en-US" w:bidi="ar-SA"/>
        </w:rPr>
        <w:t>Pioneer Shipping Ltd. v. BTP Tioxide Ltd.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Nema</w:t>
      </w:r>
      <w:r>
        <w:rPr>
          <w:rFonts w:ascii="arial" w:eastAsia="arial" w:hAnsi="arial" w:cs="arial"/>
          <w:color w:val="000000"/>
          <w:sz w:val="20"/>
          <w:lang w:val="en-US" w:eastAsia="en-US" w:bidi="ar-SA"/>
        </w:rPr>
        <w:t xml:space="preserve"> [1982] A.C. 742, [1981] 3 W.L.R. 292, [1981] 2 O.E.R. 1030. In that case, Lord Diplock talked about instances where it is a matter of a one-off contract, particularly where it involves the exercise of expertise by the arbitrator, usually in commercial matters or matters of uses with a trade and referred to Lord Denning's comments in the court of appeal's decision on the same case where Lord Denning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such a clause the arbitrator is just as likely to be right as the judge, probably more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However, in </w:t>
      </w:r>
      <w:r>
        <w:rPr>
          <w:rFonts w:ascii="arial" w:eastAsia="arial" w:hAnsi="arial" w:cs="arial"/>
          <w:b/>
          <w:i/>
          <w:color w:val="000000"/>
          <w:sz w:val="20"/>
          <w:lang w:val="en-US" w:eastAsia="en-US" w:bidi="ar-SA"/>
        </w:rPr>
        <w:t>Domtar</w:t>
      </w:r>
      <w:r>
        <w:rPr>
          <w:rFonts w:ascii="arial" w:eastAsia="arial" w:hAnsi="arial" w:cs="arial"/>
          <w:color w:val="000000"/>
          <w:sz w:val="20"/>
          <w:lang w:val="en-US" w:eastAsia="en-US" w:bidi="ar-SA"/>
        </w:rPr>
        <w:t xml:space="preserve"> the court pointed out in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 advantages of arbitration are not to be bought at the expense of fairness in matters of procedure, or a properly considered determination in matters of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said in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matters of substance the nature of the point of law that has been determined must guide the exercise of the residuary discretion on whether to grant leave.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Domtar</w:t>
      </w:r>
      <w:r>
        <w:rPr>
          <w:rFonts w:ascii="arial" w:eastAsia="arial" w:hAnsi="arial" w:cs="arial"/>
          <w:color w:val="000000"/>
          <w:sz w:val="20"/>
          <w:lang w:val="en-US" w:eastAsia="en-US" w:bidi="ar-SA"/>
        </w:rPr>
        <w:t xml:space="preserve">, at para. 34, the court again referred to Lord Diplock, quoting from Lord Diplock the </w:t>
      </w:r>
      <w:r>
        <w:rPr>
          <w:rFonts w:ascii="arial" w:eastAsia="arial" w:hAnsi="arial" w:cs="arial"/>
          <w:b/>
          <w:i/>
          <w:color w:val="000000"/>
          <w:sz w:val="20"/>
          <w:lang w:val="en-US" w:eastAsia="en-US" w:bidi="ar-SA"/>
        </w:rPr>
        <w:t>Pioneer</w:t>
      </w:r>
      <w:r>
        <w:rPr>
          <w:rFonts w:ascii="arial" w:eastAsia="arial" w:hAnsi="arial" w:cs="arial"/>
          <w:color w:val="000000"/>
          <w:sz w:val="20"/>
          <w:lang w:val="en-US" w:eastAsia="en-US" w:bidi="ar-SA"/>
        </w:rPr>
        <w:t xml:space="preserve"> decision at page 1039 to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as in the instant case, the question of law involved is the construction of a one-off clause the application of which to the particular facts of the case is in issue in the arbitration, leave should not normally be given unless it is apparent to the judge, on a mere perusal of the reasoned award itself without the benefit of adversarial argument, that the meaning ascribed to the clause by the arbitrator is obviously wrong; but if on such perusal it appears to the judge that it is possible that argument might persuade him, despite impression to the contrary, that the arbitrator might be right, he should not grant leave; the parties should be left to accept, for better or for worse, the decision of the tribunal that they had chosen to decide the matter in the first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of Appeal said they would adopt that decision in cases of one-of-a-kind agreements and said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decision of the arbitrator in such cases is so obviously wrong that he cannot have reached his decision on a matter of substance by a considered decision-making process, which is what the parties have contracted for, then leave should be granted. Otherwise, it should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Here the appellant also refers to the contract itself and says that there is an indication in the contract that, although the parties have chosen arbitration, they have also anticipated an appeal from the decision of the arbitrator and that in paragraph 19 they have specifically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award rendered by the arbitrator may be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appellant refers to that for two reasons. First, in support of the proposition that the parties by their own agreement have provided the necessary consent for an appeal as required in 31(1)(a) and, therefore, in reality there is no need for leave; or secondly, as a factor to be considered in determining whether or not to grant leave. The respondent argues that really it is no more than a recognition by the parties of a right to appeal that is already provided in the act, and any right is subject to the same limitations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it is at least a recognition by the parties that the arbitration is not necessarily final and that it is an appropriate factor to be considered in determining whether to exercise the discretion to grant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addition, I refer to the British Columbia Court of Appeal decision </w:t>
      </w:r>
      <w:r>
        <w:rPr>
          <w:rFonts w:ascii="arial" w:eastAsia="arial" w:hAnsi="arial" w:cs="arial"/>
          <w:b/>
          <w:i/>
          <w:color w:val="000000"/>
          <w:sz w:val="20"/>
          <w:lang w:val="en-US" w:eastAsia="en-US" w:bidi="ar-SA"/>
        </w:rPr>
        <w:t>Rava Innovations Inc. v. International Parkside Products Inc.,</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2001 BCCA 606</w:t>
        </w:r>
      </w:hyperlink>
      <w:r>
        <w:rPr>
          <w:rFonts w:ascii="arial" w:eastAsia="arial" w:hAnsi="arial" w:cs="arial"/>
          <w:color w:val="000000"/>
          <w:sz w:val="20"/>
          <w:lang w:val="en-US" w:eastAsia="en-US" w:bidi="ar-SA"/>
        </w:rPr>
        <w:t xml:space="preserve">. At para. 2, the court talks about </w:t>
      </w:r>
      <w:r>
        <w:rPr>
          <w:rFonts w:ascii="arial" w:eastAsia="arial" w:hAnsi="arial" w:cs="arial"/>
          <w:b/>
          <w:i/>
          <w:color w:val="000000"/>
          <w:sz w:val="20"/>
          <w:lang w:val="en-US" w:eastAsia="en-US" w:bidi="ar-SA"/>
        </w:rPr>
        <w:t>Domtar</w:t>
      </w:r>
      <w:r>
        <w:rPr>
          <w:rFonts w:ascii="arial" w:eastAsia="arial" w:hAnsi="arial" w:cs="arial"/>
          <w:color w:val="000000"/>
          <w:sz w:val="20"/>
          <w:lang w:val="en-US" w:eastAsia="en-US" w:bidi="ar-SA"/>
        </w:rPr>
        <w:t xml:space="preserve"> and points out that the issues in the </w:t>
      </w:r>
      <w:r>
        <w:rPr>
          <w:rFonts w:ascii="arial" w:eastAsia="arial" w:hAnsi="arial" w:cs="arial"/>
          <w:b/>
          <w:i/>
          <w:color w:val="000000"/>
          <w:sz w:val="20"/>
          <w:lang w:val="en-US" w:eastAsia="en-US" w:bidi="ar-SA"/>
        </w:rPr>
        <w:t>Rava</w:t>
      </w:r>
      <w:r>
        <w:rPr>
          <w:rFonts w:ascii="arial" w:eastAsia="arial" w:hAnsi="arial" w:cs="arial"/>
          <w:color w:val="000000"/>
          <w:sz w:val="20"/>
          <w:lang w:val="en-US" w:eastAsia="en-US" w:bidi="ar-SA"/>
        </w:rPr>
        <w:t xml:space="preserve"> case involve the interpretation of technology licencing agreements, that leave to appeal was refused because the decision of the arbitrator was not obviously wrong applying </w:t>
      </w:r>
      <w:r>
        <w:rPr>
          <w:rFonts w:ascii="arial" w:eastAsia="arial" w:hAnsi="arial" w:cs="arial"/>
          <w:b/>
          <w:i/>
          <w:color w:val="000000"/>
          <w:sz w:val="20"/>
          <w:lang w:val="en-US" w:eastAsia="en-US" w:bidi="ar-SA"/>
        </w:rPr>
        <w:t>Domtar</w:t>
      </w:r>
      <w:r>
        <w:rPr>
          <w:rFonts w:ascii="arial" w:eastAsia="arial" w:hAnsi="arial" w:cs="arial"/>
          <w:color w:val="000000"/>
          <w:sz w:val="20"/>
          <w:lang w:val="en-US" w:eastAsia="en-US" w:bidi="ar-SA"/>
        </w:rPr>
        <w:t xml:space="preserve"> and points out in para. 2 that since the decision of the chambers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Since her decision, </w:t>
      </w:r>
      <w:r>
        <w:rPr>
          <w:rFonts w:ascii="arial" w:eastAsia="arial" w:hAnsi="arial" w:cs="arial"/>
          <w:b/>
          <w:i/>
          <w:color w:val="000000"/>
          <w:sz w:val="20"/>
          <w:lang w:val="en-US" w:eastAsia="en-US" w:bidi="ar-SA"/>
        </w:rPr>
        <w:t>Domtar</w:t>
      </w:r>
      <w:r>
        <w:rPr>
          <w:rFonts w:ascii="arial" w:eastAsia="arial" w:hAnsi="arial" w:cs="arial"/>
          <w:color w:val="000000"/>
          <w:sz w:val="20"/>
          <w:lang w:val="en-US" w:eastAsia="en-US" w:bidi="ar-SA"/>
        </w:rPr>
        <w:t xml:space="preserve"> has been overruled by a five judge panel of this court in </w:t>
      </w:r>
      <w:r>
        <w:rPr>
          <w:rFonts w:ascii="arial" w:eastAsia="arial" w:hAnsi="arial" w:cs="arial"/>
          <w:b/>
          <w:i/>
          <w:color w:val="000000"/>
          <w:sz w:val="20"/>
          <w:lang w:val="en-US" w:eastAsia="en-US" w:bidi="ar-SA"/>
        </w:rPr>
        <w:t>B.C.I.T. (Student Association) v. B.C.I.T.,</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2000 BCCA 496</w:t>
        </w:r>
      </w:hyperlink>
      <w:r>
        <w:rPr>
          <w:rFonts w:ascii="arial" w:eastAsia="arial" w:hAnsi="arial" w:cs="arial"/>
          <w:color w:val="000000"/>
          <w:sz w:val="20"/>
          <w:lang w:val="en-US" w:eastAsia="en-US" w:bidi="ar-SA"/>
        </w:rPr>
        <w:t xml:space="preserve"> (BCCA), application for leave to appeal to SCC filed November 17, 2001 </w:t>
      </w:r>
      <w:hyperlink r:id="rId81" w:history="1">
        <w:r>
          <w:rPr>
            <w:rFonts w:ascii="arial" w:eastAsia="arial" w:hAnsi="arial" w:cs="arial"/>
            <w:i/>
            <w:color w:val="0077CC"/>
            <w:sz w:val="20"/>
            <w:u w:val="single"/>
            <w:shd w:val="clear" w:color="auto" w:fill="FFFFFF"/>
            <w:lang w:val="en-US" w:eastAsia="en-US" w:bidi="ar-SA"/>
          </w:rPr>
          <w:t>[2000] S.C.C.A. No. 564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Paragraph 3 confirms that </w:t>
      </w:r>
      <w:r>
        <w:rPr>
          <w:rFonts w:ascii="arial" w:eastAsia="arial" w:hAnsi="arial" w:cs="arial"/>
          <w:b/>
          <w:i/>
          <w:color w:val="000000"/>
          <w:sz w:val="20"/>
          <w:lang w:val="en-US" w:eastAsia="en-US" w:bidi="ar-SA"/>
        </w:rPr>
        <w:t>Domtar</w:t>
      </w:r>
      <w:r>
        <w:rPr>
          <w:rFonts w:ascii="arial" w:eastAsia="arial" w:hAnsi="arial" w:cs="arial"/>
          <w:color w:val="000000"/>
          <w:sz w:val="20"/>
          <w:lang w:val="en-US" w:eastAsia="en-US" w:bidi="ar-SA"/>
        </w:rPr>
        <w:t>, at least with regard to leave to appeal, is no longer the law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place of the "obviously wrong" test, the court established a new test for leave to appeal under s. 31. Under the new test, the applicant need show only that there was "more than an arguable point", or a case with "sufficient substance to warrant the appeal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court at para. 17 in </w:t>
      </w:r>
      <w:r>
        <w:rPr>
          <w:rFonts w:ascii="arial" w:eastAsia="arial" w:hAnsi="arial" w:cs="arial"/>
          <w:b/>
          <w:i/>
          <w:color w:val="000000"/>
          <w:sz w:val="20"/>
          <w:lang w:val="en-US" w:eastAsia="en-US" w:bidi="ar-SA"/>
        </w:rPr>
        <w:t>Rava</w:t>
      </w:r>
      <w:r>
        <w:rPr>
          <w:rFonts w:ascii="arial" w:eastAsia="arial" w:hAnsi="arial" w:cs="arial"/>
          <w:color w:val="000000"/>
          <w:sz w:val="20"/>
          <w:lang w:val="en-US" w:eastAsia="en-US" w:bidi="ar-SA"/>
        </w:rPr>
        <w:t xml:space="preserve"> went on to cite from para. 31 of the </w:t>
      </w:r>
      <w:r>
        <w:rPr>
          <w:rFonts w:ascii="arial" w:eastAsia="arial" w:hAnsi="arial" w:cs="arial"/>
          <w:b/>
          <w:i/>
          <w:color w:val="000000"/>
          <w:sz w:val="20"/>
          <w:lang w:val="en-US" w:eastAsia="en-US" w:bidi="ar-SA"/>
        </w:rPr>
        <w:t>B.C.I.T.</w:t>
      </w:r>
      <w:r>
        <w:rPr>
          <w:rFonts w:ascii="arial" w:eastAsia="arial" w:hAnsi="arial" w:cs="arial"/>
          <w:color w:val="000000"/>
          <w:sz w:val="20"/>
          <w:lang w:val="en-US" w:eastAsia="en-US" w:bidi="ar-SA"/>
        </w:rPr>
        <w:t xml:space="preserve"> decision of Madam Justice Saunders where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that the application of any formula will determine whether a chambers judge should exercise discretion and grant leave to appeal. The discretion is to be exercised judicially, that is, trial judges will take into consideration those matters with which they are well familiar. Those matters include the apparent merits of the appeal, the degree of significance of the issue to the parties, to third parties and to the community at large, the circumstances surrounding the dispute and adjudication including the urgency of a final answer, other temporal considerations including the opportunity for either party to address the result through other avenues, the conduct of the parties, and the stage of the process at which the appealed decision was made (in my view, unlike the facts in "The Nema," interlocutory orders would rarely, if ever, pass the sieve of judicial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Undoubtedly included in this assessment will be respect for the forum of arbitration, chosen by the parties as the means of resolving disputes, and recognition that arbitration is often intended to provide a speedy and final dispute mechanism, tailor made for the issues which may face the parties in the arbitration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this particular case, I am satisfied that the appellant has more than an arguable point and that the case has sufficient substance to warrant the appeal proceeding. It certainly has significant impact on Interlink with regard to the issue of the breach of fiduciary relationship by itself, and the amount of money is approximately $315,000. As well, there may be significant amounts of commission that are affected as a result of the arbitrator's interpretation of the agreement. The arbitrator in his decision points out that one of the reasons for the negotiation of this contract from Bennett's point of view was their concern that they may be exposed to liability in millions of dollars, and even if the appellant is correct and it is a reduced percentage of commission on that contract alone, it would still be in the hundreds of thousands of dollars. Interlink is a company that appears to be owned and operated by one person, and to that extent certainly the shareholders of Interlink will be dramatically affected by the decision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respondent in their able argument referred to the decision </w:t>
      </w:r>
      <w:r>
        <w:rPr>
          <w:rFonts w:ascii="arial" w:eastAsia="arial" w:hAnsi="arial" w:cs="arial"/>
          <w:b/>
          <w:i/>
          <w:color w:val="000000"/>
          <w:sz w:val="20"/>
          <w:lang w:val="en-US" w:eastAsia="en-US" w:bidi="ar-SA"/>
        </w:rPr>
        <w:t>Williston Navigation Inc. v. BCR Finav No. 3</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2007 BCSC 190</w:t>
        </w:r>
      </w:hyperlink>
      <w:r>
        <w:rPr>
          <w:rFonts w:ascii="arial" w:eastAsia="arial" w:hAnsi="arial" w:cs="arial"/>
          <w:color w:val="000000"/>
          <w:sz w:val="20"/>
          <w:lang w:val="en-US" w:eastAsia="en-US" w:bidi="ar-SA"/>
        </w:rPr>
        <w:t>, as an example of the court's exercise of its discretion under s. 31. At para. 32 the court reviewed s. 31(2) and gave its decision at paras. 37 and 38. Essentially that case turned on the fact that the chambers judge concluded that the appeal is really from findings of fact or findings of mixed fact and law and were not subject to appeal, and went on to say that even if that decision was wrong, that leave would not be granted because it was a unique contractual provision which was not likely to arise in the future and was not of general importance to any other class of person. As the appellant pointed out in arguments at least with regard to the issue of fiduciary relationships, that decision may have some precedential value in arbitration circles.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all of those reasons, leave to appeal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International Culinary Institute of Canada, Inc. v. Grant Thornton LLP, [2010] B.C.J. No. 714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22-26,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S087862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541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International Culinary Institute of Canada, Inc., Plaintiff, and Grant Thornton LLP, Defendant, and Derek Darling,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 xml:space="preserve">Professional responsibility — Self-governing professions — Professions — Public accountants — Chartered accountants and auditors — Liability — Duties — Duty of care — Standard of care — Motion by defendant to dismiss plaintiff's action for no evidence allowed — Plaintiff retained defendant chartered accountant for review engagement of company D's financial statements to attract investors — Company D subsequently sold — Post-closing, purchaser obtained favourable arbitration decision on basis that Company D's financial statements were not GAAP-compliant — Plaintiff contended that defendant negligently misrepresented its terms of engagement — Court found no evidence of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no evidence plaintiff used financial statements for purpose for which they were prepared — No expert evidence adduced regarding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3"/>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Grant Thornton LLP, to dismiss the action of the plaintiff, International Culinary Institute of Canada, for no evidence. The plaintiff was a company owned by two shareholders. The plaintiff purchased the shares of Revamp, which in turn owned the shares of Dubrulle. The shareholders operated Dubrulle. They changed the accounting policies to attribute 30 per cent of the booked revenue for an upcoming year to the past year's income in order to better match revenue and expenses. The plaintiff retained the defendant to conduct a review engagement of the financial statements of Dubrulle with a view to attracting investors. No recommendations were made concerning the new revenue recognition policy for Dubrulle. Two years later, the plaintiff entered an agreement for the sale of the shares in Dubrulle and warranted that the financial statements had been prepared in accordance with generally accepted accounting principles (GAAP). Post-closing, a dispute arose over adjustments and an arbitrator ruled that the revenue recognition policy did not comply with GAAP. The plaintiff claimed that the decision caused a loss of $441,857. The plaintiff claimed that the defendant failed to advise that Dubrulle's financial statements did not comply with GAAP. The plaintiff sought damages for breach of contract, breach of fiduciary duty and negligent misrepresentation. It conceded that there was no evidence in support of the claims in contract or breach of fiduciary duty. The claim in negligent misrepresentation relied on the defendant's terms of engagement which stated that nothing had come to the defendant's attention that caused it to believe that financial statements were not in accordance with GAAP.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 w:name="Holdings of Court_2"/>
            <w:bookmarkEnd w:id="28"/>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led evidence of a special duty of care, an untrue representation, detrimental reliance and reasonable reliance. However, there was no evidence that the defendant was negligent in making the representation, and whether the plaintiff used the financial statements for the precise purpose or transaction for which they were prepared. The statements were not prepared to assist in the sale of Dubrulle. The defendants were given no indication that the statements would be used for such purpose. There was no expert evidence regarding the standard of care required for a chartered accountant on a review engagement. Thus, there was no evidence that the defendant breached the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 w:name="Legislation Cited_2"/>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 w:name="Counsel_3"/>
      <w:bookmarkEnd w:id="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 Kambas.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D.B. Wende and A.G. Sexton,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7" style="position:absolute;z-index:2518149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July 8, 2011;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R.B.T. GOEPEL J. (orally)"/>
            <w:bookmarkEnd w:id="32"/>
            <w:r>
              <w:rPr>
                <w:rFonts w:ascii="arial" w:eastAsia="arial" w:hAnsi="arial" w:cs="arial"/>
                <w:b/>
                <w:color w:val="000000"/>
                <w:sz w:val="30"/>
                <w:lang w:val="en-US" w:eastAsia="en-US" w:bidi="ar-SA"/>
              </w:rPr>
              <w:t>R.B.T. GOEPEL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International Culinary Institute of Canada, Inc. ("I.C.I.C.") seeks damages against the Defendant, Grant Thornton LLP ("Grant Thornton") arising from Grant Thornton's review engagement of the August 31, 2001 financial statements of Dubrulle French Culinary School Ltd. ("Dubrulle"). The foundation of the claim is that Grant Thornton failed to advise that Dubrulle's financial statements did not comply with Canadian generally accepted accounting principles ("Canadian GAAP").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review engagement I.C.I.C. owned all the shares of Revamp Properties Ltd. ("Revamp"). Revamp in turn owned all the shares of Dubrulle. Edward Cooke and his wife, Maureen Palfrayman, are sole shareholders of I.C.I.C. and at the material times were the directing minds and directors of I.C.I.C., Revamp and Dubrulle.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its pleadings, I.C.I.C. alleges breach of contract, breach of fiduciary duty and negligent misrepresentation. I.C.I.C. having closed its case, Grant Thornton now applies pursuant to Rule 40(8) to dismiss the action on a no 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Before dealing with the application, it is necessary to set out in some detail the background to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1997 I.C.I.C. purchased the shares of Revamp and Mr. Cooke and Ms. Palfrayman began operating Dubrulle. Mr. Cooke was responsible for the financial affairs of the three companies and gave instructions to the accounting and bookkeeping staff. The third party, Derek Darling, was responsible for preparing the annual financial statements and annual tax filings for all three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Dubrulle's financial year end was August 31. Commencing with the August 31, 2000 year end, Mr. Cooke and Mr. Darling changed the accounting policies of Dubrulle. In order to better match revenues and expenses Dubrulle adopted a policy of attributing 30% of the booked revenue for the upcoming year to the past year's income. The policy was referred to at trial as the "revenue recognition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December 2001, Mr. Cook approached Bruce Milley, a partner of Grant Thornton, for accounting assistance. He first spoke to him on the telephone and advised him that Dubrulle needed to improve its statements. A luncheon meeting was arranged.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Cook, Ms. Palfrayman, Mr. Milley and Ann Meyers, a manager at Grant Thornton, subsequently met. At the meeting, Mr. Cook discussed the growth and development of Dubrulle. He indicated that Dubrulle wanted to pursue international markets and developments and may be looking to attract investors, partners or joint venturers. They discussed the need for accurate financial statements to carry out such activities and the differences between a review engagement and an audit. It was agreed that a review engagement would be appropriate and would give Dubrulle's financial statements a degree of professionalism.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December 18, 2001, Grant Thornton forwarded to Dubrulle a retainer agreement setting out the scope of work and Grant Thornton's standard terms and conditions. Grant Thornton was to review the financial statement of August 31, 2001 and provide Dubrulle with a review engagement report on those financial statements. Grant Thornton set out its obligations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be responsible for performing the review and issuing our report in accordance with standards for review engagements established by the Canadian Institute of Chartered Accountants. Our review will consist primarily of enquiries of company personnel and analytical procedures applied to financial data. Based on our review, we will report whether or not we are aware of any material modifications that should be made to the financial statements in order for them to be in accordance with Canadian generally accepted accounting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term of the engagement, Grant Thornton required a letter from Dubrulle management in which Dubrulle management represented "as members of management of the company, we are responsible for the preparation of the financial statements in accordance with generally accepted accounting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Grant Thornton completed its review in January 2002. Jenny Siemens, then a student at Grant Thornton, did most of the field work. Mr. Cook and Mr. Darling testified that they discussed with Ms. Siemens Dubrulle's revenue recognition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Grant Thornton made certain recommendations to Dubrulle which led to some minor changes in the draft August 31, 2001 financial statements that Mr. Darling had initially prepared. No recommendations were made concerning the revenue recognition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Grant Thornton produced the August 31, 2001 financial statements on a review engagement basis. On the front page of the statements they wrote as follows to the directors of Dubrulle: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reviewed the balance sheet of Dubrulle French Culinary School Ltd. as at August 31, 2001 and the statements of earnings and retained earnings for the year that ended. Our review was made in accordance with Canadian generally accepted standards for review engagements and accordingly consisted primarily of enquiry, analytical procedures and discussion related to information supplied to us by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review does not constitute an audit and consequently we do not express an audit opinion on these financial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our review, nothing has come to our attention that causes us to believe that these financial statements are not, in all material respects, in accordance with Canadian generally accepted accounting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Grant Thornton had no further involvement with Dubrulle. Mr Darling resumed preparing Dubrulle's statements. No changes were made in Dubrulle's accounting policies. The subsequent statements were prepared in a manner consistent with the August 31, 2001 statements. Dubrulle continued to use the revenue recognition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spring of 2002, Dubrulle and EDMC commenced discussions which ultimately led to the sale of the Dubrulle shares. As part of its due diligence, EDMC asked for a list of Dubrulle's accounting professionals and Mr. Cooke named Mr. Milley.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Cooke subsequently called Mr. Milley and advised him of the potential sale of Dubrulle to EDMC. He told Mr. Milley that EDMC had asked for a list of accounting professionals and he had given them Mr. Milley's name. He told Mr. Milley that the Dubrulle shares were to be sold at a price based on the gross sales revenue. Mr. Milley subsequently submitted a bill for $325.00 with regard to that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28, 2003, I.C.I.C. entered into an agreement to sell its shares in Revamp to EDMC (the "Share Agreement"). In the Share Agreement, I.CI.C. warranted that Dubrelle's financial statements had been prepared in accordance with Canadian GAAP.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sale of the Dubrulle shares closed on October 8, 2003. The Share Agreement contained a purchase price adjustment provision. If the liabilities of Dubrulle on the closing date were more than the current assets as determined by Canadian GAAP the purchase price was subject to being reduced dollar for dollar by the amount of such deficiency. If the parties could not agree on the price adjustments the matter was to be settled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Subsequent to closing, a dispute arose between the parties concerning the adjustments and, in particular, whether Dubrulle's revenue recognition policy accorded with Canadian GAAP. EDMC retained Mr. Thompson, who, by chance, was also a partner of Grant Thornton. Mr. Thompson was of the opinion that the revenue recognition policy did not comply with Canadian GAAP. Anita Johnson, a partner at the chartered accountant firm of Smythe Ratcliffe, retained by I.C.I.C., thought otherwise. Both testified at the arbitration. The arbitrator preferred Mr. Thompson's evidence and held that the financial statements did not comply with Canadian GAAP.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I.C.I.C. says that as a result of the arbitration award, they have suffered a loss of $441,857.09 which they now seek to recover from Grant Thornton. I.C.I.C. submits that the loss would have been avoided if Grant Thornton had advised them at the time of the review engagement that the revenue recognition policy did not comply with Canadian GAAP.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parties are in agreement that the test on this application is whether there is some evidence on each element of the cause of action required to be proved by the plaintiff: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(1999), 62 B.C.L.R. (3d) 385</w:t>
        </w:r>
      </w:hyperlink>
      <w:r>
        <w:rPr>
          <w:rFonts w:ascii="arial" w:eastAsia="arial" w:hAnsi="arial" w:cs="arial"/>
          <w:color w:val="000000"/>
          <w:sz w:val="20"/>
          <w:lang w:val="en-US" w:eastAsia="en-US" w:bidi="ar-SA"/>
        </w:rPr>
        <w:t xml:space="preserve"> (C.A.) at para. 35. That is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course of submissions, I.C.I.C. conceded, correctly in my view, that there was no evidence in support of its claims in contract or breach of fiduciary duty. Grant Thornton's contract was with Dubrulle, not I.C.I.C. To the extent Grant Thornton owed fiduciary duties, those duties were owed to Dubrulle. There was no evidence to suggest any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contentious question is whether there is some evidence on each of the elements of the plaintiff's cause of action in negligent misrepresentation. The contentious representation is that contained in the review engagement report that "nothing has come to our attention that causes us to believe that these financial statements are not, in all material respects, in accordance with Canadian generally accepted accounting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elements of a cause of action for negligent misrepresentation were set out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To establish that cause of action, the plaintiff must prove:</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must be a special duty of care based on a special relationship;</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been negligent in making the representation;</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the court added a further requirement with regard to claims arising out of the use of financial statements. In such cases, the plaintiff must also establish that the statement was used by the plaintiff for precisely the purpose or transaction for which it was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the plaintiff has led some evidence of a special duty of care, the untruth of the representation, detrimental reliance, and reasonable reliance. The more problematical questions are whether there is any evidence before the court that Grant Thornton was negligent in making the representation and whether the plaintiff used the financial statements for precisely the purpose or transaction for which they were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evidence that Mr. Thompson of Grant Thornton believes that the statements do not comply with Canadian GAAP. Ms. Johnson, of Smythe Ratcliffe, was of an opposite view. That evidence does not, however, assist in determining whether Grant Thornton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issue for determination is whether Grant Thornton's conduct fell below the standard of care required of a chartered accountant on a review engagement: </w:t>
      </w:r>
      <w:r>
        <w:rPr>
          <w:rFonts w:ascii="arial" w:eastAsia="arial" w:hAnsi="arial" w:cs="arial"/>
          <w:i/>
          <w:color w:val="000000"/>
          <w:sz w:val="20"/>
          <w:lang w:val="en-US" w:eastAsia="en-US" w:bidi="ar-SA"/>
        </w:rPr>
        <w:t>Bloor Italian Gifts Ltd. v. Dixon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(2000), 48 O.R. (3d) 760</w:t>
        </w:r>
      </w:hyperlink>
      <w:r>
        <w:rPr>
          <w:rFonts w:ascii="arial" w:eastAsia="arial" w:hAnsi="arial" w:cs="arial"/>
          <w:color w:val="000000"/>
          <w:sz w:val="20"/>
          <w:lang w:val="en-US" w:eastAsia="en-US" w:bidi="ar-SA"/>
        </w:rPr>
        <w:t xml:space="preserve"> (C.A.). The plaintiff has led no evidence of the standard of care or the responsibility of a chartered accountant conducting a review engagement. In this case, there is no expert evidence of the standard of care and in such circumstances there is no basis upon which the court can make a finding of fact that there is a breach of the appropriate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case in this regard is similar to </w:t>
      </w:r>
      <w:r>
        <w:rPr>
          <w:rFonts w:ascii="arial" w:eastAsia="arial" w:hAnsi="arial" w:cs="arial"/>
          <w:i/>
          <w:color w:val="000000"/>
          <w:sz w:val="20"/>
          <w:lang w:val="en-US" w:eastAsia="en-US" w:bidi="ar-SA"/>
        </w:rPr>
        <w:t>Seiler v. Mutual Fire Insurance Co.</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2003 BCCA 696</w:t>
        </w:r>
      </w:hyperlink>
      <w:r>
        <w:rPr>
          <w:rFonts w:ascii="arial" w:eastAsia="arial" w:hAnsi="arial" w:cs="arial"/>
          <w:color w:val="000000"/>
          <w:sz w:val="20"/>
          <w:lang w:val="en-US" w:eastAsia="en-US" w:bidi="ar-SA"/>
        </w:rPr>
        <w:t xml:space="preserve">. In that case, the trial judge, </w:t>
      </w:r>
      <w:hyperlink r:id="rId94" w:history="1">
        <w:r>
          <w:rPr>
            <w:rFonts w:ascii="arial" w:eastAsia="arial" w:hAnsi="arial" w:cs="arial"/>
            <w:i/>
            <w:color w:val="0077CC"/>
            <w:sz w:val="20"/>
            <w:u w:val="single"/>
            <w:shd w:val="clear" w:color="auto" w:fill="FFFFFF"/>
            <w:lang w:val="en-US" w:eastAsia="en-US" w:bidi="ar-SA"/>
          </w:rPr>
          <w:t>[2003] B.C.J. No. 2151</w:t>
        </w:r>
      </w:hyperlink>
      <w:r>
        <w:rPr>
          <w:rFonts w:ascii="arial" w:eastAsia="arial" w:hAnsi="arial" w:cs="arial"/>
          <w:color w:val="000000"/>
          <w:sz w:val="20"/>
          <w:lang w:val="en-US" w:eastAsia="en-US" w:bidi="ar-SA"/>
        </w:rPr>
        <w:t>, dismissed on a no evidence motion a claim brought against insurance adjusters and repairers on the grounds that expert evidence was necessary to establish the appropriate standards of care that the defendants had to meet. The plaintiffs subsequently appealed but out of time. Chief Justice Finch refused to extend the appeal period agreeing with the trial judge that the absence of expert evidence supported the conclusion that there was no evidence upon which a jury acting reasonably could find that the defendants breached the standard of care or caused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submits that the question as to whether or not Grant Thornton met the standard of care is one that I can decide without expert evidence. He notes that trial judges are often called upon to decide such matters. With respect, I am unable to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test was set out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 55 where Sopinka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either case, the basic question is whether the nature of the issue can be decided on the basis of the ordinary knowledge possessed by the jury or, on the contrary, the matter requires expert evidence because it is beyond the ken of the average juror.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standard of care of a chartered accountant doing a review engagement is not, with respect, a matter that can be decided on the basis of the ordinary knowledge possessed by a juror or in this case a judge. The matter is beyond the ken of the average juror and requires expert evidence. A lack of expert evidence on this point is fatal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further find that there is no evidence that the plaintiff used the financial statements for precisely the purpose or transaction for which they were prepared. The discussion between Mr. Cook and Mr. Milley concerned the growth and development of the school and the need for better financial statements for the purpose of pursuing international markets and developments and possibly attracting investors, partners and joint venturers. The statements were not prepared to assist in the sale of Dubrulle.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evidence that Grant Thornton was told at the time of the retainer of any intention to sell the school or that the financial statements would be used to assist in such a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subsequent discussion with Mr. Milley, after the review engagement was completed, similarly did not indicate that the financial statements would be used as the basis of any sales agreement. In that conversation, Mr. Milley was simply advised that his name had been given to the prospective purchaser. Further, and in any event, that statement took place after completion of the review engagement and the making of the representation which is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circumstances therefore, I find that the plaintiff has failed to lead any evidence of two critical elements of its case in negligent misrepresentation. The plaintiff having conceded that there is no evidence to support the cases in breach of fiduciary duty and breach of contract, the no evidence motion must succeed. The plaintiff's case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Mr.Justice Goepel dated March 26, 2010 have been edited.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first page of the Reasons, A.G. Sexton, Articled Student has been added as counsel for the Defendant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Jacobs v. McLaughlin, [2008] B.C.J. No. 700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Metzger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15-19, 22-26, 29-31, November 1, 2, 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05-0834, 05-2815 and 06-1326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700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483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261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Nancy Jacobs, Plaintiff, and Jean McLaughlin, Defendant And between Nancy Jacobs, Plaintiff, and Anna Moyer, Defendant And between Nancy Jacobs, Plaintiff, and Marianne Meehan,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Damages — General damages — For personal injuries — Non-pecuniary damages, including paid and suffering — Action by plaintiff, injured in three motor vehicle accidents, allowed — Plaintiff awarded total of $33,500 for soft tissue injuries resulting from all accidents, apportioned separately to each driver — Injuries were minor and resolved themselves after each accident — Plaintiff's total disability attributed to her multiple sclerosis alone.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Non-pecuniary award — $20,001 to $40,000 — Considerations impacting on award — Pre-existing injury — Action by plaintiff, injured in three motor vehicle accidents, allowed — Plaintiff awarded total of $33,500 for soft tissue injuries resulting from all accidents, apportioned separately to each driver — Injuries were minor and resolved themselves after each accident — Plaintiff's total disability attributed to her multiple sclerosis alone.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Jacobs to recover damages from three drivers involved in motor vehicle accidents with her. Jacobs was in the three minor accidents in 2003, January 2005 and November 2005. Before the first accident, she worked in a coffee shop and was an active and outgoing person. She had complained of some numbness in her hands, and had some fainting spells and falls. Jacobs was diagnosed with multiple sclerosis shortly after the 2003 accident. Jacobs attended college between 2003 and 2004 and achieved excellent grades. She had various positions between 2004 and 2006, some involving long hours sitting with questionable posture. She suffered a significant and debilitating relapse of her illness in 2006, rendering her totally disabled from employment and many recreational activities. No medical evidence of any brain injury caused by the accidents was adduced, although one expert testified that multiple sclerosis symptoms can be exacerbated by car accidents. Medical records showed Jacobs complained for soft tissue injuries after the first and second accidents. She admitted her multiple sclerosis impacted her memory, but considered her injuries from the accidents the cause of limitations to her education. She was unable to recall participating in examinations for discovery when confronted with answers that contradicted her testimony at trial. Her friends and relatives testified about the intensification of her physical limitations after the accidents but were not able to connect their observations temporally with the accidents. Her instructor at flight school testified Jacobs exhibited none of the pain or discomfort she claimed she experienced when taking lessons in 2004. Liability for the accidents was admitted by all three of the other drivers involved. The drivers involved in the first two accidents admitted causing some soft tissue injuries to Jacobs, while the driver in the third accident denied any injuries resulted from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3"/>
            <w:bookmarkEnd w:id="3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Jacobs's college grades showed she was not suffering from any brain injury after the first accident. She failed to provide adequate medical evidence to support her assertion her multiple sclerosis was exacerbated by the accidents. Her claims about the extent of her symptoms after each accident were not supported by the medical evidence. Evidence from Jacobs's family and friends was of limited value, was distorted by the impact of her multiple sclerosis, and seemed tailored to support Jacobs. Jacobs sustained a minor whiplash injury in the first accident which resolved within five months. She was compensated for this injury with $8,500 in non-pecuniary damages. Any soft tissue injuries Jacobs sustained from the second accident were overwhelmed by her relapse of multiple sclerosis in March 2006. She was awarded $23,500 in non-pecuniary damages for this accident. There was no evidence any injury resulted from the third accident, but the court awarded Jacobs $1,500 in non-pecuniary damages nonetheless. There were no overlapping injuries between the accidents, so the damages were to remain separated. No damages were awarded for future loss of income or future care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Counsel_4"/>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M.H. Zoraik and 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Jean McLaughlin and Marianne Meehan: M.J. Hargreaves.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Anna Moyer: C.P. Collins.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1" style="position:absolute;z-index:2517657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R.W. METZGER J."/>
            <w:bookmarkEnd w:id="38"/>
            <w:r>
              <w:rPr>
                <w:rFonts w:ascii="arial" w:eastAsia="arial" w:hAnsi="arial" w:cs="arial"/>
                <w:b/>
                <w:color w:val="000000"/>
                <w:sz w:val="30"/>
                <w:lang w:val="en-US" w:eastAsia="en-US" w:bidi="ar-SA"/>
              </w:rPr>
              <w:t>R.W. METZGER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Jacobs brought separate actions against the defendants McLaughlin, Moyer and Meehan and in each case liability was admitted. The actions came to trial together for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McLaughlin admits liability for the motor vehicle accident on March 16, 2003 and that the plaintiff suffered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Moyer admits liability for the motor vehicle accident on January 25, 2005 and that the plaintiff suffered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Meehan admits liability for the motor vehicle accident on November 29, 2005, but does not admit the plaintiff suffered any injury from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CHANGE IN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Statement of Claim as amended on October 26, 2006, set out that the plaintiff was diagnosed with multiple sclerosis ("MS") about five months after the first collision in March 2003. It was stated that the plaintiff suffered a significant and disabling relapse of her MS about May 2006, which was about three to four months after the last collision in late November 2005. The Court was asked to determine whether the plaintiff's underlying MS condition was aggravated by the connective tissue injuries sustained in the collisions. The plaintiff's position was that the MS condition was accelerated by trauma and stress resulting from the collisions. The defendants denied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first day of trial, the Court was advised the plaintiff was abandoning the allegation that the motor vehicle accidents played a role in the causation, namely the triggering, aggravation or acceleration/progression of the plaintiff's MS. The concept of a synergistic or compounding effect of the MS on the soft tissue injuries was not foreclosed.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Thus, the court is to determine:</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if any, did the plaintiff suffer in each motor vehicle accident?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has been and continues to be the impact of the plaintiff's connective tissue injuries on her functioning, having regard to the plaintiff's MS related difficulties?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a fair assessment of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seeks the following global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$ 3,550</w:t>
            </w:r>
          </w:p>
        </w:tc>
        <w:tc>
          <w:tcPr>
            <w:tcW w:w="430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1046"/>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Pain and Suffering</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120,000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$223,550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she was healthy, happy and enjoyed all facets of life prior to her motor vehicle accidents. She was enrolled at Camosun College, taking business and accounting courses. She worked as a barista for approximately three years between 2000 and 2003 at the Second Cup Café in Langford, British Columbia. She was active in hiking, swimming, aerobics and Latin dance. She played several music instruments including the marimba, other percussion instruments and piano. She was a hobby artist.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Jacobs was described as energetic, outgoing, ambitious, smart, engaging, jovial, and intelligent. Ms. Jacobs maintains she was in excellent health, both physically and mentally, except for neurological complaints such as numbness in her hands, some weakness and an episode of fainting in early February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May 2006 she was hospitalized at Victoria General for an episode of fully disabling MS. Dr. Devonshire, an expert witness whose evidence is discussed in detail below, stated that MS is an autoimmune disease, where "[t]he immune system itself is attacking the coating on the nerves". Apparently, lesions or plaques in the brain can be seen using an MRI, but do not necessarily correlate to the level of symptoms a person with MS will experience. Dr. Devonshire described the symptoms of MS as including issues of cognitive impairment, fatigue, balance, dizziness, headaches, neuropathic pain, coordination problems, vision problems, as well as weakness, burning, tingling and electrical sensations. The evidence indicates that the symptoms of MS often fluctuate widely in a patient such as the plaintiff. Dr. Devonshire stated that MRI images show the disease activity does not cease, even in periods of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the period of May 5, 2003 to June 20, 2003 the plaintiff attended Camosun College taking business administration and e-business courses and receiving grades of A and A+ respectively. The plaintiff resumed her education program with further courses from September 2, 2003 to December 6, 2003 in business administration/managerial accounting. From January 5, 2004 to April 8, 2004, she also took courses in business administration in which she managed to maintain B- and B grades. A diploma in Business Administration was granted, providing in part a foundation for her later and more difficult academic pursuits with respect to an MBA.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employed at Triumf Nuclear Physics Laboratory at the University of British Columbia, Vancouver, ending April 2003, and then at Hutcheson &amp; Co., an accounting firm in Victoria, ending May 2004. In addition, the plaintiff established her own business, City Cat Business Solutions, as of July 1, 2003 and she worked various jobs at coffee shops, though the actual dates of employment were not established. The plaintiff attended and was an active participant in the Juan Air flight school in May and June 2004. She attended ground school, followed by in-flight training. The plaintiff received training in the following subjects: theory of flight/aerodynamics; flight instrumentation; Canadian aviation regulations and licensing; flight operations; engines and airframes; aircraft systems; human factors of physiology; pilot decision making; meteorology theory; meteorology; decoding meteorology; navigation theory; radio electronic theory; and generally matters pertaining to becoming a pilot.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dispute that throughout 2004 and 2005 the plaintiff spent long hours at the computer with questionable posture due to her chair and desk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Jacobs saw Dr. Lis Bateman in February 2003, when she was experiencing what were later discovered to be the early stages of an aggressive form of MS. When she saw Dr. Bateman, Ms. Jacobs had fluctuating symptoms of significant fatigue, dizziness, walking into walls, and frequent fainting and falls that could cause or aggravate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MOTOR VEHICLE ACCIDENT OF MARCH 16,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16, 2003 (accident #1), the seat-belted plaintiff and sole occupant of a 1981 Toyota Tercel was rear ended at a low speed while stopped at a traffic light to make a left turn. Her vehicle was pushed forward but the damage to both vehicles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Jacobs stated she recalls the impact of the March 16, 2003 accident and that her next recollection is of sitting in the intersection. At trial she described that she momentarily lost consciousness and "saw stars". Ms. Jacobs testified that she immediately experienced pain in her neck, back and head. At no point did she say she hit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immediately able to drive her vehicle into a lane to avoid blocking traffic and to avoid further danger to herself or others. She was able to accurately exchange information with the other driver without any apparent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nothing in the evidence to suggest that the plaintiff suffered from any degree of confusion following the collision, that she suffered from amnesia regarding events immediately prior or subsequent to the trauma, or that she complained of significant concentration or memory problems. There is no indication the plaintiff had any brain injury symptoms from the collision. Neither the police nor an ambulance attended. I am satisfied that the accident was of minimal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Jacobs saw Dr. Menzies on the day following the collision, March 17, 2003, complaining of headaches, sore neck, sharp pain in her shoulders and pain shooting down to her low back. Dr Menzies noted "no loss of consciousness" in respect of the collision. Two days later, Ms. Jacobs saw Dr. Campbell in Victoria at St. Anthony's clinic, complaining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Despite the plaintiff's previous complaint of dizziness to Dr. Menzies on February 11, 2003, she made no complaint with respect to dizziness to Dr.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did not call the medical experts who saw her following this accident. The defence called the treating general practitioner, Dr. Ida Graf-Blaine and tendered the record of the treating specialist, Dr. Kemble.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 doctor supported the plaintiff's allegations of mild traumatic brain injury resulting from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her current recollection is that she experienced unremitting headache, neck pain and back pain throughout the time up to and including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testified that these symptoms made it impossible or very difficult for her to sit still at her desk, whether in the classroom, studying at home, or in an accounting office. She says that the discomfort and pain were so severe that she got very little sleep and was continually tired. She says that she felt that her symptoms impacted her ability to think. She says that her discomfort was so great that she had to quit flying school in the summer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 evidence that the doctors who treated her prior to the diagnosis of MS suggested that the plaintiff required neuropsychological testing, as one might assume would accompany a mild traumatic brain injury, which manifests at its worst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principles enunciated by McEachern C.J. in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(B.C.S.C.) at p. 399, are applicable to the case at bar. Repeating his observations in </w:t>
      </w:r>
      <w:r>
        <w:rPr>
          <w:rFonts w:ascii="arial" w:eastAsia="arial" w:hAnsi="arial" w:cs="arial"/>
          <w:b/>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(7 October 1981), Vancouver B781505 (B.C.S.C.), McEachern C.J.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What objective evidence has the plaintiff adduced of the injuries arising out of the March 16, 2003 accident? Were any of these injuries still present at the time of accident #2 on January 25, 2005? (See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(1968), 65 W.W.R. 577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attended upon nine doctors for a total of 12 appointments between March 16, 2003 and September 22, 2004, inclusive. She provided records relating only to the first two visits with Dr. Menzies and Dr.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the plaintiff's March 17, 2003 medical chart some of the symptoms noted are consistent with a whiplash injury sustained the day before. The plaintiff complained of headache, neck pain and back pain. The defendant McLaughlin admitted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some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says that on March 19, 2003, she was suffering from headache, neck pain, sleep disruption and low back pain. Her friend, Ms. Orten, confirmed this and added that the plaintiff appeared tired, although I have found that Ms. Orten's evidence lacked objectivity. Dr. Campbell's chart for March 19, 2003 shows only a complaint of low back pain, with pain radiating into the left anterior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could not specifically recall Dr. Campbell, but she did recall that she attended St. Anthony's Clinic on or about March 19, 2003, and that the doctor there told her that she should be fine in "one to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McLaughlin took no issue with the symptoms reflected in the March 17 and 19 charts of Drs. Menzies and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has significant memory problems. Unbeknownst to the plaintiff and her then-treating doctors, the plaintiff was already suffering from remitting/relapsing MS which included her fluctuating symptoms of significant fatigue, dizziness, walking into walls, and frequent fainting and 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troubled that the plaintiff called no attending doctors and produced only the two charts referred to above for the time between the first and second accidents. I am concerned that if her symptoms were as persistent as she claims they were, it seems logical that she would have mentioned her symptoms to all of her doctors. Such symptoms recorded over this period of time would have objectively demonstrated a consistent pattern of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Graf-Blaine, one of the two witnesses called by the defendant, took a detailed intake chart of Ms. Jacobs on June 26 and 30, 2003 and completed a physical examination on July 15, 2003. Dr. Graf-Blaine also saw Ms. Jacobs on January 13, February 1 and 8, 2005. The charts indicate that Dr. Graf-Blaine was an attentive and thorough physician. I reject the plaintiff's evidence that Dr. Graf-Blaine treated her in a humiliating fashion and did not pay attention to her complaints. Whenever there is a conflict in the evidence between Ms. Jacobs and Dr. Graf-Blaine, I accept the doctor's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doctor's June 30, 2003 chart indicates that Ms. Jacobs reported multiple paresthesias, back pain, dizziness, walking into walls, vision shifts, a lack of ability to concentrate, memory loss, a decrease in her usual interests, frequent "passing out" and fatigue. Ms. Jacobs stated then, as she does now, that she believed the motor vehicle accident of March 16, 2003 was the cause of all 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Graf-Blaine referred Ms. Jacobs to Dr. Kemble, a specialist in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medical records from the summer of 2003 contain two references to back pain and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Dr. Graf-Blaine's June 30, 2003 referral letter to Dr. Kemble, she noted the plaintiff had "back pain". Dr. Graf-Blaine did not specify the area of the back and it is apparent that this was one of a litany of complaints being passed along to Dr. Kemble for his assessment and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Kemble met with Ms. Jacobs on August 18, 2003. She reported to him that two months prior to their meeting she had developed symptoms including numbness affecting the right half of her face and tongue, difficulties in word-finding, dizziness not necessarily occurring with change in position and difficulty in concentrating because of problems with her memory. In addition, she complained that she had started to feel generally fatigued. At the time the plaintiff saw Dr. Kemble, however, she felt that many of her symptoms had cleared and some had diminished over the week before their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told Dr. Kemble that her headaches had cleared a week previous and that the dizziness was still occurring occasionally and caused objects in a room to appear to move around. Dr. Kemble noted as part of her history that the plaintiff at that time had "no pain in the extremities or spine". This notation is inconsistent with the plaintiff's present representations that her headaches and other back pain were continuous and disabling since the first motor vehicle accident. It is an inconsistency that was never explained by her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examination, Dr. Kemble noted that the plaintiff had full range of cervical movement without any significant cervical tenderness and she had no other spinal tenderness. In addition, she achieved straight leg raising to 80 degrees bilaterally. Neurologically, she was deemed to be normal other than having a slight impairment of the right sensation affecting the right hemiface and tongue. I note that straight leg raising to 80 degrees took place in the absence of pain in the spine. There is no pre-motor vehicle accident record that can be used as a touchstone for comparison purposes to establish what was "normal"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Kemble felt it was possible that these symptoms were stress related although he suspected that Ms. Jacobs could be suffering from demyelination or an episode of a minor vertebral artery dissection. He then sent her for an MRI which made it clear that the plaintiff did have demyelination typical for MS. For whatever reason, the plaintiff appears not to have been advised of the results of the MRI and she went about her activities in light of the then remitting MS symptoms. Ms. Jacobs was ultimately diagnosed with MS in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January 13, 2005, Ms. Jacobs reported to Dr. Graf-Blaine for another complete physical. She told the doctor that she was going to a physiotherapist for back pain, but there were no other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Jacobs testified that as her musculoskeletal pain become worse in early 2004, her then boyfriend, Mr. David Jarvis, encouraged her to try alternative treatments. Mr. Jarvis took Ms. Jacobs to Dr. Willo Jordan-Walker on February 19, 2004. At that time, Ms. Jacobs was complaining of acute back pain as well as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Jordan-Walker, a doctor of traditional Chinese medicine, treated the plaintiff on February 19, March 16, September 9 and November 24, 2004. He was not called as an expert witness. He stated that the plaintiff and David Jarvis completed the history sheet that he identified as Ms. Jacobs'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Someone wrote on the history sheet that the plaintiff was experiencing "neck" pain. It was then crossed out. The plaintiff and the doctor were unable to clarify who had done that. Mr. Jarvis paid for the treatments but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Jordan-Walker could not recall the plaintiff, but from the chart he confirmed that the plaintiff told him she had low back complaints. This was almost a year post-accident and at a time when she was complaining of dizziness, decreased energy, tingling and numbness, which were later determined to be symptoms of ongoing MS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Jordan-Walker treated Ms. Jacobs only four times for these "acute" complaints. Moreover, he stated that the plaintiff's symptoms appeared to migrate through different parts of her body like "moving wind". He acknowledged that this "moving wind" meant that one day the pain could be in the back, the next in the neck or legs or even in the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Jordan-Walker had no objective evidence of the plaintiff's symptoms as he relied on the chart authored by the plaintiff and Mr. Jarvis.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present complaint of unremitting headache and neck pain in December 2004, having continued since March 16, 2003, is also inconsistent with the evidence of her own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the plaintiff advised or led her various medical practitioners to believe that she had been taking physiotherapy from soon after accident #1, it is clear that the physiotherapy did not begin until December 15, 2004, with Alan Jones at the Fort Royal Physiotherapy Clinic in Victoria when she suffered an episode of "acute low back pain with tenderness and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Jones made reference not just to tenderness in the plaintiff's back but to "spasm centered across the lumbosacral area and difficulty maintaining set position". These problems required hot packs, ultrasound, massage and specialized back care instruction regarding appropriate exercise. I accept Mr. Jones' testimony that if there were no narrative comments in one of his noted attendances, there was no change as compared to the last narrative notation. Despite numerous attendances, there are no narrative notations between December 15, 2004 and January 27,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complete lack of physiotherapy prior to December 15, 2004 starkly contrasts with the intensive, almost daily treatment obtained after December 15, 2004. The plaintiff attended physiotherapy treatments on December 20, 21, 22, 23, 24, 29, 30 and 31. She continued to be treated on January 4, 11 and 20, 2005, just prior to her second motor vehicle accident. Mr. Alan Jones admitted his notes suggested that as of January 20, 2005, he would have anticipated her return for further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Jacobs saw Dr. Peter Rowell at the James Bay Medical Clinic in Victoria on December 23, 2004. His clinical record noted only low back problems complained of by the plaintiff. There is no reference to neck pain, headaches or other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 OF DOCTOR DEVONSHIRE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Devonshire is a neurologist and the director of the University of British Columbia MS clinic in Vancouver. She does research, manages the database and has privileges at the Vancouver General Hospital, the UBC Hospital and the G.F. Strong Rehabilitation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Her report was commissioned in the context of a claim that one or more of the motor vehicle accidents caused, triggered, accelerated or exacerbated the plaintiff's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this position was abandoned on the first day of trial, many portions of the report were excised. Thus, the report became largely irrelevant despite the eminence of Dr. Devonshire.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Devonshire saw Ms. Jacobs on November 16, 2006 and January 15, April 19 and June 21,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Devonshire lacked a full medical history of the plaintiff from the time of the first accident. She admitted that such a history would be necessary for her to express an opinion about the existence of soft tissue injuries and their causation. She reviewed medical legal reports but did not review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Devonshire reported that Ms. Jacobs told her that when her car was rear ended in March 16, 2003 she recalled having a cervical strain type injury. Ms. Jacobs reported that she had a brief loss of consciousness but no confusion. Dr. Devonshire did not attempt to confirm this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Devonshire testified that her only concern with the musculoskeletal symptoms displayed by the plaintiff was to filter them out when looking at the plaintiff's condition. She was focused upon identifying and treating (and expressing an opinion with respect to) the symptoms of MS. Thus, Dr. Devonshire's report is of no assistance to the Court in a determination of the nature, extent and duration of injuries sustained by the plaintiff in any of the accidents or the prognosis for such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argues that she is entitled to greater damages than would ordinarily be the case, because of some synergistic or compounding effect between her MS and her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Devonshire testified that such a possibility exists but she dealt in generalities. Nowhere in her report did she actually say that Ms. Jacobs has suffered or will suffer such a compounding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extent of Dr. Devonshire's discussion in her report in this regard 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injuries that are sustained in a motor vehicle accident, particularly many of the soft tissue injuries can cause a worsening of the functioning of a person with multiple sclerosis.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Devonshire went on to say that this worsening was "likely the case for Ms. Jacobs". This opinion was, however, premised on a single report for a single visit. In her report, Dr. Devonshire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Jacobs reported more problems with her soft tissue injury pain and increased stress and illness from the chemotherapy at her last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doctor's one observation of an amplification of problems was linked to two causes: soft tissue pain and the effects of chemotherapy.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Devonshire testified as follows about Ms. Jacobs: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She's -- she's been quite stable since I've taken over her care. She has fluctuations depending on how she's feeling those days, those weeks. So if she has -- she once had an intercurrent infection, that makes her feel worse. She had stress related to some ongoing pain issues from her musculoskeletal complaints and she functioned a little bit poorly at that time. But overall, I called these fluctuations. Her actual MS fixed deficits have not worsened, it's possible they've improved slightly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Thus, the evidence from Dr. Devonshire is that it is possible that soft tissue injuries can be amplified by or can amplify the symptoms of MS. However, in her actual experience as Ms. Jacobs' treating neurologist, she has witnessed only one episode in which the plaintiff has done "a little bit poorly", and that episode was as much connected to the impact of a chemotherapy session as it was to any soft tissue injury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Dr. Devonshire acknowledged that subsequent to the motor vehicle of March 16, 2003, Ms. Jacobs achieved A+ or A grades at Camosun College in Victoria. This appears to be a degree of achievement not consistent with a mild traumatic brain injury or significant soft tissue injury. There was no medical opinion that the plaintiff sustained a mild traumatic injury on the basis of probability. While Dr. Devonshire suggested that there was a possibility that there had been mild traumatic brain injury, she readily admitted that she did not take actual steps to determine whether this was so and considered the matter moot or not testable as the plaintiff's MS had in the meantime caused obvious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that the plaintiff has not adduced sufficient evidence to prove on a balance of probabilities that she suffered some compounding effect between her MS and her soft tissue injuries caused by any of the three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 OF DR.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Cook has had the greatest involvement of any physician in Ms. Jacobs' care over the last four and a half years. He filed a written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Unfortunately, Dr. Cook did not see the plaintiff until June 3, 2005, more than two years after the first motor vehicle accident and more than four months after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Cook is an exceptionally busy physician, seeing in excess of 50 patients per day at a walk-in clinic. He obtained the plaintiff's medical records from Dr. Graf-Blaine, Dr. Brigel and the James Bay Medical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did not obtain, and apparently was unaware of, records from Dr. Menzies, Dr. Campbell and Dr. Smith, all of whom saw the plaintiff in the period between March and June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Cook relied solely upon the plaintiff's self-report, as communicated to him beginning on June 3, 2005. Dr. Cook wrote that the plaintiff reported to him that she had "started physio about 1 yr after accident". The evidence is that she did not receive any physiotherapy treatment until December 15, 2004, some 21 months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During cross-examination Dr. Cook accepted that Ms. Jacobs sustained significant soft tissue injuries as a result of the accident of March 16, 2003 based solely on the history recited by her. He admitted that his opinion was based upon the assumption that Ms. Jacobs was accurate in that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Cook also admitted, on cross-examination, that the records available to him from Drs. Graf-Blaine and Kemble were inconsistent with the history afforded to him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self-report to Dr. Cook is indeed in conflict with contemporaneous medical evidence. Thus, Dr. Cook's opinion with respect to the first accident is of no assistance. There is no basis upon which the Court can accept the accuracy or reliability of Dr. Cook's opinion that the plaintiff sustained "significant soft tissue injury" in the motor vehicle accident of March 16,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FRIENDS AND RELATIVES CALLED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Cheri Jacobs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Cheri Jacobs is the plaintiff's sister and they both currently reside at the same apartment building. She admitted that she and the plaintiff were both workaholics and very busy in 2003 so the interaction between them during 2003 was limited. The plaintiff at that time was busy completing her college courses. She graduated from Camosun College in 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Cheri Jacobs was asked to comment upon her observations of the plaintiff's health during 2003. Cheri Jacobs testified that it was not a "fast decline" but rather that it was a very "slow decline" in her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Cheri Jacobs did not have much knowledge, if any, of the magnitude or the timing of her sister's neurological problems. On cross-examination, she indicated that she thought the facial numbness dated back to the plaintiff's time in Vancouver in 2003. She thought the walking into walls came about in the fall of 2003,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lack of reliability with respect to the timing of symptoms, which was proven independently, suggests that Cheri Jacobs' memory is questionable. Furthermore, the "slow decline" that she observed in her sister's health during 2003 is at least as consistent with the manifestation of MS as it is with any lingering effects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Her evidence was of limited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Alicia Orten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Orten's recollection of the plaintiff extends back to late 2001 or early 2002 when the plaintiff began work at Second Cup where Ms. Orten was already employed. That location went out of business in 2002 or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Jacobs testified that she came back to Victoria on the weekend following the accident and it was during that trip that she went to St. Anthony's clinic on March 19,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accident happened on Sunday, March 16, 2003. The 19th was not on a weekend. Yet, Ms. Orten agrees with the plaintiff's recollection that it was on a weekend that Ms. Orten took her friend to St. Anthony's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Orten's recollection of her friend's presentation on that weekend is inconsistent with the presentation recorded by Dr. Campbell. Ms. Orten said she had a clear recollection of the plaintiff being tired, and saying she was having difficulty sleeping due to pain. As well, Ms. Orton recalled that the plaintiff complained of headache, neck pain and low back pain. She said that the magnitude of these injuries and problems prompted Ms. Orten to encourage her friend to go to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Campbell recorded only mild paralumbar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Either Ms. Jacobs underreported her symptoms to Dr. Campbell or Dr. Campbell erred or Ms. Orten is mistaken. The latter seems to be the more reasonable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During her testimony, Ms. Orten had difficulty limiting herself to observations. She continually told the court about Ms. Jacobs' complaints of ongoing sleep problems and constant pain. This was at odds with Ms. Jacobs' testimony at trial, that she was a person who rarely complained.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When confronted with the apparent lack of medical records of ongoing complaints, Ms. Jacobs said that she always wanted to appear to be at her best. She said she never really wanted to let on that she had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Ms. Orten described the plaintiff as someone who was continually complaining about her neck, back, and headache and continually taking pills. There are no receipts for any of this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Orten described Ms. Jacobs on March 19, 2003 and said that she gradually got worse up to and including the MS attack in the spring of 2006. This is inconsistent with the medical records. It is inconsistent with Alan Jones' testimony as to the impact of his physiotherapy treatments upon the plaintiff and, to a minor degree, inconsistent with the plaintiff herself who does not claim that her condition got worse between March 2003 and January 2005. The plaintiff said there was an exacerbation and worsening of her condition on January 25, 2005, the date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Orten's evidence is not reliable. Her perception of the plaintiff is inconsistent with the medical records and with the evidence of Ms. Jacobs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Orten's testimony has not established objective evidence of the plaintiff's symptoms prior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Mary Jane Goddard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Goddard, the plaintiff's flying school instructor, was called by the defendants. She was an excellent witness with a clear, independent recollection of the plaintiff. Ms. Goddard accepted the limits of her recollection and at the same time gave convincing details as to why the plaintiff stood out in her mind. I accept Ms. Goddard's testimony whenever there is a conflict with that of Ms. Jacobs.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ground school class was small, consisting of two females and one male. Ms. Goddard remembered the plaintiff taking notes with a notebook computer. She recalled looking at the notes and being astounded at their completeness. She jokingly suggested to the plaintiff that she might post them onto the Internet as review notes for others going through ground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Goddard remembered the plaintiff's enthusiasm and eagerness.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Goddard demonstrated the walk around routine required of students before they were allowed into an airplane. With the aid of exhibits she demonstrated some of the bending, twisting and stooping motions the student must perform in order to check the wings, fuel, tires, brakes, and to get in and out of the aircraft. The evidence is that Ms. Jacobs performed all of these movements without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Goddard described the uncomfortable seat in which the student pilot would sit. She described the substantial effort required to apply the brakes upon landing and upon taxiing. She described, credibly, that the plaintiff would have been permitted to land the plane (assisted by Ms. Goddard) only on the fourth flight. The plaintiff now complains that the effort required to bring the plane to a stop was extremely painful for her and was far greater than the effort required to stop a car. Ms. Jacobs did not complain to Ms. Goddard nor did Ms. Goddard notice any pain behaviour on the part of Ms. Jacobs.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should be noted that the plaintiff's records suggest that ground school occurred in 2003, and flying school in 2004. Ms. Goddard, who personally reviewed her records prior to coming to court, said that both occurred in 2004,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Nancy Jacobs described by Ms. Goddard is not the Nancy Jacobs described by the plaintiff or 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Anthony Hume-Ring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Anthony Hume-Ring, the plaintiff's current boyfriend, was unable to assist the court with any insight into the plaintiff's condition prior to March 16, 2003, or for a number of months thereafter. He did not meet her until the spring of 2003 and even then it was at most a casual acquaintanceship.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Hume-Ring is now living with the plaintiff. His recollection of the plaintiff has been distorted by the impact of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ability of Mr. Hume-Ring to assist the court in understanding the continuity of symptoms from the motor vehicle accident of March 16, 2003 is impaired by his lack of knowledge of the neurological problems from which the plaintiff was suffering in the summer of 2003 and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also testified that, even prior to the second accident, back pain and neck pain were "the big ones", in terms of the plaintiff's symptomology. This is not consistent with the medical records. It is consistent with the plaintiff's present description of injuries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Hume-Ring's testimony about the plaintiff's jaw problems described symptoms occurring after the second accident. Mr. Hume-Ring's evidence is more germane to the second accident than to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Plaintiff's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timing of the interactions between the plaintiff and Howard Lundeen, the plaintiff's classmate, and Tiffany Young, the plaintiff's friend, leads to the conclusion that their respective testimonies could be of no assistance in determining her symptoms from the time of accident #1 up to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Jacobs did not start working for Bruce Campbell at Fastax until after accident #2, so his testimony was of no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testimony of Thelma Nicholson, one of the caretakers of the apartment building in which the plaintiff now lives, was also of no assistance. Not only was her evidence replete with contradictions, but she did not meet the plaintiff until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Philip Zeman became a friend of the plaintiff after accident #1. He offered no useful observations of the plaintiff's symptoms prior to accident #2. His primary evidence concerned his observations of the plaintiff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CREDIBILITY AND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credibility as a witness is greatly affected by the impact of her MS upon her ability to recall events and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Jacobs has a history of fainting and falls. One fall occurred on February 11, 2003, when she fainted and fell unconscious in a shower. She attempted at trial to suggest that she had tried to gently lower herself down onto the shower/bathroom floor, and therefore the fall had minor consequences. I reject this late explanation as it is contrary to the evidence. The evidence is that the plaintiff fell again on August 23, 2003, injuring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Hume-Ring recalled that he actually observed at least two episodes of collapsing and falling. The records of Dr. Graf-Blaine and Dr. Kemble refer to "frequent passing out and fatigue". As early as June 30, 2003, the plaintiff, in the context of mentioning her motor vehicle accident of March 2003, advised medical practitioners that her fall in the shower and her visit to a neurologist in Vancouver occurred in March, not February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Despite these apparently frequent falls and faints, the plaintiff did not obtain a medical expert opinion with respect to their potential for or actual causation of soft tissue injury. I note </w:t>
      </w:r>
      <w:r>
        <w:rPr>
          <w:rFonts w:ascii="arial" w:eastAsia="arial" w:hAnsi="arial" w:cs="arial"/>
          <w:b/>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at para. 5, where Thackray J. stated that "[s]ignificant injuries can be caused by the most casual of slips and 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sought refuge in the effects of her disease during the course of cross-examination. On at least one occasion, when confronted with one of the numerous inconsistencies between her evidence at trial and her evidence on examination for discovery in March 2006, she testified that even at the discovery the disease had impacted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repeatedly answered various questions, both in chief and on cross, with the statement that she did not remember or, quite often, the phrase: "I don't remember exactly".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One of the more obvious difficulties was the plaintiff's underestimation of the nature and effects of her disease. When plaintiff's counsel, over the objection of both defence counsel, asked her whether she felt that she would be capable of obtaining her MBA if she were not experiencing the effects of the soft tissue injuries, she said that she was confident that she could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When asked by her counsel whether the MS would have any impact on those plans or that ability, she indicated that it would not. She felt it might "bump" her marks down a bit but she had no doubt but that she could complete the MBA program. Ms. Jacobs maintained it was the soft tissue injuries, and her difficulties with sitting and studying, that were the bar to her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was apparent that the plaintiff genuinely believed this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However, I find that it is not true. I find that the plaintiff has a view of herself that is inconsistent with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Cook testified both in his report and on cross-examination with respect to the impact of the MS upon his patient. In the report 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permanent lack of gainful employment may be a relatively minor disability when compared with the difficulties associated with a lack of insight into her disease process, relationships and cognition.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the cross-examination of Dr. Cook the following questions and answers arose: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reality is, doctor, that if you leave the soft tissue injuries out of this completely, this MS has devastated Ms. Jacobs' life, correct?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correct.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last three lines you've written on page 48 [the passage beginning with "A permanent lack of gainful employment ..."] that's true with respect to Ms. Jacobs' situation, whether or not it has anything to do with the soft tissue injuries, leave those out completely, that's a true statement of what unfortunately has happened to Ms. Jacobs, correct?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so.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This helps explain why the plaintiff claims that all of her memories are in her mind but that some of them are in "filing cabinets" to which she does not have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satisfied the plaintiff is striving to fill the gaps in her memory rather than being deliberately deceitful in some of her evidence. However, the Court cannot ignore all of the obviously erroneous evidence, merely because the Court suspects confabulation rather than intentional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Le v. Milburn</w:t>
      </w:r>
      <w:r>
        <w:rPr>
          <w:rFonts w:ascii="arial" w:eastAsia="arial" w:hAnsi="arial" w:cs="arial"/>
          <w:color w:val="000000"/>
          <w:sz w:val="20"/>
          <w:lang w:val="en-US" w:eastAsia="en-US" w:bidi="ar-SA"/>
        </w:rPr>
        <w:t xml:space="preserve">, [1988] B.C.W.L.D. 777, </w:t>
      </w:r>
      <w:hyperlink r:id="rId106" w:history="1">
        <w:r>
          <w:rPr>
            <w:rFonts w:ascii="arial" w:eastAsia="arial" w:hAnsi="arial" w:cs="arial"/>
            <w:i/>
            <w:color w:val="0077CC"/>
            <w:sz w:val="20"/>
            <w:u w:val="single"/>
            <w:shd w:val="clear" w:color="auto" w:fill="FFFFFF"/>
            <w:lang w:val="en-US" w:eastAsia="en-US" w:bidi="ar-SA"/>
          </w:rPr>
          <w:t>[1987] B.C.J. No. 2690</w:t>
        </w:r>
      </w:hyperlink>
      <w:r>
        <w:rPr>
          <w:rFonts w:ascii="arial" w:eastAsia="arial" w:hAnsi="arial" w:cs="arial"/>
          <w:color w:val="000000"/>
          <w:sz w:val="20"/>
          <w:lang w:val="en-US" w:eastAsia="en-US" w:bidi="ar-SA"/>
        </w:rPr>
        <w:t xml:space="preserve"> (B.C.S.C.), Southin J. (as she then was) wrote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litigant practices to deceive, whether by deliberate falsehood or gross exaggeration, the court has much difficulty in disentangling the truth from the web of deceit and exaggeration. If, in the course of the disentangling of the web, the court casts aside as untrue something that was indeed true, the litigant has only himself or herself to blame.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Untrue evidence occasioned by organic brain damage gives rise to as much difficulty, in disentangling the truth from the web of unreality, as does deceit or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Due to her MS it is natural to have sympathy for the plaintiff's plight, but this cannot detract from the right of the defendant to be held responsible only for those losses that the plaintiff can demonstrate, on a balance of probabilities, stem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lack of insight into her condition must be viewed together with her propensity to attribute her problems to the motor vehicle accidents. This attribution was wrong. The plaintiff would no longer have the ability to complete an MBA program, even if she had no soft tissue injury symptoms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Very early in her cross-examination, the plaintiff was first confronted with evidence given by her on her examination for discovery. She had absolutely no recollection of the examination for discovery process other than a vague memory that a lawyer conducting the examination for discovery wore a grey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Jacobs was, during the course of cross-examination, confronted many times with passages from both of the examinations for discovery. One was held March 10, 2006, which was before the onset of the major MS flare-up in the spring of 2006, and the other was July 6, 2006, after she had been discharged from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had a complete lack of recall of participating in either examination for discovery. I do not doubt the sincerity of the plaintiff's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Difficulties of this magnitude in her recollection of events from 2006 raise questions as to the reliability of her supposedly detailed evidence of symptoms in 2003, 2004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Another example of memory reconstruction was the plaintiff's initial testimony that her recollection of ground school was that it lasted for one hour per week over some three weeks. This testimony was given on the afternoon of October 24,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next morning she was immediately led by counsel into stating that she "misspoke" when giving her earlier evidence about ground school. She had, so she said, reviewed her records during the evening of October 24, 2007, and learned that ground school actually occupied 48 hours. Independent evidence demonstrated this new evidence to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During cross-examination, the plaintiff was again asked how long ground school had lasted. She attempted to reconstruct this. She tried to recall the duration of certain components of the course. She had to give up part way through as it was apparent that her memory was failing her. She did come up with a guess as to the number of hours that ground school had totalled, but that guess was not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Thus, while Ms. Jacobs gave correct evidence regarding ground school on the morning of October 25, 2007, when subjected to cross-examination, that memory had become vague and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It appears that the plaintiff's testimony on the morning of October 25 was not from a genuine memory. If her memory were genuine, then there is no explanation for why she would not be able to give the same evidence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Furthermore, in her evidence in chief, she said that she attended ground school in 2003. It took place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Jacobs testified that the doctor who examined her at the St. Anthony's Clinic on March 19, 2003 recommended to her that she obtain physiotherapy and/or massage therapy. She stated that she did not avail herself with such treatments following the motor vehicle accident because ICBC refused to fund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She stated she did not fund it herself because she was busy with efforts to relocate to Victoria and that her finances did not permit her to pay for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note that Ms. McLaughlin volunteered to pay for therapy sessions but this offer was never taken up. Why did the plaintiff not avail herself of this funding? The plaintiff was afforded full opportunity to return to the stand to comment on this evidence but declined to do so. Her counsel stated that he was "content" with the evidence as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 earned approximately $18,000 in 2003, with most of this earned in the spring and early summer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2004, by contrast, her taxable income was $830. She was able to support herself throughout 2004 on that income because she had access to credit. This credit not only enabled her to support herself but also allowed her to pay for the apparent luxury of ground school and flying lessons. It seems unlikely that her finances would have prevented her from attending a physiotherapist if she were in constant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Jacobs gave no plausible explanation for why, when Dr. Campbell's optimistic prognosis of recovery in two weeks proved false, she did not go back to a doctor at that point. She stated that, if Dr. Campbell got it wrong, she did not expect any other doctor to get it right. This flies in the face of her testimony of unrelenting pain up to the second accident and numerous visits to health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Graf-Blaine's chart, and her evidence at trial, demonstrate that the plaintiff made no complaint, on four consecutive visits in 2003, of headache, neck pain or low back pain. There is an isolated reference to "back pain" in one document authored by Dr. Graf-Blaine. Nowhere in Dr. Graf-Blaine's records is there any note that the plaintiff was expressing the types of difficulties that she now says she was not only experiencing on a constant basis, but which she was also reporting to her caregivers. I do note that Ms. Jacobs did report back pain to Dr. Jordan-Walker.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Graf-Blaine noted that she conducted a complete physical examination of the plaintiff on July 15, 2003 and recorded that the plaintiff's neck was "supple" and that the plaintiff's musculoskeletal exam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described Dr. Graf-Blaine as a physician who:</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permitted her to spend more than ten minutes in her presence at any one time, including on the first visit;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allowed her to discuss more than one topic during any one visit;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listen to the plaintiff's complaints;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address her complaints;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humiliated her as to cause her to lose all faith in the medical care system and to look into the possibility of making a complaint about Dr. Graf-Blaine.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description is without foundation given the doctor's clinical notes and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is extremely unlikely that a doctor upon the very first meeting could record the detailed intake chart of June 26, 2003 with a patient in a mere ten minutes. The back page of the chart shows that the family history was also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Again, the plaintiff's memory has failed her. Far from limiting the plaintiff to ten minutes, Dr. Graf-Blaine actually gave the plaintiff 30 minutes of her time on June 26, despite being able to charge MSP for only 20 minutes. Moreover, Dr. Graf-Blaine afforded her another 20 minutes on June 30, to complete the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 June 30, 2003, Dr. Graf-Blaine made her detailed referral to neurology specialist Dr. Kemble. The Dr. Graf-Blaine remembered by the plaintiff is not the Dr. Graf-Blaine who wrote that referral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ON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evidence of Dr. Graf-Blaine directly contradicts the plaintiff's story of unremitting, constant and significant headache, neck pain and low back pain throughout the summer of 2003, and as of the date of the physical examination of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Kemble's consult report is consistent with the evidence of Dr. Graf-Blaine and inconsistent with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Objective evidence did not show that the motor vehicle accident of March 16, 2003 was a materially contributing cause of the plaintiff's low back complaints that were present as of December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has demonstrated, on a balance of probabilities, that she sustained a minor whiplash injury on March 16, 2003, the effects of which had resolved by the time of her examination by Dr. Kemble in the middle of August 2003. There is not sufficient evidence to conclude that the symptoms persisted for any time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am satisfied that continuing soft tissue complaints appear to have been aggravated or caused by any of a number of unrelated factors, such as her fainting, falls, and walking into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evidence is that the plaintiff's injuries from accident #1 healed in their natural course and their effects were eventually overwhelmed or subsumed by the plaintiff's unrelated progressive MS symptoms and disability. I am satisfied that the plaintiff's pain and suffering decreased over a five-month period, ending in August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did not adduce evidence of a compounding or synergistic effect between her MS and her accident related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On a review of the usual contradictory cases presented by opposing parties, I am satisfied the plaintiff is entitled to $8,500 in non-pecuniary damages for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suffered no loss of income as a result of the first motor vehicle accident. The plaintiff put forward no evidence of any special damages arising from that accident. She adduced no evidence of any cost of future care or impairment of earning capacity as a consequence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MOTOR VEHICLE ACCIDENT ON JANUARY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As stated above, I have found that there were no pre-existing soft tissue injuries from accident #1 at the time of accident #2. For purposes of assessment of the injuries due to the January 25, 2005 motor vehicle accident, this means that the plaintiff's health concerns of December 2004 and any treatment she received at that time were non-tortious in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motor vehicle accident of January 25, 2005 occurred on Douglas Street in Victoria. The defendant, Ms. Moyer, was driving out of her apartment complex and entering onto Douglas Street when she impacted with the plaintiff's rear passenger side quarter panel. The plaintiff maintained that this caused her vehicle to spin. She stated that she started up her car after it stalled with the impact and followed the defendant's vehicle to the side of the road where they exchanged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maintained that although she did not recall hitting her head on any part of the interior of her vehicle, the centripetal force of the impact was so significant that it caused her jaw to dislocate. This required her to pull her jaw back into place. Moreover, she said this same force caused her to feel her eyes to be pulled. She said that she had immediate headaches,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Nevertheless, the plaintiff exchanged information with Ms. Moyer apparently without difficulty and accompanied her to her nearby apartment, as neither had a cell phone. Neither the police nor an ambulance attended though Ms. Moyer called the police and insurer. Ms. Moyer asked Ms. Jacobs whether she was all right following the accident and was advised that she was. Ms. Jacobs does not recall stating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Jacobs has now alleged her injuries pertaining to the motor vehicle accident of January 25, 2005 include headaches, neck and back pain, mid back pain, pain in the shoulders and the hip, dizziness and disturbance of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Moyer is retired and has credible recall. She herself was uninjured. She said Ms. Jacobs wrote down the particulars of information and she, in turn, received Ms. Jacobs' particulars, including her business card. Ms. Moyer said the plaintiff did not appear to be emotional or to have been injured. Ms. Moyer inspected the vehicles with the plaintiff and remembered only that the damage to the vehicles appeared minor. Ms. Moyer said she was more interested in Ms. Jacobs and whether she had been injured than in the damage to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Moyer stated that she did not notice any problems with the plaintiff's jaw or speech or any facial expressions she might interpret as pain. She said that during their walk to her apartment about 70 yards away, the plaintiff kept up with her even though she is a fast walker. At no time did she observe any disturbance of gait or imbalance. She recalled the plaintiff complimented her on her apartment and that the plaintiff confided that she worked from home. She recalled the time they spent together as being roughly 30 minutes to three quarters of an hour in total and that at no time was she advised by Ms. Jacobs that she was intending to see a doctor or that she was injured. I accept Ms. Moyer's statement that had the plaintiff informed her she was injured or needed a doctor's attention, she would have called 911 or her doctor. I accept that she would not have left the plaintiff unassisted.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blamed this accident for immediate injury to her adductor muscles. The first appearance of complaint regarding the adductor muscles is in the April 18, 2005 clinical record of Dr. Jones, despite nine intervening visits to Dr. Jones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Court has found the plaintiff to be an unreliable historian. The result of the plaintiff's misinformation or inconsistent evidence is that the plaintiff and the physicians called upon to provide opinion evidence on her behalf have failed to segregate potential soft tissue injuries from the accident of January 25, 2005 and from intervening injuries due to her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plaintiff's aggressive form of MS disease had already begun to manifest itself in various forms about one year prior to her presentation of complaints to neurologist Dr. Lisa Bateman in February 2003. Ms. Jacobs experienced the effects of her progressive MS disease on a fluctuating, symptomatic basis. To reiterate, this included her significant fatigue, dizziness, walking into walls, frequent fainting and falls, all of which had the potential to create or aggravate soft tissue injuries, at least until May 2006, when she was hospitalized for her now fully disabling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Following the May 2006 episode of MS, which is characterized principally as a brain stem attack, the plaintiff was effectively totally disabled from employment and a number of pastimes she previously enjoyed. While chemotherapy has apparently been partially successful in deactivating some aspects of the disease process for the time being, her cognitive capacity has not rebounded nor is her future bright. As I have already determined, her insight into her condition is significantly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Greenwood saw Ms. Jacobs on January 25, 2005 at the James Bay Medical Clinic shortly after the second motor vehicle accident. He recorded instant headache, a symptom not mentioned by the plaintiff to Ms. Moyer. It appears that the plaintiff attempted to tie in the first motor vehicle accident to her low back pain. The doctor noted, "Previous MVA March 2003. Low back pain not yet recovered. Having physio". The plaintiff complained of headache, neck and shoulder pain in addition to continuing low back pain. On examination, the plaintiff had full range of motion in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While the records of physiotherapist Alan Jones show ongoing treatment with respect to the plaintiff's lumbosacral symptoms, he included treatment with respect to the cervical and intra-scapular areas following the motor vehicle accident of January 25, 2005. These were areas he had not been treating previously. I note that the </w:t>
      </w:r>
      <w:r>
        <w:rPr>
          <w:rFonts w:ascii="arial" w:eastAsia="arial" w:hAnsi="arial" w:cs="arial"/>
          <w:i/>
          <w:color w:val="000000"/>
          <w:sz w:val="20"/>
          <w:lang w:val="en-US" w:eastAsia="en-US" w:bidi="ar-SA"/>
        </w:rPr>
        <w:t>sartorius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adductor longus</w:t>
      </w:r>
      <w:r>
        <w:rPr>
          <w:rFonts w:ascii="arial" w:eastAsia="arial" w:hAnsi="arial" w:cs="arial"/>
          <w:color w:val="000000"/>
          <w:sz w:val="20"/>
          <w:lang w:val="en-US" w:eastAsia="en-US" w:bidi="ar-SA"/>
        </w:rPr>
        <w:t xml:space="preserve"> strains are first mentioned on April 18, 2005, not immediately following the second accident as the plaintiff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Close scrutiny of the treatment record shows that physiotherapy treatments tapered off in March, April and May 2005 to an infrequent basis, despite the plaintiff's complaint upon presentation and history on May 26, 2005 that all areas had been aggravated by "many hours of computer work". The neck complaints were clearly being treated as secondary to the plaintiff's ongoing principal complaint of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These later neck complaints tapered off as of September and November 2005 according to Mr. Alan Jones, with intermittent work related "spasm" or muscle tension according to workload still being noted. The remaining hip related symptoms appear to have continued with little change as of November 16, 2005. Mr. Jones admitted that he suspected that he was treating something other than soft tissue injuries as the plaintiff did not heal in the normal course as expected with 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evidence is that poor posture at the computer for long hours, faints or falls, and walking into walls were as likely a cause of the plaintiff's difficulties as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accident of January 25, 2005 was incapable of aggravating any pre-existing condition from the first accident given my determination that those injures were healed by August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additional neck complaints arising after accident #2 appear to have been mild and of less concern than the complaints of the pre-existing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clinical records of Dr. Gouws indicate that he saw Ms. Jacobs on February 25, 2005. She complained of severe back pain and radiating pain to the right groin as a result of a recent motor vehicle accident. He noted that the plaintiff was using Tylenol #3 for sleep purposes and that she had spasm in the paralumbar area. While Dr. Gouws was definite that the plaintiff had muscle spasm on both sides of her lower back area, he had no recollection of any explanation for why the back spasm or complaints in the paralumbar area would also have been present in December 2004 when the plaintiff saw Alan Jones. Not having seen her prior to the motor vehicle accident, Dr. Gouws was, of course, in no position to make a comparison between the complaints on a before and after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cross-examination, Dr. Gouws stated that he would have noted other complaints if they had been made. He admitted that there were no other recorded pain complaints such as pain in the neck or headaches when he saw the plaintiff on February 25, 2005. The Court is concerned that the plaintiff's complaints following the motor vehicle accident of January 25, 2005 pertain to the same complaints that she had prior to it. The neck pains were apparently so minor that they did not generate complaints or the need for separate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Gouws' only other clinical record pertains to the May 2, 2006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As this relates to the day before the plaintiff was admitted to hospital for her severe brainstem MS relapse, there is little doubt that it records the effects of the MS as opposed to any soft tissue injuries and is irrelevant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Brigel saw the plaintiff for the first time on February 23, 2005. He also saw her on March 8 and March 31, 2005. She came to his office complaining that the other doctors had cast her off since her motor vehicle accident of 2003. She complained of both low back pain and pain in her hip, but not of headaches or neck pain. He told her to stay active, to be careful when lifting, and to maintain proper posture. Overall, Dr. Brigel had limited contact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Janet Beck, massage therapist, saw the plaintiff on February 16, 2005, roughly within a week of seeing Dr. Brigel. Ms. Jacobs reported neck, shoulder and back aches, headaches, and also a host of other problems including dizziness, swollen joints, problems with her tailbone, knees, and even feet. She described her SI joint pain as 10+ out of 10, with 10 signifying the most excruciating pain imaginable. This report did not result in any immediate emergency procedures; Ms. Beck gave a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was treated again by Ms. Beck in March and April 2005 and not seen again until July 17, 2007. She had one more treatment in August 2007, this time for her low back only. Ms. Beck's evidence was tendered only to confirm the plaintiff's reports of ongoing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There is no medical opinion to support a connection between these treatments and the motor vehicle accident of January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Brigel said the plaintiff was improving as of March 8, 2005. He said that her sleep was still disrupted by pain which may or may not have been attributable to her ongoing low back symptoms from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By March 31, 2005, the plaintiff had stopped all her medications and told Dr. Brigel that she was only taking the occasional Tylenol #3. As of March 31, 2005, there seems to have been an improvement in her condition, which is consistent with the records of Alan Jones, the physiotherapist, and with Dr. Gouws, who did not record neck pain or headaches. This suggests there was continuing aggravation of a pre-existing lumbar problem likely attributable to the second motor vehicle accident for a total of approximately three months. I note that the neck symptoms were not mentioned by Dr. Brigel.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While neck complaints are in fact mentioned in the roughly contemporaneous clinical notes of massage therapist Janet Beck, there does appear to be a discrepancy between her records and Dr. Brigel's as to what was being reported as causing discomfort. Clearly, the low back pains predominated. I note that the plaintiff advised Dr. Graf-Blaine on February 8, 2005 that she was diagnosed with an "arthritic" problem but its manifestations or presentation were never made clear in any of the medical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By June 13, 2005, the plaintiff stated to physiotherapist Alan Jones that the pain was "slowly diminishing in all affected areas". Mr. Jones made no direct comparison between the plaintiff's ability to sit or maintain position as complained of on the December 15, 2004 visit and such complaints following the January 25, 2005 motor vehicle accident. While Mr. Jones said on January 27, 2005 that the lumbosacral pain was "further aggravated", it was not made clear whether this meant his patient's symptoms were set back to where they were before his numerous treatments in December 2004 and in early January 2005. The pain behaviour the plaintiff's friends and family most often confirmed as the one they associated with her condition was her apparent discomfort while sitting. However, she did continue with her educational endeavours and with her employment at Fastax, which indicates to the Court the moderate nature of the aggravation.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of June 13, 2005, the records of Alan Jones note that the plaintiff was able to sit for up to 20 minutes without having to move and she was about to leave on a two-week vacation. The plaintiff was able to sit in the witness box for periods much longer than 20 minutes, which demonstrated that her present capacities exceed the limitations that she testified have continued unabated.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continued with physiotherapy and occasional chiropractic treatments throughout 2005 and into 2006, prior to the MS relapse that left her disabled. There is no reliable medical evidence to suggest that the plaintiff would not have had these treatments even if the motor vehicle accident of January 25, 2005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While attending physiotherapy and chiropractic treatments, the plaintiff was enrolled on a full-time basis at Royal Roads University in the MBA program. Between April 1 and June 30, 2005, she took and completed seven courses. The plaintiff continued her studies through the summer, taking two courses with four credits each. She obtained A and B grades. I am satisfied this extensive course work involving the use of computers was a factor that contributed to her complaints of neck pain and nagging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LEGAL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Devonshire did not provide an explanation for the spasm or general complaints with respect to the plaintiff's low back prior to the motor vehicle accident of January 25, 2005. Dr. Devonshire conceded that she had not been told about the records of Dr. Graf-Blaine, Dr. Smith or Dr. Menzies. She had never seen a record of the February 11, 2003 incident in which the plaintiff was noted to lose consciousness and fall in the shower, leaving her unable to move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As I determined above, Dr. Devonshire's generalized opinion that the motor vehicle accidents could worsen the function of Ms. Jacobs must be given no weight in light of the inadequate and unexamined history provided to her. The evidence of any compounding or synergistic effect between the fluctuating symptoms of MS and the soft tissue injuries is entirely lacking. This compounding theory does not have either the factual foundation or the medical opinion necessary to draw any inferences or conclusions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Devonshire conceded that chronic pain is common for MS patients but that MS patients generally experience neurogenic pain rather than musculoskeletal pain, especially in the early stages of the disease. She did not attempt to assess all types of pain or pain behaviour specific to Ms. Jacobs such as psychological or exaggerated pain. Dr. Devonshire was never provided with Dr. Graf-Blaine or Dr. Brigel's records in this regard. Dr. Devonshire also did not attempt to confront the various types of pain or possible alternate causes of the plaintiff's soft tissue injury, despite a clear record of potential alternate sources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Cook in the second medical legal opinion, dated August 16, 2006,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Ms. Jacobs sustained significant soft tissue injuries as a result of two separate motor vehicle accidents. In addition, sequelae of these injuries obviated any opportunity for a return to gainful employment. Compounding this patient's difficulties is the development of acute multiple sclerosis (severe) evident in May 2006. The relationship between the development or exacerbation of multiple sclerosis and the motor vehicle accidents is beyond my area of practice but nonetheless the prognosis for both the short and long term periods must be considered extremely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Cook concluded that the plaintiff would be unable to return to work due to two motor vehicle accidents, not three, based on visits between January 24, 2006 and April 6, 2006. Ms. Jacobs was working full-time at Fastax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As discussed above, Dr. Cook went on to say that he was most concerned regarding the effects of the plaintiff's MS disease on her frontal lobe and all aspects of her future life. He stated that if she were to have a permanent lack of gainful employment, this would be a relatively minor disability when compared with the difficulties associated with a lack of insight into her disease process, relationships and cognition. He acknowledged the overwhelming devastation that the plaintiff's MS brought and would continue to bring to her life, regardless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Cook realized that, prior to becoming his patient, the plaintiff did not have the benefit of a single family physician who could consistently keep track of her problems. He made a note that he should obtain the charts from Drs. Graf-Blaine and Brigel. It appears that he failed to read these until much later as he was surprised to learn her principal problems pertained to her MS. He acknowledged in cross-examination that he had no conscious recollection of these records when he was writing his medical 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his clinical records from June 3, 2005 to September 26, 2007, Dr. Cook noted the plaintiff's complaints from his interview of her on June 3, 2005. These included complaints regarding her lower back, neck and interscapular region. His notes were not, however, based on a physical examination of her. He did not explain why he did not examine Ms. Jacobs on this occasion. Ms. Jacobs advised him that she was about 50-60% better from the accident of March 16, 2003 at the time of the January 25, 2005 accident. Ms. Jacobs did not advise Dr. Cook about her documented complaints pertaining to her March 2003 motor vehicle accident. Also, she did not advise Dr. Cook that she commenced physiotherapy on December 15, 2004 on an intensive basis. Instead she rather vaguely said that she "required regular physiotherapy sessions after the accident". Ms. Jacobs' self-assessments of impairment, disability and pain level are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Thus, Dr. Cook did not take critical steps to document his physical examination findings, if any, with respect to the subjective complaints of the plaintiff pertaining to her neck, upper back and other soft tissue complaints. On cross-examination, Dr. Cook admitted that there was an absence of actual findings with respect to his examinations although he maintained that he must have done range of motion examinations at various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He did not document prior or intervening causation of the plaintiff's symptoms, such as her various falls or episodes of walking into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defendant does not dispute that the plaintiff sustained some soft tissue injuries in the motor vehicle accident of January 25, 2005. However, the clinical assessments of the plaintiff by Dr. Cook after July 4, 2005 record only the plaintiff's subjective complaints. It does not appear that there were any attempts to determine range of motion of the lumbar spine or to compare such findings to previous records. There is no notation of spasm throughout July, August, October and November 2005 up to the date of the third motor vehicle accident. There are no objective findings pertaining to the soft tissue injuries, despite Dr. Cook's suggestion that he would have been doing regional examinations of the neck and upper body. There is no record of such examinations even though he knew from the outset that Ms. Jacobs was involved in unresolved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clinical records reveal subjective complaints, similar to the complaints made by the plaintiff to Alan Jones from December 15, 2004 up to the date of the second motor vehicle accident. In addition, the plaintiff made some subjective complaints of neck pain and headache. Much later, she complained of the onset of TMJ (temporomandibular joint) pain on August 18, 2005. This was related by the plaintiff as being caused by the first motor vehicle accident of March 16, 2003, and made worse by the second motor vehicle accident of January 25, 2005. This is contrary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Cook continued to treat the plaintiff, admitting on cross-examination that he did not realize, except in hindsight, that he was attempting to treat someone suffering from MS. The evidence is that this is perfectly understandable in that the evidence is that detection and diagnosis of MS often takes years. Thus, Dr. Cook was in effect attempting to treat two medical problems, one of which he was completely unaware.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Cook was unable to determine why the medications he prescribed were appearing to have no effect, or why the soft tissue injuries appeared to be continuing despite the expected natural process of healing. It was only by May or June 2006 that Dr. Cook realized that he was dealing with a patient suffering from MS, a disease process admittedly beyond his area of expertise. It was at this time that he attempted to re-read stored file documentation and understand the plaintiff's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Cook then realized that the plaintiff was showing very substantial signs of "frontal lobe damage" with both particular and generalized symptoms that might have affected the course of her medical history all along. In cross-examination, Dr. Cook revealed that he had not reviewed all the documentation available to him from Drs. Brigel and Graf-Blaine.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It was only after the significant brain stem relapse of May 2006 that Dr. Cook started recording substantial curtailment of activities on the part of the plaintiff. As already noted, by this point, the MS had taken full hold and had disabled the plaintiff cognitively.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Cook continued to comment upon the plaintiff's ongoing musculoskeletal issues, as seen in his August 24, 2006 clinical record which recognized that the plaintiff was still complaining that her neck was "bad". However, medical attention was obviously now being directed to the treatment of the plaintiff's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Cook made no comment as to how the plaintiff's medical problems were interacting or whether there was a synergistic or compounding effect between them. There was reference to the plaintiff having to use a cane for a time but there is no reference to her having a greater difficulty in doing so because of neck or back problems. Dr. Cook made no attempt to discern whether the soft tissue injuries impaired her functioning at any given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Similarly, the plaintiff's references to MS recorded by Dr. Cook on August 28, 2006 contain no further complaints of neck or back pain 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 review of Dr. Cook's chart must be viewed in light of his failure to record any physical examination of the plaintiff until after her MS attack in May 2006. He did not routinely check information that she provided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Cook on cross-examination acknowledged the plaintiff's MS did cause significant problems in her short and long term memory. He admitted that he realized the plaintiff's ability to provide an accurate history was significantly compromised when, in helping the plaintiff to fill in a form in April 2007, he noted that she could not even remember where she had worked in previous years, apart from a coffee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By September 21, 2006, the plaintiff was again complaining of fatigue. She had experienced fatigue even before the first motor vehicle accident and it was likely associated with her MS onset. This would have substantially interfered with her activity and may have been compounded by her unremitting cognitive difficulties, regardless of any soft tissue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Cook's chart shows the plaintiff's first complaint to him about headaches was on November 1, 2005. This is consistent with the fact that she may have had an intermittent headache at that time, but it is grossly inconsistent with the plaintiff's repeated representation that she suffered from headaches on an unremitting or continuous basis from the date of the first motor vehicle accident. There is a note on January 24, 2006, confirming she had pain in her neck and that she was alarmed and went to a chiropractor for five visits. Although in February 2006, the plaintiff appears to have complained of hip and back pain as well as secondary headaches, Dr. Cook's notes leading up to the plaintiff's full brain stem relapse in May 2006 are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clinical records of Dr. Cook dated October 20, October 31 and November 2, 2006 appear to contain no references to neck pain or back pain. The balance of clinical records from December 22, 2006 through 2007 reflect an emphasis upon the plaintiff's MS symptoms and the various experimental chemotherapeutic drugs, such as Mitoxantrone, used to combat or slow the progress of the MS disease. Dr. Cook noted the onset of new and disturbing problems in each instance, along with the plaintiff's development of new muscle pains, apparently aggravated by the difficulty she had with her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Cook's records beyond December 2005 do not distinguish between the results of the November 29, 2005 motor vehicle accident and the balance of the plaintiff's medical problems or the other motor vehicle accidents. What Dr. Cook did record as resulting from the second motor vehicle accident is best characterized as mild soft tissue injuries superimposed upon an already actively symptomatic lower back condition. This condition was of undetermined origin and had similar if not identical functional ramifications prior to the second accident. Despite his knowledge that this was a medical legal matter, Dr. Cook did not make the appropriate comparisons of Ms. Jacobs' condition before and after the second and third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By December 1, 2005, Dr. Cook was aware that the plaintiff was attending Royal Roads University. He was not advised that there was any difficulty with regard to this educational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Moreover, insofar as the plaintiff's TMJ issue was concerned, there appears to have been no follow up with respect to whether the plaintiff ever obtained a splint, despite her lawyer's advice that he would obtain funding. Dr. Cook made no attempt to determine whether the plaintiff's TMJ complaints were congenital, due to stress, or actually associated with the first motor vehicle accident. Dr. Lamont, the expert the plaintiff was referred to in this regard, was not called to testify nor was his report tendered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 review of the clinical records demonstrates that Dr. Cook was provided with inaccurate histories. He relied upon these histories in his medical legal report despite admitted inaccuracy. He had a lack of appropriate understanding of the effects of the intervening MS on the plaintiff, and he failed to consult documents made available to him. These factors satisfy me that Dr. Cook was in no position to comment with respect to the causation of complaints associated with the first motor vehicle accident and that he had very limited and uninformed insight into the complaints following the second and third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Cook acknowledged that the effects of the soft tissue injuries on the plaintiff were "miniscule" in light of the ongoing progressive MS symptoms. While there is a dearth of clear objective comparisons between the plaintiff's particular MS and the effects of her musculoskeletal symptoms in the medical opinions tendered by the plaintiff, Dr. Cook in chief has nevertheless provided a very general comparison to assist in the overall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clinical records of Dr. Cook do little to assist the Court in assessing the general concept offered by Dr. Devonshire that there could be a compounding or synergistic effect between the soft tissue injuries and the MS symptoms of the plaintiff. The plaintiff's degree of function from the date of the second motor vehicle accident up to the date of the MS relapse in May 2006 suggests that the fluctuating symptoms of MS did not have a synergistic or compounding effect. It appears that the plaintiff had reasonably good function until the MS symptoms began to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 Lundeen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Lundeen was a well spoken and apparently truthful lay witness who testified that he knew Ms. Jacobs as part of his cohort team at Royal Roads University, where the plaintiff commenced her MBA program in the Spring of 2005. He met Ms. Jacobs for the first time in April 2005 and described his first impression of her as an engaging and energetic person he felt would be a good addition to the team. She asked a lot of questions and appeared to function at a very high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He felt, however, that her performance did not match his first impression of her as he noticed that she was not appearing to grasp the concepts being taught. He says this became more evident during the "distance learning program", a component of the course that did not involve her actual presence on campus.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During the residential portion of the curriculum, Mr. Lundeen noted that the plaintiff would have to stretch or lie down on the floor, though it was admitted that the days were long and she would be expected at times to be working until 11:00 p.m. He noted that extensive use of the computer was required in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Mr. Lundeen stated that Ms. Jacobs started to have interpersonal difficulties with her other team mates. She advised him that she was having trouble sleeping. It was never clear whether this was due to her pre-existing low back problem. She also advised him she had difficulty concentrating and was fatigued. He could not recall if she complained about nausea. She would occasionally have to quit some of the two hour telephone conferences. By September 2005, the plaintiff had been voted off the team and she sent a letter to the University in protest. Mr. Lundeen recalled that she also complained of dizziness and lack of concentration as of September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Lundeen did not attend the third residency portion of the program with Ms. Jacobs. He recalled seeing her in 2007 when he observed she had disoriented speech patterns and was walking with a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His description of her initial energetic nature in the spring of 2005 is not consistent with the plaintiff's description of soft tissue injuries causing her pain in the 10+ range. Her excellent grades at Royal Roads suggests that despite all her symptoms, she was able to function at a high level until her eventual brainstem relapse of MS in May 2006. The plaintiff did not call any instructors from Royal Roads to contradict or impeach her documented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Lundeen as a lay witness could not make any distinctions between the plaintiff's MS and musculoskeletal symptoms. His description of her later difficulties was consistent with MS related fluctuating symptoms. In any event, since Mr. Lundeen did not know Ms. Jacobs before the spring of 2005, he was not in a position to compare Ms. Jacobs' low back spasm and pain behaviour before her second motor vehicle accident with what he actually observed beginning several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Thelma Nicholson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Ms. Nicholson has been the plaintiff's landlady at 450 Dallas Road, Victoria, for over two and one-half years. As I stated above, she described events in a way that made her evidence totally unreliable. Her knowledge of dates and events were contrived to meet her objective of helping one of her tenants who she believed was in need of assistance. Her belief that Ms. Jacobs was having difficulty walking after the 2005 motor vehicle accident, for instance, is simply not corroborated by medical evidence and contradicted the evidence of Mr. Lundeen and the plaintiff herself. However, Ms. Nicholson's description of the plaintiff's vision and walking difficulties are consistent with the MS disease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Tiffany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Ms. Tiffany Young met the plaintiff in the fall of 2004. Their relationship at first involved only infrequent meetings. It was only in the year 2007, after a considerable period during which they were not close, that they became good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Young recalled the plaintiff, almost immediately after they met, advising her that she had been in motor vehicle accidents and was in pain. She recalled the plaintiff using medications and expressing frustration with the fact that they did not appear to help. She recalled the plaintiff squirming in her chair, for instance, when they would go out to have a meal or coffee. This suggested to her that the plaintiff was in pain. There is no evidence that Ms. Young could discern whether this pain was any different from the pain that caused the plaintiff to have difficulties in maintaining the same position for extended periods of time on December 15, 2004 and following, before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Ms. Young also recalled the plaintiff being very enthusiastic about her residency at Royal Roads. She was oblivious to the plaintiff's well-documented MS symptoms until after her May 2006 MS relapse.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Anthony Hume-Ring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Hume-Ring, a home care worker, is the plaintiff's boyfriend. He met the plaintiff at an art gallery in May 2003. He was an interested witness whose evidence in-chief did not contradict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Hume-Ring recalled the plaintiff complaining about being unable to sit for any length of time. However, he appeared to be unaware that she attended flight school in 2004 or that she had to sit for lengthy periods while attending Camosun College in 2003. His sense of chronology is hazy.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He excused these lapses in his memory on the basis that he was not interested in business or flying. I am satisfied his recall was also affected by his then casual relationship with Ms. Jacobs and his current interest in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Hume-Ring also did not account for the plaintiff's participation in physiotherapy in December 2004. He did not mention the plaintiff's falls due to fainting until cross-examination. At that point, he recalled at least two episodes in which he observed the plaintiff "collapsing". He also confirmed that the plaintiff still makes considerable use of her computer at a non-ergonomic computer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While Mr. Hume-Ring suggested that the second accident made Ms. Jacobs' medical situation "pretty extreme", causing her to lose mobility, he was unable to reconcile this testimony with her successful participation at Royal Roads in 2005. He did not mention her continued driving and working in his evaluation of her "extreme"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Hume-Ring also failed to mention the documented difficulties Ms. Jacobs had with respect to her MS, with the exception of the May 2006 relapse. This witness appeared to be less than candid with the Court in this respect as he did not remember such symptoms as dizziness, walking into walls, vision shifts, memory lapses, lack of concentration and light-headedness, some of which he surely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Phil Zeman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 Zeman first met the plaintiff by email on April 30, 2003. He met her in person soon afterwards in connection with the Young Entrepreneurs Association. He only met her on one or two occasions in 2003 and appeared to be completely unaware that the plaintiff was pursuing her education full-time, working and later attending flight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Zeman became better acquainted with Ms. Jacobs in 2005. He advised the Court that he arranged five meetings with her via email, as these emails were retrieved by him and refreshed his recollection on this point. However, upon cross-examination, it was apparent that he did not have an actual recollection of the number of meetings, and in fact admitted that it could have been anywhere between five and 15 or 20 meetings, "maybe". At another time the number was stated to be possibly 50. When pressed further, he admitted that he did not actually know if he met with her in 2004, though by "deduction", he felt he must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fact, Mr. Zeman could only remember two meetings with the plaintiff. The emails he researched had no references to the plaintiff's symptoms. Mr. Zeman met with the plaintiff to discuss this case a week prior to his testifying in order to "ground" his admittedly "episodic" memory. This meeting, which he first described as taking only minutes, in cross-examination was revealed to have actually lasted a half day. This would have affected any potential recall of Mr. Zeman.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Zeman's evidence was vague and unreliable. He advised the Court that when he first met the plaintiff she did not hobble but that now she does. He had no recall of MS symptoms manifesting themselves prior to the April/May 2006 relapse. He was not able to provide useful information to assist the Court in segregating and assessing any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Cheri Jacobs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Cheri Jacobs, as the sister of the plaintiff, was an obviously interested party. Her candor with respect to her inability to recall events in a chronological fashion suggested that she was attempting to give her evidence as best she could. The picture provided by Ms. Cheri Jacobs was one of gradual progressive decline in her sister's health, consistent with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Although she did not detail her recall of the plaintiff's symptoms pertaining to MS in chief, in cross-examination she was able to remember complaints of dizziness and numbness in the face. She could not recall when these problems arose. She could not remember her sister falling but acknowledged her sister was the type of person who probably wanted to spare her family any worry. She did, however, think that she recalled vision problems and her sister walking into walls in 2003 when she returned from Vancouver. While there was some confirmation of back problems affecting such pastimes as movie watching, Cheri Jacobs was not a witness able to provide critical evidence respecting the plaintiff's back pain in December 2004. She did confirm her sister did well at Royal Roads but they did not celebrate this achievement in any special way. She recalled that she watched movies with her sister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Alicia Ann Orton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Ms. Orton, a legal secretary, is a friend of the plaintiff. She advised that she was not good at remembering dates. She had no recollection of the plaintiff exhibiting pre-accident MS symptoms of dizziness, fainting, nausea, weight loss, hand or arm problems, fatigue, or her visits to doctors regarding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She had no recollection of what the plaintiff was doing around Christmas 2004 and therefore was not able to account for her sudden need for intensive physiotherapy. She did recall that the plaintiff's medical problems seemed to get progressively worse. This would be expected as the plaintiff's MS symptoms progressed. Ms. Orton's version of events appeared to mimic the plaintiff's, including the attempt to attribute all of Ms. Jacobs' difficulties to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Nyomi Beatty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Ms. Beatty is a chartered accountant. She recalled the plaintiff working at Hutcheson &amp; Co. at the same time she did and that they attended parties at Hutcheson &amp; Co. Although she could remember that the plaintiff squirmed in her chair, she could not provide evidence of what the plaintiff was like at Christmas 2004 so as to differentiate such problems from those that may have arisen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Ms. Beatty did confirm that when staying over at the plaintiff's apartment, the plaintiff appeared to get up at night. She assumed this was due to pain. She did not give evidence that would assist in determining whether this was in any way different from Ms. Jacobs' behaviour prior to January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fact, Ms. Beatty only saw the plaintiff briefly at an unspecified time in 2005. She could not recall if this was before or after the plaintiff's studies at Royal Roads University. She readily admitted that she was "sketchy" with respect to dates. Ms. Beatty did not provide any reliable or probative evidence regarding the before and after comparisons for the second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Ms. Beatty did not provide evidence that the plaintiff was incapacitated from the "frantic" earlier work at Hutcheson &amp; Co. during tax season and she seemed to have only a vague notion of the onset of the plaintiff's MS symptoms over the course of their friendship. She could not remember Ms. Jacobs having memory problems but thought she "maybe" had problems with concentration. She recalled the plaintiff telling her that she had blacked out in the shower in Vancouver and thought that this may have occurred more than once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This witness did not advance the case of the plaintiff with respect to the second motor vehicle accident beyond the undisputed ongoing issues with her pre-existing low back pain and a brief neck complaint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Bruce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Campbell is a businessman and manager of an income tax service known as Fastax. He recalled interviewing and hiring Ms. Jacobs in January 2005 and was impressed with her potential. He hired her as a part-time tax preparer, to work out of a Wal-Mart kiosk. The plaintiff worked a minimum of 20 hours per week through the tax season from February until the end of April. He hired her for the 2006 tax year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He felt that in 2005, she was making unusual errors and described her as having a "sallow appearance". He recalled that she attended doctors for medical appointments, but he did not know why. He paid her a bonus in each year and noted that, in addition to her tax preparing duties, Ms. Jacobs established an Internet domain for him, something he did not know how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Campbell did not recall all of the plaintiff's symptoms. He did recall noting dizziness, but he could not remember when. He confirmed that the plaintiff's work involved sitting on a poorly designed chair when she was not required to be standing with a customer. He vaguely recalled that the plaintiff complained about aches and pains. This recollection was not chronologically anchored, however. There was no record of the plaintiff leaving a shift, apart from when she had arranged to see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evidence of Mr. Campbell did not advance the plaintiff's case. He confirmed some of the plaintiff's MS symptoms, but he was not able to differentiate between these and the soft tissue injuries. He may have actually observed some of the plaintiff's soft tissue injury complaints in the 2005 tax year, which coincided with the short-term complaints assumed by the defendant Moyer to have been occasioned by that accident. However, his vague observations in the 2006 taxation year would be easily explained in terms of the plaintiff's admittedly increasing MS symptoms which intensified almost to the day she finished with Fastax.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Maria Goddard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testimony of Ms. Goddard was straightforward as I noted above. Her evidence was strong and unimpeached. This evidence did not impact the assessment of the nature of the plaintiff's problems in December 2004 and early January 2005. As I have found, the bulk of Ms. Jacobs' symptoms were non-tortious, pre-existing problems with respect to the assessment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ON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defendant Anna Moyer does not dispute that the plaintiff was already actively and highly symptomatic with respect to her low back pain prior to the motor vehicle accident of January 25, 2005. I have determined that such symptoms were not the result of the motor vehicle accident 21 months prior.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There is no evidence to the effect that there was connective tissue damage sustained in accident #2, as suggested by plaintiff's counsel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clinical records of physiotherapist Alan Jones indicate that the plaintiff as of December 15, 2004 was suffering from pain and low back spasm and she had "difficulty maintaining set position". These problems required intensive physiotherapy, including or in addition to hot packs, ultra sound, massage and instruction on back care exercise. None of the plaintiff's evidence provided a reasonably reliable comparison between this pre-existing active condition and the condition which followed the motor vehicle accident of January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The plaintiff's subjective complaints indicate the onset of some neck pain following the second motor vehicle accident. The stated record of Mr. Jones is that the previous lumbo-sacral problems were "further aggravated", although there is no clear indication as to what this meant. I note the late onset of other symptoms such as pain in her </w:t>
      </w:r>
      <w:r>
        <w:rPr>
          <w:rFonts w:ascii="arial" w:eastAsia="arial" w:hAnsi="arial" w:cs="arial"/>
          <w:i/>
          <w:color w:val="000000"/>
          <w:sz w:val="20"/>
          <w:lang w:val="en-US" w:eastAsia="en-US" w:bidi="ar-SA"/>
        </w:rPr>
        <w:t>sartorius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adductor longus</w:t>
      </w:r>
      <w:r>
        <w:rPr>
          <w:rFonts w:ascii="arial" w:eastAsia="arial" w:hAnsi="arial" w:cs="arial"/>
          <w:color w:val="000000"/>
          <w:sz w:val="20"/>
          <w:lang w:val="en-US" w:eastAsia="en-US" w:bidi="ar-SA"/>
        </w:rPr>
        <w:t xml:space="preserve"> muscles. There is evidence that the plaintiff did many hours of computer work during a period when all of her symptoms were aggravated. By June 13, 2005, her pain was noted as "slowly diminishing in all affected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defendant Moyer submits there is the normal expectation of soft tissue injuries healing within weeks to months following trauma. The plaintiff's lack of credibility, inaccurate history and sparse medical opinions make it difficult to assess how long her injuries might have taken to heal. I am satisfied that some degree of soft tissue injury occurred in the motor vehicle accident of January 25, 2005. The clinical records suggest intermittent complaints that did not interfere with the day-to-day function of the plaintiff to any great extent. It was the MS relapse in May 2006 that disabled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Prior to her relapse, the plaintiff was at Royal Roads University studying for a Master of Business Administration and Digital Technologies Management degree. Her ability to complete these courses with reasonably good grades throughout satisfies me that she was able to cope with the residual pains associated with the normal convalescence from a mild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evidence is not clear whether the plaintiff's MS symptoms or the soft tissue injury from the motor vehicle accident caused the plaintiff's fatigue and cognitive difficulties observed by Mr. Lundeen.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After the May 2006 relapse, the plaintiff was totally disabled by her MS. The x-rays of the lumbar spine taken both before and after the motor vehicle accident of January 25, 2005 showed no significant changes in pathology. None of the medical doctors suggested that there were neurological symptoms pertaining to the soft tissue injuries themselves. Likewise, there is no evidence of a synergistic effect between the MS and accident-related injuries. All neurological symptoms appear to have been related to the MS; the plaintiff's MRIs show that MS caused many large and overlapping lesions in her brain that included "black holes".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I find that the maximum duration the soft tissue injuries could be reasonably attributed to the motor vehicle accident of January 25, 2005 is from that date until May 3, 2006, when the MS relapse overwhelmed all other concerns. After that point, even if there were residual symptoms, their significance was "miniscule" or unrelated and not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From April 1, 2005 to May 3, 2006, the plaintiff's function was quite high as she was able to maintain a satisfactory level of performance at Royal Roads University. As the plaintiff's friend Tiffany Young testified, the plaintiff was able to meet with her for coffee, to play scrabble and go on walks, even though she had ongoing low back or other soft tissue injury symptoms. Other friends confirmed Ms. Jacobs' attendance at dinners, movies and concerts.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It is not clear how many of the plaintiff's MS symptoms were confused with the soft tissue injury symptoms. The lay witnesses were not in a position to distinguish between the pre-existing symptoms and those that came after accident #2. None of the lay witnesses suggested that the plaintiff did not have an energetic and high degree of function at least until the May 3, 2006 MS relapse. Each described what could reasonably be expected to accompany mild, nagging soft tissue injuries. The plaintiff coped despite these nagging and disruptive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Having considered the collection of competing authorities with respect to appropriate non-pecuniary damages, I am satisfied the plaintiff is entitled to $23,500 as a result of the January 25, 2005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There is no evidence upon which to award any past income loss claim from any of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motor vehicle accidents are not the cause of any future income loss as the plaintiff is fully disabled by her MS, a condition unrelated to the accidents. She receives long-term disability payments. The medical opinion, which is undisputed, is that her condition is likely to worsen in future despite her temporary stability due largely to chemotherapy. Dr. Devonshire opined that the plaintiff will probably never be employable. She did not assess the plaintiff for soft tissue injuries, and the plaintiff's assertions of compounded or synergistic disability due to the soft tissue injuries combined with MS do not have the requisite factual foundation to overcome the fact that the plaintiff is fully disabled by her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Dr. Cook's opinion that the plaintiff was disabled by her soft tissue injuries is inconsistent with the facts in this case. When Dr. Cook said the plaintiff "was not unemployable at </w:t>
      </w:r>
      <w:r>
        <w:rPr>
          <w:rFonts w:ascii="arial" w:eastAsia="arial" w:hAnsi="arial" w:cs="arial"/>
          <w:i/>
          <w:color w:val="000000"/>
          <w:sz w:val="20"/>
          <w:lang w:val="en-US" w:eastAsia="en-US" w:bidi="ar-SA"/>
        </w:rPr>
        <w:t>this</w:t>
      </w:r>
      <w:r>
        <w:rPr>
          <w:rFonts w:ascii="arial" w:eastAsia="arial" w:hAnsi="arial" w:cs="arial"/>
          <w:color w:val="000000"/>
          <w:sz w:val="20"/>
          <w:lang w:val="en-US" w:eastAsia="en-US" w:bidi="ar-SA"/>
        </w:rPr>
        <w:t xml:space="preserve"> time as a result of motor vehicle accident related soft tissue injuries", it appears he was referring to a series of visits between January 24, 2006 and April 6, 2006. This did not confirm Ms. Jacobs' unemployability, as she was working full-time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Dr. Cook admitted he was unaware of the plaintiff's complete medical chart before he wrote his medical legal opinion. The plaintiff asked Dr. Cook to assist her in obtaining an extension or leave of absence from the Royal Roads program. This was unsuccessful and the plaintiff continued to attend. Dr. Cook did not do a thorough physical examination of the plaintiff or document ongoing disability until her MS became evident to him. As such, he was in no position to offer opinions regarding past income loss. His now rather dated report fails to address future income loss. Instead, his report supports a finding of total disability based on her MS related frontal lobe impairment, which he opines will affect all aspects of her future life to such a degree that even permanent disability from work will seem minor in comparison. The evidence is that the plaintiff's MS is incurable and will eventually fully disable her. There is no evidence of any occupation foreclosed to her by soft tissue injuries that is not foreclosed by her much more serious MS symptoms. She has not satisfied the evidentiary onus upon her to demonstrate a substantial possibility of a future event of loss resulting from soft tissue injuries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169 D.L.R. (4th) 661</w:t>
        </w:r>
      </w:hyperlink>
      <w:r>
        <w:rPr>
          <w:rFonts w:ascii="arial" w:eastAsia="arial" w:hAnsi="arial" w:cs="arial"/>
          <w:color w:val="000000"/>
          <w:sz w:val="20"/>
          <w:lang w:val="en-US" w:eastAsia="en-US" w:bidi="ar-SA"/>
        </w:rPr>
        <w:t xml:space="preserve">, and, more recently,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There is no medical foundation for this head of damages. Mr. Geoff Young's report is irrelevant as it was based upon the report of Ms. Barbara Phillips which was not allowed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plaintiff revised her quantum of special damages for all three accidents from $7,543.13 to $3,550. There is a lack of supporting documents. Special damages are determined at $2,616 as against the defendant Moyer, as counsel did not take issue with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MOTOR VEHICLE ACCIDENT ON NOVEMBER 29,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rear end collision on November 29, 2005, which involved speeds of only 3 km/h, was a trivial incident. The plaintiff was a seat-belted passenger in the front seat of a car driven by Anthony Hume-Ring.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There is no objective evidence of injury resulting from the November 29, 2005 collision. The plaintiff, on examination for discovery, admitted that whatever aggravation she suffered to existing symptomology was fully resolved within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But for the fact that the plaintiff had already embarked on two other lawsuits, it is unlikely that a claim would have been brought arising from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 agree with defence counsel that a generous award would be between $1,000 and $2,000. I award the plaintiff $1,500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Divisibility of Injuries and Damages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This is not a case as in </w:t>
      </w:r>
      <w:r>
        <w:rPr>
          <w:rFonts w:ascii="arial" w:eastAsia="arial" w:hAnsi="arial" w:cs="arial"/>
          <w:b/>
          <w:i/>
          <w:color w:val="000000"/>
          <w:sz w:val="20"/>
          <w:lang w:val="en-US" w:eastAsia="en-US" w:bidi="ar-SA"/>
        </w:rPr>
        <w:t>Hutchings v. Dow</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2007 BCCA 148</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66 B.C.L.R. (4th) 78</w:t>
        </w:r>
      </w:hyperlink>
      <w:r>
        <w:rPr>
          <w:rFonts w:ascii="arial" w:eastAsia="arial" w:hAnsi="arial" w:cs="arial"/>
          <w:color w:val="000000"/>
          <w:sz w:val="20"/>
          <w:lang w:val="en-US" w:eastAsia="en-US" w:bidi="ar-SA"/>
        </w:rPr>
        <w:t xml:space="preserve">, where there was a combination of two or more tortious causes insufficient in themselves but necessary together to create an indivisible harm such as depression, or, as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 disc protrusion. The soft tissue injuries have not been proven to "be of a piece". Nor is there a separate harm such as depression that has been created by them. The facts support only discrete, time limited soft tissue injuries. The only truly separate cause of injury and loss is the plaintiff's MS condition which was part of her "original position" and was not initiated, aggravated or accelerated by these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There is no evidence of a compounding or synergistic effect between the accidents and the MS beyond the temporary and minor reference made by Dr. Devonshire while the plaintiff was undergoing a period of chemotherapy. The plaintiff remained employed and active at all material times until the disabling MS relapse.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Damages are therefore segregated on the basis of three separate accidents with no overlapping injuries and no interplay between the MS and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already actively symptomatic soft tissue injury complaints that pre-existed the second accident strongly resembled those that followed the accident. They were not proved to be connected to the first motor vehicle accident. The symptoms were clearly pre-existing and a part of the plaintiff's "original position". The second accident must therefore be seen as an aggravation of the plaintiff's condition in accordance with the basic compensation principle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This is not a case of concurrent tortfeasors. The third motor vehicle accident was so trivial as to make little difference to the actual damages as set out above. The application of the principles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leads to the factual segregation of damages for each of the tortfeasors without overlap.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Non-Pecuniary 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261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McLaughlin</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$ 8,500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Moyer</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23,500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Meehan</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Moyer</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2,616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$36,116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All other damage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If the parties cannot agree on costs, any of them are at liberty to apply for a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METZGER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Jansen Industries 2010 Ltd. v. Victory Motors (Abbotsford) Ltd., [2019] B.C.J. No. 1813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4-8, 11-15, 19-21 and March 4-6,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S115054, S127599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1621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Jansen Industries 2010 Ltd., Plaintiff, and Victory Motors (Abbotsford) Ltd., Actton Super-save Gas Stations Ltd. and Phil Van Enterprises Ltd., Defendants, and Abbotsford Imports Ltd., George Gibbons and Maryse Gibbons, Third Parties And between Victory Motors (Abbotsford) Ltd., Plaintiff, and Actton Super-Save Gas Stations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Environmental law — Environmental liability — Civil litigation — Quantum — Nature of damage — Land — Award — Contaminated land — Site remediation — Actions by plaintiffs Jansen Industries and Victory Motors seeking remediation costs and damages against Actton Super-Save Gas allowed in part — Both plaintiffs' properties were determined to be contaminated sites in 2010 — Jansen Industries was entitled to $68,224 in remediation costs against Super-Save — Victory Motors was entitled to $90,726 in remediation costs from Super-Save — All other claims, including for loss of income, legal fees and stigma damages, were dismissed — Contaminated Sites Regulation, s. 35(2) — Environmental Management Act, s. 47(3)(c).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5"/>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the plaintiffs Jansen Industries and Victory Motors seeking remediation costs and damages against Actton Super-Save Gas. Jansen Industries and Victory Motors were owned by members of the Jansen family. Both their properties were determined to be contaminated sites in 2010. A gas station had been operated on Victory Motors' property for many decades. Super-Save leased the site and operated the gas station there from 1982 to 1992. It acknowledged it was partially responsible. In 2012, Victory Motors drained five underground gasoline storage tanks. It had not removed the tanks. The plaintiffs' costs to obtain certificates of compliance were $395,706. Victory Motors had been sued by IKM for its remediation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4"/>
            <w:bookmarkEnd w:id="41"/>
            <w:r>
              <w:rPr>
                <w:rFonts w:ascii="arial" w:eastAsia="arial" w:hAnsi="arial" w:cs="arial"/>
                <w:color w:val="000000"/>
                <w:sz w:val="20"/>
                <w:lang w:val="en-US" w:eastAsia="en-US" w:bidi="ar-SA"/>
              </w:rPr>
              <w:t>HELD: Actions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for the removal of the tanks was speculative. There was no reasonable possibility the tanks would be removed by Victory Motors or that they were a continuing source of contamination. Victory Motors had not established the removal of the tanks was remediation cost. The plaintiffs were precluded from seeking the recovery of legal fees for the costs of actions under s. 47(3)(c) of the Environmental Management Act. Victory Motors had failed to establish any loss of income caused by the need to remediate its property. The costs relating to the IKM action were properly dealt with in that proceeding. Stigma damages were not recoverable as remediation costs. The evidence showed both sites were currently being utilized for their highest and best use. Victory Motors was primarily responsible for the continuing contamination from 1994 to 2012. Responsibility for the costs of remediation of the Victory Motors site was allocated 45 per cent to Victory Motors, 35 per cent to Super-Save and 20 per cent to previous operators of the gas station. Responsibility for the costs of remediation of the Jansen Industries site was allocated 50 per cent to Super-Save, 30 per cent to Victory Motors and 20 per cent to previous operators. Jansen Industries was entitled to $68,224 in remediation costs against Super-Save. Victory Motors was entitled to $90,726 in remediation costs from Super-Save.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3"/>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Contaminated Sites Regulation, </w:t>
      </w:r>
      <w:hyperlink r:id="rId120" w:history="1">
        <w:r>
          <w:rPr>
            <w:rFonts w:ascii="arial" w:eastAsia="arial" w:hAnsi="arial" w:cs="arial"/>
            <w:i/>
            <w:color w:val="0077CC"/>
            <w:sz w:val="20"/>
            <w:u w:val="single"/>
            <w:shd w:val="clear" w:color="auto" w:fill="FFFFFF"/>
            <w:lang w:val="en-US" w:eastAsia="en-US" w:bidi="ar-SA"/>
          </w:rPr>
          <w:t>B.C. Reg. 375/96, s. 35</w:t>
        </w:r>
      </w:hyperlink>
      <w:r>
        <w:rPr>
          <w:rFonts w:ascii="arial" w:eastAsia="arial" w:hAnsi="arial" w:cs="arial"/>
          <w:color w:val="000000"/>
          <w:sz w:val="20"/>
          <w:lang w:val="en-US" w:eastAsia="en-US" w:bidi="ar-SA"/>
        </w:rPr>
        <w:t>(2), s. 35(2)(a), s. 35(2)(b), s. 35(2)(c), s. 35(2)(d), s. 35(2)(e), s. 35(2)(f)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Environmental Management Act, </w:t>
      </w:r>
      <w:hyperlink r:id="rId121" w:history="1">
        <w:r>
          <w:rPr>
            <w:rFonts w:ascii="arial" w:eastAsia="arial" w:hAnsi="arial" w:cs="arial"/>
            <w:i/>
            <w:color w:val="0077CC"/>
            <w:sz w:val="20"/>
            <w:u w:val="single"/>
            <w:shd w:val="clear" w:color="auto" w:fill="FFFFFF"/>
            <w:lang w:val="en-US" w:eastAsia="en-US" w:bidi="ar-SA"/>
          </w:rPr>
          <w:t>S.B.C. 2003, c. 53, s. 39</w:t>
        </w:r>
      </w:hyperlink>
      <w:r>
        <w:rPr>
          <w:rFonts w:ascii="arial" w:eastAsia="arial" w:hAnsi="arial" w:cs="arial"/>
          <w:color w:val="000000"/>
          <w:sz w:val="20"/>
          <w:lang w:val="en-US" w:eastAsia="en-US" w:bidi="ar-SA"/>
        </w:rPr>
        <w:t>, s. 44(1), s. 45, s. 46, s. 46(1)(d), s. 47, s. 47(3), s. 47(3)(a), s. 47(3)(c), s. 47(3)(d), s. 47(5), s. 47(9), s.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22"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5"/>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D.D. Le Dressay.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D.W. Gibbons, M.B. Funt.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Parties: D.J. Letkemann, T.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parties present.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6"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EMA</w:t>
      </w:r>
      <w:r>
        <w:rPr>
          <w:rFonts w:ascii="arial" w:eastAsia="arial" w:hAnsi="arial" w:cs="arial"/>
          <w:b/>
          <w:color w:val="000000"/>
          <w:sz w:val="20"/>
          <w:lang w:val="en-US" w:eastAsia="en-US" w:bidi="ar-SA"/>
        </w:rPr>
        <w:t xml:space="preserve"> AND THE CONTAMINATED SITES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Additional Remediation Costs Claimed by the Plaintiffs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Costs of Removing USTs from the Victory Motors Site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Fees Recoverable as Costs of Remediation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Loss of Rental Income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IKM Properties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Stigma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ALLOCATION OF FAULT IN THE VICTORY MOTORS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Section 35(2) CSR Factors Relating to the Victory Motors Action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 35(2)(a); the Price Paid for the Property 28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Sections 35(2)(b),(c) and (d); Due Diligence, Amount of Contaminants and Relative Degree of Involvement 30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 35(2)(e); Remedial Measures Implemented and Paid for by any Responsible Party 35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 35(2)(f); Any Other Factor Relevant to a Fair and Just Allocation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ALLOCATION OF FAULT IN JANSEN LTD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R.J. SEWELL J."/>
            <w:bookmarkEnd w:id="45"/>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apply to two actions brought by related companies which were tried together. The actions arise out of the discovery of contamination affecting properties owned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Vancouver Action No. S115054 ("Jansen Ltd Action"), the plaintiff Jansen Industries 2010 Ltd. ("Jansen Ltd") seeks remediation costs from Victory Motors (Abbotsford) Ltd. ("Victory Motors"), Actton Super-Save Gas Stations Ltd. ("Super-Save") and Phil Van Enterprises Ltd. ("Phil Van") pursuant to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damages for nuisance and pursuant to the principle set out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(1868), L.R. 3 H.L. 330 (UK)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Vancouver Action No. S127599 ("Victory Motors Action") Victory Motors seeks remediation costs pursuant to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against Super-Save.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Jansen Ltd and Victory Motors are both owned, directly or indirectly, by members of the Jansen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shares of Super-Save are owned by William Vandekerkhove and the shares of Phil Van are owned by his brother Philip Vandekerkhove and his wife. These companies were represented by the same counsel in both actions. The parties agree that Super-Save and Phil Van should be treated as a single entity for all purposes in both actions. Accordingly I will use the term Super-Save to refer to those entities in these reasons. There were originally a number of third parties named in the Jansen Ltd Action. No relief is sought against any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properties are located in Abbotsford British Columbia;</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property is owned by Jansen Ltd and consists of two contiguous lots on South Fraser Way and Old Yale Road. The civic addresses of these lots are 33261 South Fraser Way and 33264 Old Yale Road. These lots are improved with commercial buildings which are leased to national companies pursuant to long-term leases. I will refer to this property as the Jansen Ltd site.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property is located at 33258 South Fraser Way, across from the Jansen Ltd site. It has at all material times been owned by Victory Motors. It also is improved with a commercial building leased to tenants. I will refer to this property as the Victory Motors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Both the Jansen Ltd site and the Victory Motors site were determined to be contaminated sites pursuant to the provisions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in or about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principal issue between the parties is who should be responsible for the remediation costs, defined in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of the contaminated sites. Jansen Ltd and Victory Motors also seek damages against Super-Save for "stigma," representing what they allege to be a diminishment of the value of the contaminated sites resulting from Super-Save's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to the claims of the parties it will be necessary for me to determine the degree of fault attributable to three other companies which are no longer parties to the litigation; Chevron Canada Limited ("Chevron"), Shell Canada Limited/Shell Canada Limitee ("Shell"), and Abbotsford Imports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determination of the fault of Chevron and Shell is necessary because in 2016, Jansen Ltd and Victory Motors entered into what is known as a BC Ferries Agreement with Chevron and Shell. In that agreement, Jansen Ltd and Victory Motors released Chevron and Shell from all claims and agreed that they would not seek to recover any damages from any other person who could seek indemnity against Chevron and Shell.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necessary to determine the degree of fault, if any, of Abbotsford Imports Ltd. because in the course of the trial Super-Save settled its third party claim against Abbotsford Imports Ltd. and agreed to a consent order dismissing that claim without costs. This settlement was made known shortly after Jansen Ltd and Victory Motors had informed the court that they were abandoning their claim for stigma damages against Super-Save. When the plaintiffs learned of the settlement they sought leave to reinstate that claim. Super-Save opposed the application to reinstate that claim primarily because it stated that it would be prejudiced because it could no longer pursue its third party claim against Abbotsford Imports Ltd. in respect of any stigma damages that may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Given the magnitude of the claim for stigma damages, I granted leave to the plaintiffs to reinstate that claim on the condition that they could not recover from Super-Save any portion of their damages which were found to be the responsibility of Abbotsford Imports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the reasons that follow I find that Jansen Ltd is entitled to recover remediation costs of $68,224 against Super-Save in the Jansen Ltd Action and Victory Motors is entitled to recover remediation costs of $90,726 from Super-Save in the Victory Motors Action, but that all other claims of Jansen Ltd and Victory Motors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need not review the facts of this matter in detail because the parties have filed an Agreed Statement of Facts covering much of the relevant history. I will however summarize the history in this section of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contamination originated on the Victory Motors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some time during World War II until 1994 gasoline products were sold from the Victory Motors site by a series of different companies. While some of the earlier dates are difficult to determine with certainty the following is a chronology of the operators: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 between 1940 and 1945, the then owners of the Victory Motors site opened a Home Oil station in conjunction with a car dealership and operated that station for some time.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1948, Victory Motors became the owner of the Victory Motors site, and continues as its owner to this day.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not later than 1950 until October 1974, Chevron operated a Chevron station on the Victory Motors site.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1974, Turbo Resources Limited ("Turbo") began operating a gas station on the Victory Motors site. That operation continued until November 1982. By a written agreement dated December 31, 1993, Shell acquired all of the assets and assumed all of the liabilities of Turbo, which by that time had changed its name to Canadian Turbo Inc.</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1982, Super-Save leased the Victory Motors site from Victory Motors and operated a gas station there until 1992.</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end of the Super-Save lease in 1992 until 1994, Gardner Leasing Ltd. continued to operate a gas station on the Victory Motors site under the Super-Save name pursuant to a Dealer Supply Contract with Actton Petroleum Sales Ltd. dated July 8, 1992.</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1994 to 2012, five underground gasoline storage tanks ("USTs") remained in place on the site but were not used to dispense gasoline to the public. Victory Motors did not take any steps to drain or decommission the USTs until 2012.</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2012, Levelton Engineering Consultants Ltd. ("Levelton") supervised the pumping out of the USTs, all of which contained residual amounts of gasoline in what was described as mixed waste fuel, and transported the fuel for recycling.</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period of time, Abbotsford Imports Ltd. operated a car dealership at 33286 South Fraser Way ("Abbotsford Imports site"), a property located across Alliance Street from the Victory Motors site. Super-Save submits that a plume of contaminants from the Abbotsford Imports site merged with the plume from the Victory Motors site and migrated to the Jansen Ltd site. For reasons I will set out below I do not accept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events which have led to this litigation began in 1991, when Jansen Ltd purchased 33261 South Fraser Way and, a year later, the adjacent property at 33264 Old Yale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2009, Jansen Ltd entered into an agreement to sell the Jansen Ltd site to 0830838 B.C. Ltd., subject to the purchaser being satisfied with the environmental condition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Pursuant to the agreement, 0830838 B.C. Ltd. commissioned a stage 1 and 2 preliminary site environmental investigation of the Jansen Ltd site. This investigation disclosed that the Jansen Ltd site was contaminated with hydrocarbons. As a result of this discovery, the purchaser elected not to complete the purchase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Jansen Ltd then began its own investigation into the source of the hydrocarbon contamination. Initially, it suspected that the source was a Mr. Lube automobile oil changing facility operating on the Jansen Ltd site. However, further investigation revealed that this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2010, Jansen Ltd retained Levelton to prepare a report on the contamination. Levelton carried out an environmental investigation of the Jansen Ltd site, which included the drilling of a number of monitoring wells. The investigation identified the gas station which had formerly operated on the Victory Motors site as the source of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Jansen Ltd commenced the Jansen Ltd Action in this court on August 2, 2011, names Victory Motors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2011, the shares of Victory Motors were owned by Anne Webber, an elderly woman in declining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2012, the Jansen family incorporated a company called Victory Motors Ltd., which entered into an agreement to purchase all of the shares of Victory Motors, from Ms. Webber. The consideration paid for the shares was $42,363.24, plus an agreement to indemnify Ms. Webber against any environmental claims against her relating to contamination from the Victory Motors site. Jansen Ltd guaranteed Victory Motors Ltd.'s indemnity obligations to Ms. Webber.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Jansen family had secured ownership of its shares, Victory Motors commenced the Victory Motors Action on October 31, 2012. Victory Motors spent approximately $800,000 in renovating the building on the Victory Motors site. The renovated building was fully leased within a year of the completion of the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February 15, 2016, the plaintiffs entered into the BC Ferries Agreement with Chevron and Shell. Pursuant to that agreement, Chevron and Shell undertook to take steps to obtain Certificates of Compliance pursuant to s. 53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for all properties affected by the contaminants from the Victory Motors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liability of Chevron and Shell to obtain Certificates of Compliance was limited to a fixed amount that was not disclosed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term of the B.C. Ferries Agreement was that the plaintiffs would not seek to recover from any other party, including Super-Save, any damages arising from any wrongful act or statutory claim for contribution attributable to Chevron or Shell.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B.C. Ferries Agreement, the plaintiffs, Chevron and Shell took steps to obtain Certificates of Compliance for the Victory Motors and Jansen Ltd sites, as well as for contaminated portions of South Fraser Way and Alliance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Certificate of Compliance was obtained for the Victory Motors site on March 22, 2018, and for the Jansen Ltd site on May 28, 2018. A Certificate of Compliance was also obtained for South Fraser Way and Alliance Street on May 28,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Certificates of Compliance permitted all contaminated soil on the sites to remain in place. With respect to the Victory Motors and Jansen Ltd sites, the principal limitation imposed was that the current commercial land use be maintained and that any new commercial structure would have a basement of no more than 2 metres below the grade as it existed in October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parties are agreed that the costs incurred by the plaintiffs in retaining Levelton to obtain the Certificates of Compliance was $395,706, and that those costs should be allocated as follows: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obtaining Certificate of Compliance for Victory Motors site -$259,218.</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obtaining Certificate of Compliance for Jansen Ltd site - $136,488.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On July 13, 2018, IKM Properties Ltd., the owner of a property located immediately to the east of the Jansen Ltd site, commenced an action (the "IKM Action") seeking remediation costs pursuant to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for its site against Victory Motors and individual members of the Jansen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submit that Super-Save is liable for the greatest proportion of the remediation costs for both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Victory Motors submits that the remediation costs should include loss of rental income, the cost of removing the 5 remaining USTs and associated piping from the site and an allowance for defending the IKM Action. Both plaintiffs claim legal fees incurred in seeking contribution from other responsible parties as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Both plaintiffs claim stigma damages against Super-Save resulting from an alleged diminution of the values of their respective properties attributable to the contamination which continues to affect those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Super-Save acknowledges that it is a responsible person that must bear a portion of the remediation costs relating to the Jansen Ltd site. However, it submits that the remediation costs for both sites are limited to the $395,706.86 paid to Levelton to obtain the Certificates of Compliance for the sites, and that Victory Motors should bear 100% of the remediation costs relating to the Victory Motors site. It submits that its liability should be limited to 15% of the remediation costs attributable to the Jansen Ltd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Super-Save denies that it is liable for any of the claims referred to in paragraphs 35 and 36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EMA</w:t>
      </w:r>
      <w:r>
        <w:rPr>
          <w:rFonts w:ascii="arial" w:eastAsia="arial" w:hAnsi="arial" w:cs="arial"/>
          <w:b/>
          <w:color w:val="000000"/>
          <w:sz w:val="20"/>
          <w:lang w:val="en-US" w:eastAsia="en-US" w:bidi="ar-SA"/>
        </w:rPr>
        <w:t xml:space="preserve"> AND THE CONTAMINATED SITES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is a statutory code that contains specific and mandatory rules for the remediation of contaminated sites, the determination of persons who are responsible for their remediation and for the allocation of the costs of remediation among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Part IV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allocates responsibility for the remediation of contaminated sites, that is, sites that contain substances that are deemed to be harmful to the health or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Section 44(1)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authorizes the Director of Waste Management to designate a site as a contaminated site and to determine the boundaries of the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Section 45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identifies the persons responsible for remediation of a contaminated 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(1) Subject to section 46 </w:t>
      </w:r>
      <w:r>
        <w:rPr>
          <w:rFonts w:ascii="arial" w:eastAsia="arial" w:hAnsi="arial" w:cs="arial"/>
          <w:i/>
          <w:color w:val="000000"/>
          <w:sz w:val="20"/>
          <w:lang w:val="en-US" w:eastAsia="en-US" w:bidi="ar-SA"/>
        </w:rPr>
        <w:t>[persons not responsible for remediation]</w:t>
      </w:r>
      <w:r>
        <w:rPr>
          <w:rFonts w:ascii="arial" w:eastAsia="arial" w:hAnsi="arial" w:cs="arial"/>
          <w:color w:val="000000"/>
          <w:sz w:val="20"/>
          <w:lang w:val="en-US" w:eastAsia="en-US" w:bidi="ar-SA"/>
        </w:rPr>
        <w:t>, the following persons are responsible for remediation of a contaminated site:</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current owner or operator of the site;</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owner or operator of the site;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produced a substance,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site to become a contaminated site;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transported or arranged for transport of a substance, and</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site to become a contaminated site;</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in a class designated in the regulations as responsible for remediation.</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persons referred to in subsection (1), the following persons are responsible for remediation of a contaminated site that was contaminated by migration of a substance to the contaminated site:</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current owner or operator of the site from which the substance migrated;</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owner or operator of the site from which the substance migrated;</w:t>
      </w:r>
    </w:p>
    <w:p>
      <w:pPr>
        <w:numPr>
          <w:numId w:val="2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2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produced the substance, and</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substance to migrate to the contaminated site;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transported or arranged for transport of the substance, and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substance to migrate to the contaminated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Section 46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provides that certain persons who would otherwise be responsible persons pursuant to s. 45 are not responsible for the remediation of a contaminated site. All parties agree that Jansen Ltd is not responsible for any costs of remediation by virtue of s. 46(1)(d):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(1) The following persons are not responsible for remediation of a contaminated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or operator who establishes that</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the person became an owner or operator of the site,</w:t>
      </w:r>
    </w:p>
    <w:p>
      <w:pPr>
        <w:numPr>
          <w:numId w:val="3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site was a contaminated site,</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had no knowledge or reason to know or suspect that the site was a contaminated site, and</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undertook all appropriate inquiries into the previous ownership and uses of the site and undertook other investigations, consistent with good commercial or customary practice at that time, in an effort to minimize potential liability,</w:t>
      </w:r>
    </w:p>
    <w:p>
      <w:pPr>
        <w:numPr>
          <w:numId w:val="3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was an owner of the site, the person did not transfer any interest in the site without first disclosing any known contamination to the transferee, and</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or operator did not, by any act or omission, cause or contribute to the contamination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Section 47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addresses allocation of liability and provides for absolute retroactive liability without any limitation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principles of liability for remediation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(1) A person who is responsible for remediation of a contaminated site is absolutely, retroactively and jointly and separately liable to any person or government body for reasonably incurred costs of remediation of the contaminated site, whether incurred on or off the contaminated site.</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Subsection (1) must not be construed as prohibiting the apportionment of a share of liability to one or more responsible persons by the court in an action or proceeding under subsection (5) or by a director in an order under section 48 </w:t>
      </w:r>
      <w:r>
        <w:rPr>
          <w:rFonts w:ascii="arial" w:eastAsia="arial" w:hAnsi="arial" w:cs="arial"/>
          <w:i/>
          <w:color w:val="000000"/>
          <w:sz w:val="20"/>
          <w:lang w:val="en-US" w:eastAsia="en-US" w:bidi="ar-SA"/>
        </w:rPr>
        <w:t>[remediation orders]</w:t>
      </w:r>
      <w:r>
        <w:rPr>
          <w:rFonts w:ascii="arial" w:eastAsia="arial" w:hAnsi="arial" w:cs="arial"/>
          <w:color w:val="000000"/>
          <w:sz w:val="20"/>
          <w:lang w:val="en-US" w:eastAsia="en-US" w:bidi="ar-SA"/>
        </w:rPr>
        <w:t>.</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this section, "</w:t>
      </w:r>
      <w:r>
        <w:rPr>
          <w:rFonts w:ascii="arial" w:eastAsia="arial" w:hAnsi="arial" w:cs="arial"/>
          <w:b/>
          <w:color w:val="000000"/>
          <w:sz w:val="20"/>
          <w:lang w:val="en-US" w:eastAsia="en-US" w:bidi="ar-SA"/>
        </w:rPr>
        <w:t>costs of remediation</w:t>
      </w:r>
      <w:r>
        <w:rPr>
          <w:rFonts w:ascii="arial" w:eastAsia="arial" w:hAnsi="arial" w:cs="arial"/>
          <w:color w:val="000000"/>
          <w:sz w:val="20"/>
          <w:lang w:val="en-US" w:eastAsia="en-US" w:bidi="ar-SA"/>
        </w:rPr>
        <w:t>" means all costs of remediation and includes, without limitation,</w:t>
      </w:r>
    </w:p>
    <w:p>
      <w:pPr>
        <w:numPr>
          <w:numId w:val="4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preparing a site profile,</w:t>
      </w:r>
    </w:p>
    <w:p>
      <w:pPr>
        <w:numPr>
          <w:numId w:val="4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costs of carrying out a site investigation and preparing a report, whether or not there has been a determination under section 44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 xml:space="preserve"> as to whether or not the site is a contaminated site,</w:t>
      </w:r>
    </w:p>
    <w:p>
      <w:pPr>
        <w:numPr>
          <w:numId w:val="4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and consultant costs associated with seeking contributions from other responsible persons, and</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fees imposed by a director, a municipality, an approving officer or the commission under this Part.</w:t>
      </w:r>
    </w:p>
    <w:p>
      <w:pPr>
        <w:numPr>
          <w:numId w:val="4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under this Part applies</w:t>
      </w:r>
    </w:p>
    <w:p>
      <w:pPr>
        <w:numPr>
          <w:numId w:val="4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the introduction of a substance into the environment is or was not prohibited by any legislation if the introduction contributed in whole or in part to the site becoming a contaminated site, and</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terms of any cancelled, expired, abandoned or current permit or approval or waste management plan and its associated operational certificate that authorizes the discharge of waste into the environment.</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section 50 (3) </w:t>
      </w:r>
      <w:r>
        <w:rPr>
          <w:rFonts w:ascii="arial" w:eastAsia="arial" w:hAnsi="arial" w:cs="arial"/>
          <w:i/>
          <w:color w:val="000000"/>
          <w:sz w:val="20"/>
          <w:lang w:val="en-US" w:eastAsia="en-US" w:bidi="ar-SA"/>
        </w:rPr>
        <w:t>[minor contributors]</w:t>
      </w:r>
      <w:r>
        <w:rPr>
          <w:rFonts w:ascii="arial" w:eastAsia="arial" w:hAnsi="arial" w:cs="arial"/>
          <w:color w:val="000000"/>
          <w:sz w:val="20"/>
          <w:lang w:val="en-US" w:eastAsia="en-US" w:bidi="ar-SA"/>
        </w:rPr>
        <w:t>, any person, including, but not limited to, a responsible person and a director, who incurs costs in carrying out remediation of a contaminated site may commence an action or a proceeding to recover the reasonably incurred costs of remediation from one or more responsible persons in accordance with the principles of liability set out in this Part.</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(7) and (8), a person is not required to obtain, as a condition of an action or proceeding under subsection (5) being heard by a court,</w:t>
      </w:r>
    </w:p>
    <w:p>
      <w:pPr>
        <w:numPr>
          <w:numId w:val="5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determination, opinion or apportionment of liability for remediation from a director, or</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opinion respecting liability from an allocation panel.</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all cases, the site that is the subject of an action or proceeding must be determined or considered under section 44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 xml:space="preserve"> to be or to have been a contaminated site before the court can hear the matter.</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subsection (7), if independent remediation has been carried out at a site and the site has not been determined or considered under section 44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 xml:space="preserve"> to be or to have been a contaminated site, the court must determine whether the site is or was a contaminated site.</w:t>
      </w:r>
    </w:p>
    <w:p>
      <w:pPr>
        <w:numPr>
          <w:numId w:val="5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determine in accordance with the regulations, unless otherwise determined or established under this Part, any of the following:</w:t>
      </w:r>
    </w:p>
    <w:p>
      <w:pPr>
        <w:numPr>
          <w:numId w:val="5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person is responsible for remediation of a contaminated site;</w:t>
      </w:r>
    </w:p>
    <w:p>
      <w:pPr>
        <w:numPr>
          <w:numId w:val="5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of remediation of a contaminated site have been reasonably incurred and the amount of the reasonably incurred costs of remediation;</w:t>
      </w:r>
    </w:p>
    <w:p>
      <w:pPr>
        <w:numPr>
          <w:numId w:val="5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apportionment of the reasonably incurred costs of remediation of a contaminated site among one or more responsible persons in accordance with the principles of liability set out in this Part;</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determinations as are necessary to a fair and just disposition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regulation referred to in s. 47(9)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is the </w:t>
      </w:r>
      <w:r>
        <w:rPr>
          <w:rFonts w:ascii="arial" w:eastAsia="arial" w:hAnsi="arial" w:cs="arial"/>
          <w:i/>
          <w:color w:val="000000"/>
          <w:sz w:val="20"/>
          <w:lang w:val="en-US" w:eastAsia="en-US" w:bidi="ar-SA"/>
        </w:rPr>
        <w:t>Contaminated Sites Regulation</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Section 35(2)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sets out a number of factors the court must consider in determining the compensation payable by each responsible person: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Determining compensation under section 47 (5) of the Act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(1) For the purposes of determining compensation payable under section 47 (5) of the Act, a defendant named in a cost recovery action under that section may assert all legal and equitable defences, including any right to obtain relief under an agreement, other legislation or the common law.</w:t>
      </w:r>
    </w:p>
    <w:p>
      <w:pPr>
        <w:numPr>
          <w:numId w:val="6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between 2 or more responsible persons under section 47 (5) of the Act, the following factors must be considered when determining the reasonably incurred costs of remediation:</w:t>
      </w:r>
    </w:p>
    <w:p>
      <w:pPr>
        <w:numPr>
          <w:numId w:val="6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price paid for the property by the person seeking cost recovery;</w:t>
      </w:r>
    </w:p>
    <w:p>
      <w:pPr>
        <w:numPr>
          <w:numId w:val="6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due diligence of the responsible persons involved in the action;</w:t>
      </w:r>
    </w:p>
    <w:p>
      <w:pPr>
        <w:numPr>
          <w:numId w:val="6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contaminating substances and the toxicity attributable to the persons involved in the action;</w:t>
      </w:r>
    </w:p>
    <w:p>
      <w:pPr>
        <w:numPr>
          <w:numId w:val="6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degree of involvement, by each of the persons in the action, in the generation, transportation, treatment, storage or disposal of the substances that caused the site to become contaminated;</w:t>
      </w:r>
    </w:p>
    <w:p>
      <w:pPr>
        <w:numPr>
          <w:numId w:val="6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remediation measures implemented and paid for by each of the persons in the action;</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factors relevant to a fair and just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For the purpose of section 47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any compensation payable by a defendant in an action under section 47(5) is considered to be a reasonably incurred cost of remediation by that defendant, and the defendant may seek contribution from any other responsible person in accordance with the procedures under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To succeed in their claims pursuant to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the plaintiffs must establish that they have incurred reasonable costs of remediation costs in respect of the contaminated sites and that Super-Save is a responsible person as defined in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Once the plaintiffs establish these two propositions, the onus shifts to Super-Save to raise one of the limited defences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and/or show that there are other responsible parties who must share in the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have established that their properties are contaminated sites as defined in s. 39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that Super-Save is a responsible person under s. 45 and that they have incurred reasonable costs of remediation as defined in s. 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onus has therefore shifted to Super-Save to respond to their claims. Super-Save does not meet all of the elements necessary to establish a statutory exemption under s. 46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to being a responsible person for site remediation. However, Super-Save is entitled to claim contributions from other responsible persons or to show that all of the remediation costs should be borne by another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parties agree that the amounts paid to Levelton set out at para. 32 above are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following issues remain outstanding:</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remediation costs relating to the Jansen Ltd or Victory Motors sites over and above the amounts paid to Levelton?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proportion of the remediation costs for the Jansen Ltd and Victory Motors sites should be allocated to Victory Motors, Super-Save, Shell and Chevron?</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Abbotsford Imports Ltd. a responsible person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with respect to the Jansen Ltd site, and, if so, what portion of the remediation costs are attributable to it?</w:t>
      </w:r>
    </w:p>
    <w:p>
      <w:pPr>
        <w:numPr>
          <w:numId w:val="7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Super-Save liable to Jansen Ltd for the tort of nuisance and pursuant to the principles set out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and if so what damages is it liable to pay in respect of those causes of action?</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entitled to recover stigma damages from Super-Save?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Additional Remediation Costs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Victory Motors submits that the remediation costs of its site include the following;</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removing the remaining USTs located on the Victory Motors site;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fees associated with arranging for the remediation of the contaminated site. This claim is advanced jointly with Jansen Ltd;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rental income for a period of 3 years while remediation was undertaken;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that it may incur in the future as a result of the claim brought by IKM Properties Ltd, for remediation of its property from contaminants originating on the Victory Motors site.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 of Removing USTs from the Victory Motors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Victory Motors seeks compensation in the amount of $84,702.15 for the estimated cost of further decommissioning the remaining USTs on the Victory Motors site. This amount is based on a quotation from Metric Civil Contractors Ltd. for the removal of 2, and the decommissioning of 3, USTs in the amount of $73,445, together with related engineering services of $9800 and some miscellaneous charges. Victory Motors submits that these steps may be necessary in the future to develop the site to its fullest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Super-Save submits that this claim is speculative and lacks a sufficient evidentiary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agree with Super-Save on this issue. There is no evidence that Victory Motors has any intention of removing the remaining USTs. There are also reasons why it is unlikely that this will occur. There are issues relating to the structural integrity of an awing on the existing building which could arise if all of the USTs are removed. In addition, the Ministry of the Environment has issued a Certificate of Compliance for the Victory Motors site without requiring removal of any 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alternative, counsel for Victory Motors submitted that this is a case in which it is appropriate to order that funds be put in trust to meet this expense if it should arise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do not accept this submission. I find that there is no reasonable possibility that the USTs will be removed by Victory Motors or that they are a continuing source of contamination. Victory Motors has therefore not established that removal of the USTs is a remediation cost.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Fees Recoverable as Costs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plaintiffs claim the sum of $150,000 for the legal fees which they allege that they have incurred in connection with the remediation process. Neither plaintiff led any evidence particularizing the legal expenses they incurred in this regard. The plaintiffs rely on s. 47(3)(c)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in support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Because Jansen Ltd does not meet the definition of a responsible party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Jansen Ltd is precluded from seeking an order for the recovery of its legal fees for the costs of this action under s. 47(3)(c): </w:t>
      </w:r>
      <w:r>
        <w:rPr>
          <w:rFonts w:ascii="arial" w:eastAsia="arial" w:hAnsi="arial" w:cs="arial"/>
          <w:i/>
          <w:color w:val="000000"/>
          <w:sz w:val="20"/>
          <w:lang w:val="en-US" w:eastAsia="en-US" w:bidi="ar-SA"/>
        </w:rPr>
        <w:t>Canadian National Railway Co. v. A.B.C. Recycling Ltd.</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2006 BCCA 429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Section 47(3)(c) permits a responsible person to recover legal and consultant costs associated with seeking contributions from other responsible persons. The law relating to recovery of legal costs, as between responsible persons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was reviewed by Justice Gray in </w:t>
      </w:r>
      <w:r>
        <w:rPr>
          <w:rFonts w:ascii="arial" w:eastAsia="arial" w:hAnsi="arial" w:cs="arial"/>
          <w:i/>
          <w:color w:val="000000"/>
          <w:sz w:val="20"/>
          <w:lang w:val="en-US" w:eastAsia="en-US" w:bidi="ar-SA"/>
        </w:rPr>
        <w:t>Gehring et al. v. Chevron Canada Limited et al.</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2007 BCSC 468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Gehring</w:t>
      </w:r>
      <w:r>
        <w:rPr>
          <w:rFonts w:ascii="arial" w:eastAsia="arial" w:hAnsi="arial" w:cs="arial"/>
          <w:color w:val="000000"/>
          <w:sz w:val="20"/>
          <w:lang w:val="en-US" w:eastAsia="en-US" w:bidi="ar-SA"/>
        </w:rPr>
        <w:t xml:space="preserve">, Justice Gray considered </w:t>
      </w:r>
      <w:r>
        <w:rPr>
          <w:rFonts w:ascii="arial" w:eastAsia="arial" w:hAnsi="arial" w:cs="arial"/>
          <w:i/>
          <w:color w:val="000000"/>
          <w:sz w:val="20"/>
          <w:lang w:val="en-US" w:eastAsia="en-US" w:bidi="ar-SA"/>
        </w:rPr>
        <w:t>Canadian National Railway Co</w:t>
      </w:r>
      <w:r>
        <w:rPr>
          <w:rFonts w:ascii="arial" w:eastAsia="arial" w:hAnsi="arial" w:cs="arial"/>
          <w:color w:val="000000"/>
          <w:sz w:val="20"/>
          <w:lang w:val="en-US" w:eastAsia="en-US" w:bidi="ar-SA"/>
        </w:rPr>
        <w:t>. and decided that s. 47(3)(c) entitled a responsible person to recover the legal fees they had incurred in taking proceedings seeking contributions from other responsible persons assessed on the basis of party-and-party costs, but not as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next issue is whether, since s. 47 applies, costs should be assessed on the basis of special costs or party-and-party costs. Special costs are not necessarily as much as a party's actual costs, but are likely to be much closer to actual costs than party-and-party costs. The Court of Appeal decision in </w:t>
      </w:r>
      <w:r>
        <w:rPr>
          <w:rFonts w:ascii="arial" w:eastAsia="arial" w:hAnsi="arial" w:cs="arial"/>
          <w:b/>
          <w:i/>
          <w:color w:val="000000"/>
          <w:sz w:val="20"/>
          <w:lang w:val="en-US" w:eastAsia="en-US" w:bidi="ar-SA"/>
        </w:rPr>
        <w:t>Canadian National Railway Co</w:t>
      </w:r>
      <w:r>
        <w:rPr>
          <w:rFonts w:ascii="arial" w:eastAsia="arial" w:hAnsi="arial" w:cs="arial"/>
          <w:color w:val="000000"/>
          <w:sz w:val="20"/>
          <w:lang w:val="en-US" w:eastAsia="en-US" w:bidi="ar-SA"/>
        </w:rPr>
        <w:t>. overruled the trial decision on whether s. 47 applied to a situation where the defendant was the sole polluter. It did not comment on whether special costs were appropriate when s. 47 does apply, such as when the plaintiffs and more than one defendant are responsible for the contamination, as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argument in favour of including the plaintiffs' special costs as "costs of remediation" is essentially that doing so is consistent with the "polluter-pay" principle of the </w:t>
      </w:r>
      <w:r>
        <w:rPr>
          <w:rFonts w:ascii="arial" w:eastAsia="arial" w:hAnsi="arial" w:cs="arial"/>
          <w:b/>
          <w:i/>
          <w:color w:val="000000"/>
          <w:sz w:val="20"/>
          <w:lang w:val="en-US" w:eastAsia="en-US" w:bidi="ar-SA"/>
        </w:rPr>
        <w:t>EMA</w:t>
      </w:r>
      <w:r>
        <w:rPr>
          <w:rFonts w:ascii="arial" w:eastAsia="arial" w:hAnsi="arial" w:cs="arial"/>
          <w:color w:val="000000"/>
          <w:sz w:val="20"/>
          <w:lang w:val="en-US" w:eastAsia="en-US" w:bidi="ar-SA"/>
        </w:rPr>
        <w:t xml:space="preserve">. It is consistent with the analysis by Kirkpatrick J. in </w:t>
      </w:r>
      <w:r>
        <w:rPr>
          <w:rFonts w:ascii="arial" w:eastAsia="arial" w:hAnsi="arial" w:cs="arial"/>
          <w:b/>
          <w:i/>
          <w:color w:val="000000"/>
          <w:sz w:val="20"/>
          <w:lang w:val="en-US" w:eastAsia="en-US" w:bidi="ar-SA"/>
        </w:rPr>
        <w:t>Canadian National Railway Co</w:t>
      </w:r>
      <w:r>
        <w:rPr>
          <w:rFonts w:ascii="arial" w:eastAsia="arial" w:hAnsi="arial" w:cs="arial"/>
          <w:color w:val="000000"/>
          <w:sz w:val="20"/>
          <w:lang w:val="en-US" w:eastAsia="en-US" w:bidi="ar-SA"/>
        </w:rPr>
        <w:t>. Her decision was overruled on the question of the applicability of the section only when the defendant is the sole polluter.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argument in favour of limiting the "costs of remediation" to only party-and-party costs is to bring consistency among relevant cases. The </w:t>
      </w:r>
      <w:r>
        <w:rPr>
          <w:rFonts w:ascii="arial" w:eastAsia="arial" w:hAnsi="arial" w:cs="arial"/>
          <w:b/>
          <w:i/>
          <w:color w:val="000000"/>
          <w:sz w:val="20"/>
          <w:lang w:val="en-US" w:eastAsia="en-US" w:bidi="ar-SA"/>
        </w:rPr>
        <w:t>EMA</w:t>
      </w:r>
      <w:r>
        <w:rPr>
          <w:rFonts w:ascii="arial" w:eastAsia="arial" w:hAnsi="arial" w:cs="arial"/>
          <w:color w:val="000000"/>
          <w:sz w:val="20"/>
          <w:lang w:val="en-US" w:eastAsia="en-US" w:bidi="ar-SA"/>
        </w:rPr>
        <w:t>, as interpreted by the Court of Appeal, provides that a plaintiff who did not contaminate property can recover only party-and-party costs from the sole polluter. Why should a plaintiff who was also a polluter be entitled to recover costs calculated on a higher basis than a plaintiff who did not pollute?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 cannot see any principled basis for permitting a polluting plaintiff to recover costs on a higher basis than the basis on which a non-polluting plaintiff can recover costs. As a result, I conclude that only party-and-party costs should be included in "costs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Victory Motors concedes that </w:t>
      </w:r>
      <w:r>
        <w:rPr>
          <w:rFonts w:ascii="arial" w:eastAsia="arial" w:hAnsi="arial" w:cs="arial"/>
          <w:i/>
          <w:color w:val="000000"/>
          <w:sz w:val="20"/>
          <w:lang w:val="en-US" w:eastAsia="en-US" w:bidi="ar-SA"/>
        </w:rPr>
        <w:t>Gehring</w:t>
      </w:r>
      <w:r>
        <w:rPr>
          <w:rFonts w:ascii="arial" w:eastAsia="arial" w:hAnsi="arial" w:cs="arial"/>
          <w:color w:val="000000"/>
          <w:sz w:val="20"/>
          <w:lang w:val="en-US" w:eastAsia="en-US" w:bidi="ar-SA"/>
        </w:rPr>
        <w:t xml:space="preserve"> precludes the recovery of the costs of this litigation on a special costs or full indemnity basis, but submits that it has incurred other legal costs which are recoverable under s. 47(3)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Apart from legal costs incurred in the conduct of this action, it is reasonable to conclude that the plaintiffs did incur other legal fees in connection with, for example, negotiating the terms of the BC Ferries Agreement with Chevron and Shell. It is also arguable that such costs might have been recoverable as remediation costs by both Victory Motors and Jansen Ltd, even though they are not recoverable pursuant to s. 47(3)(c). I agree with the comments of Justice Fitzpatrick in </w:t>
      </w:r>
      <w:r>
        <w:rPr>
          <w:rFonts w:ascii="arial" w:eastAsia="arial" w:hAnsi="arial" w:cs="arial"/>
          <w:i/>
          <w:color w:val="000000"/>
          <w:sz w:val="20"/>
          <w:lang w:val="en-US" w:eastAsia="en-US" w:bidi="ar-SA"/>
        </w:rPr>
        <w:t>Rolin Resources Inc. v. CB Supplies Ltd.</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2018 BCSC 2018</w:t>
        </w:r>
      </w:hyperlink>
      <w:r>
        <w:rPr>
          <w:rFonts w:ascii="arial" w:eastAsia="arial" w:hAnsi="arial" w:cs="arial"/>
          <w:color w:val="000000"/>
          <w:sz w:val="20"/>
          <w:lang w:val="en-US" w:eastAsia="en-US" w:bidi="ar-SA"/>
        </w:rPr>
        <w:t xml:space="preserve">, that the costs of remediation explicitly listed in s. 47(3)(a) - (d)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are not exhaustive of what may be recovered as a cost of remediation: see para. 204. However, the plaintiffs did not tender evidence establishing the extent of those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for the plaintiffs submitted that I should order a reference to the Registrar to determine what portion of the plaintiffs' legal expenses did not relate to the conduct of the litigation. However, I do not think it is appropriate for me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my view, a claim for legal expenses recoverable under s. 47(3) must be established at trial to be remediation costs by evidence in the same way that any other professional fees incurred as remediation costs are proven. I do not consider it appropriate to ask the Registrar to determine that issue. There was simply no evidence before me as to the quantum or the nature of services being claimed under this head of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therefore am unable to make any award for these legal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Rental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Victory Motors claims for loss of rental income for a period of three years for the building on the Victory Motors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evidence on this issue is that for a number of years the building was leased to Paramount Auto Body Ltd. ("Paramount"), which operated a body shop. The last lease between Victory Motors and Paramount was for a 5-year term ending July 31,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apparent that at some point during that 5-year term Ms. Webber lost the ability to manage the affairs of Victory Motors. Some time before the lease was to expire the lawyers for Paramount wrote to the registered office of Victory Motors stating that their client wished to extend the lease. The letter acknowledged that the building was in need of repair but that Paramount was prepared to replace the roof at its own expense and agree to annual increases of the rent payable over the term of an extended lease. In this letter, Paramount's lawyers acknowledged that there were significant environmental issues with the site but stated that those issues were not a concern to their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no evidence that any reply was received to this letter or that it was ever received by Ms. Webber. In the result, the lease to Paramount was not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Donald Jansen testified that in 2011, after Jansen Ltd had commenced its action, he heard rumours that the Victory Motors property may be up for tax-sale. After some discussions, he negotiated the purchase of the shares of Victory Motors I referred to earlier in these reasons. He stated that he arranged for the purchase of the shares of Victory Motors to, in his words, get control of the litigation relating to the remediation of the contaminated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Once the shares of Victory Motors had been acquired, Mr. Jansen arranged to renovate the building located on the site. Over the next 9-12 months Victory Motors carried out an extensive renovation of the building. It replaced the roof and the windows, poured new concrete on the floors and repaved the parking lot. Mr. Jansen confirmed that the building is now fully leased to high quality tenants at a triple net rent of $21.50 per square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Counsel for Victory Motors submitted that the contamination deprived it of the ability to receive rental income from the Victory Motors site and is therefore recoverable as costs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Counsel referred to a number of authorities which have discussed the issue of whether lost rental income is recoverable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Rolin Resources Inc.</w:t>
      </w:r>
      <w:r>
        <w:rPr>
          <w:rFonts w:ascii="arial" w:eastAsia="arial" w:hAnsi="arial" w:cs="arial"/>
          <w:color w:val="000000"/>
          <w:sz w:val="20"/>
          <w:lang w:val="en-US" w:eastAsia="en-US" w:bidi="ar-SA"/>
        </w:rPr>
        <w:t xml:space="preserve">, Justice Fitzpatrick accepted that it was arguable that loss of rental income could be considered to be a recoverable remediation cost under s. 47(3)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Her comments about the circumstances that might give rise to such a claim are applicable to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204 I accept that the "costs of remediation" listed in s. 47(3) of the EMA was not intended to be exhaustive, but to illustrate what one might reasonably expect as the categories of such costs. In that respect, the types of potentially claimable costs is not closed. I accept that it is arguable that loss of rental income from a property could conceivably be considered a recoverable remediation cost under the EMA.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205 However, I agree that Fred's evidence in support of this aspect of the claim does not satisfy the evidentiary standard of proving this loss of rental income claim on balance of probabilities. It is clearly only an estimation. Fred does not provide any evidence as to what activities were taking place over these months in 2016 that would have prevented the Property being leased. There is no evidence as to efforts being made to rent the Property or even assessments by realtors as to whether the Property could be rented. There is no explanation as to why there is no claim for lost rental income in the intervening months of March-June and October 2016. There is no evidence as to what happened in December 2016 as to the ability to rent the Property at that time. There is no evidence at all as to market rental rates over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206 In the above circumstances, Fred's very basic statement as to this alleged loss raises more questions than answers. In my view, insufficient proof of such loss has been provided and this aspect of the claim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lost revenue from a property would be recoverable as remediation costs only if the plaintiff could establish that it was necessary to vacate the property as part of the remediation of the site or if the contamination was such as to render continued use of the building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this case, there was evidence from Donald Jansen outlining the work done to renovate the building on the Victory Motors site. However, there is no evidence that any revenue was lost as a result of the remediation. I am satisfied that the work was not undertaken to remediate the site but to renovate a dilapidated structure that was in need of repair regardless of the presence of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also relevant that on the evidence it appears that Paramount was quite prepared to renew its lease for a long term with full knowledge of the contamination issues, but Victory Motors failed to accept its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therefore find that Victory Motors has failed to establish any loss of income caused or materially contributed to by the need to remediate its property and this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Before leaving this topic I add that I have a good deal of scepticism about the reasons Donald Jansen gave for acquiring the shares of Victory Motors. While tactical considerations in the litigation may have played some role in the decision to acquire the shares, logic and common sense suggest that the Jansen family also considered the acquisition to be a good investment opportunity at the negotiated price.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IKM Properties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Victory Motors claims $75,000 for costs that it estimated it will incur as a result of the IKM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Victory Motors led very little evidence about this lawsuit, other than to mark the Notice of Civil Claim as an exhibit at trial. It led no evidence as to what, if anything, had occurred in the suit. Apart from making the claim in the summary of claims at the end of his written argument, counsel for the plaintiffs made no submissions about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only other evidence before me was that IKM Properties Ltd. had declined to participate in the remediation efforts that led to the obtaining of the Certificates of Compliance for the Jansen Ltd and Victory Motors sites and had chosen to bring its own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view it is premature to make any award with respect to this claim. The costs relating to the IKM Action should be dealt with in that proceeding and not in this litigation. In addition, if IKM Properties Ltd. pursues the claim, the costs of defending that action would only be recoverable as party-and-party costs awarded in the litigation if Victory Motors advances a third-party claim against Super-Save.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Stigma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also claim stigma damages. Stigma damages may be described generally as the diminution in the market value of an asset because of some real or perceived defect in that asset caused by the defendant's wrongful act. In this case, the plaintiffs allege that the contamination of the two sites has caused them to be less desirable to potential purchasers and thus has diminished the value they would have had but for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Tridan Developments Ltd. v. Shell Canada Products Ltd.</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[2000] O.J. 1741</w:t>
        </w:r>
      </w:hyperlink>
      <w:r>
        <w:rPr>
          <w:rFonts w:ascii="arial" w:eastAsia="arial" w:hAnsi="arial" w:cs="arial"/>
          <w:color w:val="000000"/>
          <w:sz w:val="20"/>
          <w:lang w:val="en-US" w:eastAsia="en-US" w:bidi="ar-SA"/>
        </w:rPr>
        <w:t xml:space="preserve">, appeal allowed in part </w:t>
      </w:r>
      <w:hyperlink r:id="rId128" w:history="1">
        <w:r>
          <w:rPr>
            <w:rFonts w:ascii="arial" w:eastAsia="arial" w:hAnsi="arial" w:cs="arial"/>
            <w:i/>
            <w:color w:val="0077CC"/>
            <w:sz w:val="20"/>
            <w:u w:val="single"/>
            <w:shd w:val="clear" w:color="auto" w:fill="FFFFFF"/>
            <w:lang w:val="en-US" w:eastAsia="en-US" w:bidi="ar-SA"/>
          </w:rPr>
          <w:t>[2002] O.J. No.1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10565 Nfld. Inc. v. Canada (Attorney General)</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2017 NLTD(G) 84</w:t>
        </w:r>
      </w:hyperlink>
      <w:r>
        <w:rPr>
          <w:rFonts w:ascii="arial" w:eastAsia="arial" w:hAnsi="arial" w:cs="arial"/>
          <w:color w:val="000000"/>
          <w:sz w:val="20"/>
          <w:lang w:val="en-US" w:eastAsia="en-US" w:bidi="ar-SA"/>
        </w:rPr>
        <w:t>, for the proposition that a contaminated site that has not been remediated to a pristine condition may suffer a diminution of value because of the stigma of remaining levels of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Both properties in this case received a risk-based Certificate of Compliance, which permitted them to continue to be used for commercial purposes without the necessity of removing any contaminated soil. The sites therefore continue to contain contaminated 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behalf of the plaintiffs, Mr. Le Dressay submits that it would be reasonable to conclude that this fact has caused the sites to suffer a diminution in value of 20% compared to what they would have been worth in a pristine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Super-Save submits that stigma damages cannot be recovered as remediation costs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It submits that such damages might be recoverable in nuisance or pursuant to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but says that the limitation period for bringing actions in tort expired before the commencement of the Jansen Ltd Action. It also submits that the plaintiffs have not established any such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do not find it necessary to address the question of whether a tort claim is statute barred in these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agree with Super-Save that stigma damages are not recoverable as remediation costs pursuant to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is concerned with the costs of bringing sites into a state of compliance with the standards set out in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Section 53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authorizes the Director to issue a Certificate of Compliance if satisfied that a contaminated site has been remediated: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(3) A director, in accordance with the regulations, may issue a certificate of compliance with respect to remediation of a contaminated site if</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contaminated site has been remediated in accordance with</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numerical or risk based standards prescribed for the purposes of the definition of "contaminated site",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orders under this Act,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remediation plan approved by the director, and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requirements imposed by the director,</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2004-18-8.]</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plan has been prepared for the purposes of containing, controlling and monitoring any substances remaining on the site and, if required by the director, works have been installed to implement the plan,</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security in relation to the management of contamination, which security may include real and personal property in the amount and form and subject to the conditions specified by the director, has been provided in accordance with the minister's regulations,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responsible person, if required by the director in prescribed circumstances or for prescribed purposes, has prepared and provided to the director proof of registration of a restrictive covenant under section 219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acceptable to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It seems to me that the purpose of a Certificate of Compliance is to certify that the site has been remediated to the point that the director considers it to be adequate for the specific uses set out in the Certificate of Compliance. I take this to mean that it is only the costs of bringing a site into compliance that are properly recoverable pursuant to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result of this is that, as in the present cases, a property may continue to contain contaminants but be in compliance with the requirements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In my view, if an owner wishes to remediate to a condition beyond that approved by the director it can only recover the costs of reaching that level of remediation pursuant to an 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Tridan Developments Ltd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10565 Nfld. Inc</w:t>
      </w:r>
      <w:r>
        <w:rPr>
          <w:rFonts w:ascii="arial" w:eastAsia="arial" w:hAnsi="arial" w:cs="arial"/>
          <w:color w:val="000000"/>
          <w:sz w:val="20"/>
          <w:lang w:val="en-US" w:eastAsia="en-US" w:bidi="ar-SA"/>
        </w:rPr>
        <w:t xml:space="preserve">. were tort cases. In </w:t>
      </w:r>
      <w:r>
        <w:rPr>
          <w:rFonts w:ascii="arial" w:eastAsia="arial" w:hAnsi="arial" w:cs="arial"/>
          <w:i/>
          <w:color w:val="000000"/>
          <w:sz w:val="20"/>
          <w:lang w:val="en-US" w:eastAsia="en-US" w:bidi="ar-SA"/>
        </w:rPr>
        <w:t>Tridan Developments Ltd.</w:t>
      </w:r>
      <w:r>
        <w:rPr>
          <w:rFonts w:ascii="arial" w:eastAsia="arial" w:hAnsi="arial" w:cs="arial"/>
          <w:color w:val="000000"/>
          <w:sz w:val="20"/>
          <w:lang w:val="en-US" w:eastAsia="en-US" w:bidi="ar-SA"/>
        </w:rPr>
        <w:t>, liability was admitted. The trial judge found that the plaintiff was entitled to damages in an amount necessary to restore its contaminated property to a pristine condition and also awarded stigma damages. The Ontario Court of Appeal reversed the award of stigma damages because the plaintiff had already been fully compensated for the condition of the property by the award of damages in an amount necessary to restore the property to a pristine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the Court of Appeal upheld the damage award to restore the property to a pristine state, it did comment that the trial judge could have accepted the expert evidence suggesting that an award of the amount necessary to restore the property to Ministry of the Environment standards would have been reasonable compensation: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trial judge might have relied upon those expert witnesses supporting the MOE guidelines as a reasonable measure of reparation and thus the damages suffered. This is a commercial property on a busy thoroughfare and unlikely to ever be a site for residential use. It might be concluded that in a practical sense Tridan is not likely to need or want to clean its soil at depth of every particle of pollutant. However, in the circumstances of this case I cannot say the trial judge erred in deciding that Tridan was entitled to reparation to a pristine state. Where a product that may cause mischief escapes to a neighbour's property there is responsibility "for all the damage which is the natural consequence of its escape." See Rylands v. Fletcher, [1861-73] All E.R. 1 at 7 (Ex. Ch.), cited with approval at p. 13 (H.L.). Of course, they must be reasonable. On all the evidence it is fair to conclude that the damages would not be eliminated by reparations to the point of the MOE guidelines. There would be residual loss of value, referred to as stigma, which would be reduced, as the trial judge found, or eliminated, as I am about to find, by remediation to the pristine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current proceeding I find that the cost of obtaining the Certificates of Compliance for the sites is a reasonable measure of the damages suffered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To recover stigma damages the plaintiffs must prove that they have suffered a diminution of value of their properties because they or subsequent owners of their properties are or would be precluded from making optimal use of their properties as a result of the defendant's wrongful conduct. To do so, the plaintiffs must establish that the use permitted by the Certificate of Compliance does not represent the highest and best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Victory Motors concedes that it has no claim in nuisance or pursuant to the doctrine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because the contamination originated on its own land. In my view it therefore cannot advance a claim for stigma damages. Jansen Ltd alleges that its property is less valuable because the range of reasonable uses available is limited by the terms of the Certificate of Compliance. However, the evidence of Jansen Ltd's own appraiser is that the present development on the Jansen Ltd site is the highest and best use of the property. The appraiser did not apply any discount to the value of the property he assessed based on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true that the Certificate of Compliance would not permit the Jansen Ltd site to be used for residential purposes. However, the current zoning for the site does not permit such a use. There was no evidence that there was any reasonable prospect of a zoning change for the property in the foreseeable future. In addition, there was no evidence that any prospective purchaser would have been prepared to pay a higher price for the site if there was a prospect of changing the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evidence shows that both sites are currently being utilized for their highest and best use. There is simply no evidence that the fair market value of the sites is in any way being reduced as a result of the identified contamination. Further, there is no evidence that the sites could be utilized any more profitably if there was no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therefore find that the plaintiffs have not established that they have suffered any stigma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summary, the only amounts that are recoverable are remediation costs of $259,218 paid by Victory Motors and $136,489 paid by Jansen Ltd to Levelton to obtain the Certificates of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therefore turn to a consideration of the allocation of those costs among the parties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ALLOCATION OF FAULT IN THE VICTORY MOTORS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Victory Motors claim differs from the Jansen Ltd claim because Victory Motors is an owner that is a responsible person but Jansen Ltd is not. In addition, Abbotsford Imports Ltd. is alleged to be a responsible person in the Jansen Ltd action but not in the Victory Motors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responsible persons in the Victory Motors Action are Chevron, Shell, Super-Save and Victory Motors. Gardner Leasing Ltd. comes within the definition of a responsible person but no party seeks to allocate any portion of the remediation costs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Section 35(2) </w:t>
      </w:r>
      <w:r>
        <w:rPr>
          <w:rFonts w:ascii="arial" w:eastAsia="arial" w:hAnsi="arial" w:cs="arial"/>
          <w:b/>
          <w:i/>
          <w:color w:val="000000"/>
          <w:sz w:val="20"/>
          <w:lang w:val="en-US" w:eastAsia="en-US" w:bidi="ar-SA"/>
        </w:rPr>
        <w:t>CSR</w:t>
      </w:r>
      <w:r>
        <w:rPr>
          <w:rFonts w:ascii="arial" w:eastAsia="arial" w:hAnsi="arial" w:cs="arial"/>
          <w:b/>
          <w:color w:val="000000"/>
          <w:sz w:val="20"/>
          <w:lang w:val="en-US" w:eastAsia="en-US" w:bidi="ar-SA"/>
        </w:rPr>
        <w:t xml:space="preserve"> Factors Relating to the Victory Motors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allocating liability I must consider the factors set out in s. 35(2)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set out at paragraph 45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 35(2)(a); the Price Paid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This factor was the subject of extensive submissions from the parties. Super-Save submits that the full amount of the remediation costs of the Victory Motors site should be borne by Victory Motors because the Jansen family acquired 100% of the shares of Victory Motors for $42,363.24 plus an indemnity of Ms. Webber for any environmental liabilities relating to the Victory Motors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After the Jansen family acquired the shares, Kenneth Jansen arranged to carry out extensive repairs to the existing building on the site at a cost of approximately $800,000. As a result of these activities the building is fully 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Super-Save submits that the owners of Victory Motors invested in the shares of Victory Motors with full knowledge of the existence of the contamination because they recognized that they could make a substantial profit from obtaining a Certificate of Compliance and renovating the existing building. Super-Save's position is that the purchase of the shares of Victory Motors was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purchase of the Victory Motors site and is therefore a factor that can be taken into account under s. 35(2)(a)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Super-Save relies on the reasoning of Justice Kent in </w:t>
      </w:r>
      <w:r>
        <w:rPr>
          <w:rFonts w:ascii="arial" w:eastAsia="arial" w:hAnsi="arial" w:cs="arial"/>
          <w:i/>
          <w:color w:val="000000"/>
          <w:sz w:val="20"/>
          <w:lang w:val="en-US" w:eastAsia="en-US" w:bidi="ar-SA"/>
        </w:rPr>
        <w:t>J.I. Properties Inc. v. PPG Architectural Coatings Canada Inc.</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2014 BCSC 1619</w:t>
        </w:r>
      </w:hyperlink>
      <w:r>
        <w:rPr>
          <w:rFonts w:ascii="arial" w:eastAsia="arial" w:hAnsi="arial" w:cs="arial"/>
          <w:color w:val="000000"/>
          <w:sz w:val="20"/>
          <w:lang w:val="en-US" w:eastAsia="en-US" w:bidi="ar-SA"/>
        </w:rPr>
        <w:t xml:space="preserve">, appeal dismissed </w:t>
      </w:r>
      <w:hyperlink r:id="rId131" w:history="1">
        <w:r>
          <w:rPr>
            <w:rFonts w:ascii="arial" w:eastAsia="arial" w:hAnsi="arial" w:cs="arial"/>
            <w:i/>
            <w:color w:val="0077CC"/>
            <w:sz w:val="20"/>
            <w:u w:val="single"/>
            <w:shd w:val="clear" w:color="auto" w:fill="FFFFFF"/>
            <w:lang w:val="en-US" w:eastAsia="en-US" w:bidi="ar-SA"/>
          </w:rPr>
          <w:t>2015 BCCA 472</w:t>
        </w:r>
      </w:hyperlink>
      <w:r>
        <w:rPr>
          <w:rFonts w:ascii="arial" w:eastAsia="arial" w:hAnsi="arial" w:cs="arial"/>
          <w:color w:val="000000"/>
          <w:sz w:val="20"/>
          <w:lang w:val="en-US" w:eastAsia="en-US" w:bidi="ar-SA"/>
        </w:rPr>
        <w:t xml:space="preserve"> for its proposition that Victory Motors should not be able to recover its remediation costs while simultaneously enjoying an increase in property's value after its purchase as a contaminated property. In </w:t>
      </w:r>
      <w:r>
        <w:rPr>
          <w:rFonts w:ascii="arial" w:eastAsia="arial" w:hAnsi="arial" w:cs="arial"/>
          <w:i/>
          <w:color w:val="000000"/>
          <w:sz w:val="20"/>
          <w:lang w:val="en-US" w:eastAsia="en-US" w:bidi="ar-SA"/>
        </w:rPr>
        <w:t>J.I. Properties Inc.,</w:t>
      </w:r>
      <w:r>
        <w:rPr>
          <w:rFonts w:ascii="arial" w:eastAsia="arial" w:hAnsi="arial" w:cs="arial"/>
          <w:color w:val="000000"/>
          <w:sz w:val="20"/>
          <w:lang w:val="en-US" w:eastAsia="en-US" w:bidi="ar-SA"/>
        </w:rPr>
        <w:t>. Justice Kent found that a developer who acquired a site with knowledge that it was contaminated could, in appropriate circumstances, be required to absorb the full cost of remediating that contamination if the remediation increased the value of the property in an amount in excess of the remediation costs: paras 191-193. However, he found that there was no evidence before him on which he could reach any such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my view there is some difficulty in applying s. 35(2)(a)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to the facts of this case because Victory Motors was at all material times the owner of the Victory Motors site. The historical price it paid to acquire the site in 1948 is of no value in allocating responsibility. Further, taking the price paid for the shares by the Jansen family in 2012 into account under s. 35(2)(a)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would appear to be inconsistent with the principle in </w:t>
      </w:r>
      <w:r>
        <w:rPr>
          <w:rFonts w:ascii="arial" w:eastAsia="arial" w:hAnsi="arial" w:cs="arial"/>
          <w:i/>
          <w:color w:val="000000"/>
          <w:sz w:val="20"/>
          <w:lang w:val="en-US" w:eastAsia="en-US" w:bidi="ar-SA"/>
        </w:rPr>
        <w:t>Salomon v. Salomon &amp; Co.</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that companies are a separate legal entity from their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It is arguable that a purposive interpretation of s. 35(2)(a) could result in the price of acquiring the shares being taken into account as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purchase price for the contaminated site. However, I do not think that such an interpretation is correct, given the clear wording of s. 35(2)(a) and the lack of any indication it applies to the acquisition of shares in a limited company. In my view it is preferable to take this factor into consideration under section 35(2)(f)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However, I am in any event not satisfied that the evidence establishes that the remediation did in fact increase the value of the Victory Motors site beyond the costs of remediation. The evidence in this case is more complex than Super-Save submits. I find that the profit realized by the Jansen family was attributable to the bargain made with Ms. Webber, the renovation of the existing building and the obtaining of high quality tenants for that building. Those improvements were not dependant on the remediation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Victory Motors filed an appraisal report of Burgess, Cawley and Sullivan valuing the Victory Motors site as of June 1, 2015, at $2,800,000. The appraiser concluded that remediating the site to commercial standards would not increase its fair market value because it would not result in any greater rental income from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 subsequent appraisal valued the Victory Motors site at $3,200,000 as of January 25, 2018. This appraisal did not make any adjustment for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These appraisals were prepared before the Victory Motors site received a Certificate of Compliance in March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the evidence, I conclude that neither Victory Motors nor the Jansen family obtained any windfall from the remediation of the Victory Motors site. Any windfall obtained was attributable to the bargain that Mr. Jansen was able to make with the former owner of the shares of Victory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therefore can see no basis to alter the allocation of the costs of remediation because of the profits realized from the purchase of the Victory Motors shares.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Sections 35(2)(b),(c) and (d); Due Diligence, Amount</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of Contaminants and Relative Degree of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will consider these factors together because I find there is a considerable degree of overlap among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my view, there is little to be said in favour of any of the responsible persons' due diligence in this case. Part of the reason for the lack of due diligence is historical. The level of awareness of the tendency of gasoline stations to leak contaminants into the environment has greatly increased during the period that the gasoline station was being operated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is virtually no evidence as to what due diligence was undertaken by Chevron and Shell. However, they were not parties to this action and neither the plaintiffs nor Super-Save led any evidence about the due diligence exercised during their operations. It is therefore difficult to make an objective assessment of their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find that Super-Save did not have an adequate inspection regime in place to detect small leaks during the 10 years it operated from 1982 to 1992. At best Super-Save appears to have checked daily for large leaks in its USTs. However, the evidence in this case satisfies me that even a small leak can put a significant amount of contaminants into the soil over a long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also find that there was a complete lack of due diligence on the part of Victory Motors from the time Super-Save ceased operating its gasoline station on the Victory Motors site in 1992 up to 2012, when the Jansen family purchased its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accept the evidence of William Vandekerkhove that at the end of Super-Save's lease term in 1992 the Webber family asked Super-Save if it would continue to supply gasoline to a new operator of the gas station. Mr. Vandekerkhove's un-contradicted evidence is that the Webber family wanted the USTs and infrastructure used by Super-Save left in place on the Victory Motors site for the use of a new operator and that Super-Save agreed to that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From 1992-1994, Gardner Leasing Ltd. operated the gasoline station. Actton Petroleum Sales Ltd., a company related to Super-Save, supplied fuel to Gardner Leasing Ltd. during this period. Gardner Leasing Ltd. was not a party to this action and no one has alleged that it was a responsible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After the termination of the Gardner Leasing Ltd. operation in 1994, Victory Motors took no steps to remove or stabilize the gasoline station infrastructure that remained in place. It was not until the Jansen family obtained control of Victory Motors that any steps were taken to stabilize the Victory Motors site and decommission the gasoline station infrastructure. In 2012, all of the remaining mixture of fuel and water contained in all identified USTs was removed and taken to an appropriate facility for disposal.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contaminants continued to be deposited into the environment up to the time the USTs and infrastructure were decommissioned in 2012 and that Victory Motors was primarily responsible for the continuing contamination from 1994 to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these cases, the evidence is clear that the usual contaminants associated with the operation of a gasoline station are present in the contaminated sites. These include markers for both leaded gasoline (EDBs and EDCs) and unleaded gasoline (MTBE). These markers are located in a plume of contamination that has migrated underneath South Fraser Way and contaminated a portion of the property owned by Jansen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Beyond these basic facts there is little consensus about the operations of the various responsible persons on the Victory Motors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expert evidence identified three generations of USTs (referred to as "Generations 1, 2 and 3"). Generation 1 consisted of two USTs used by Chevron. These tanks remain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is some controversy over what are known as the Generation 2 USTs. These were assumed by some of the experts to have been used by Turbo and removed at some undetermined time. All of the experts agree that there was some residual contamination at the northwest corner of the site associated with USTs that had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is documentary evidence indicating that Turbo installed two USTs in 1975. The parties do not agree if these tanks were used by Super-Save or were removed at some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Generation 3 tanks were used by Super-Save in its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May 2015, Cantest Solutions Inc. ("Cantest") carried out leak tests on the five USTs on the Victory Motors site. It identified three tanks as being Generation 3 tanks and two as being Generation 1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results of the Cantest leak tests are of little assistance in allocating responsibility for the contamination for two reasons. The first is that the tests had a high threshold of acceptable leakage before they considered the tanks to have failed. Therefore, a tank could have been leaking a significant amount of fuel and still have passed the leak test. The second is that it is not clear that the report accurately describes the age of the tanks and who was responsible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the whole of the evidence, I conclude that Super-Save used three USTs in its operations. I find that two of those USTs were installed by Turbo in or about 1975 and one was installed by Super-Save in 1982. I also find that the UST installed by Super-Save had a 10,000 gallon capacity and the Turbo USTs had a capacity of 3,000 and 5,000 gallons respectively. I base this conclusion primarily on the evidence of Mr. Vandekerkhove, the tank data sheet marked as Exhibit 48 at trial and a building permit application dated January 16, 1975 for the installation of a 5,000 and 3,000 gallon tank in front of the existing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also conclude that Super-Save did remove some USTs used by Turbo. I find it unlikely that Turbo was operating with only two tanks with a combined capacity of 8,000 gallons before Super-Save took possession of the gasoline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Super-Save should bear significantly more responsibility than Shell for any leakage from the Turbo USTs that remained in use after 1982 when Super-Save took over the gasoline station. Super-Save must be taken to have assumed responsibility for those USTs when it began to use them in its operations. At that point, Shell ceased to have any control over the remaining 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plaintiffs rely on the opinion of Peter Reid, a professional engineer from Hemmera Envirochem Inc., environmental consultants. Mr. Reid's opinion is that the main sources of contamination on the Victory Motors site are the piping and leaks in a Generation 1 UST. Mr. Reid bases his opinion on the depth of the contaminant plume. He is also of the opinion that the bulk of the contamination that has migrated occurred not more than 10 years prior to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However, I prefer the evidence of Dr. Yakov Galperin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found Dr. Galperin to be a well qualified expert, who gave his evidence in a balanced and fair manner. Dr. Galperin's opinion is that any of the USTs and piping infrastructure could have contributed to the contaminated plume. I also note that Mr. Reid's opinion is premised on certain assumptions that are not consistent with my findings. The first of these is that all of the Turbo USTs were removed in or about 1982. However, I have concluded that the two USTs installed by Turbo in 1975 continued to be used by Super-Save. There is no evidence that the piping for the two remaining Turbo USTs was significantly altered by Super-Save.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find that a significant plume of contamination had probably already accumulated by 1992 when Super-Save terminated its operations. Therefore, even if Victory Motors had taken immediate steps to remove the gas station infrastructure in 1994 when Gardiner Leasing Ltd. terminated its operations, there still would have been contamination on the Victory Motors site which would have migrated to the Jansen Ltd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this case, all of the gas station operators were using substances of roughly the same toxicity. Super-Save continued to sell leaded gasoline for much of the period it operated the gasoline station. In addition, MTBE is also a known contaminant.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terms of volume, the only statistical evidence is the amount of fuel that Super-Save dispensed annually for some years, but even that is not complete. However, based on the increased storage capacity installed by Super-Save in 1982, I think it likely that it sold more gasoline on an annual basis than did Chevron and Turbo. This conclusion is supported by the affidavit of Madeline Webber, which was admitted into evidence by consent. In her affidavit, Ms. Webber deposed that it was only when Super-Save took over the gasoline station that the gas business "began to explode" and the site became a major gas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stated above, Chevron operated a gas station from sometime between 1945 and 1950 until 1974, a period of approximately 25 years. A Turbo station operated from October 1974 until 1982, and Super-Save operated from 1982 to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After 1992, Victory Motors leased the gas station to Gardiner Leasing Ltd. for a further two years, then found another tenants that did not sell gasoline. However, Victory Motors did not decommission the service station infrastructure until 2012, when the USTs were pumped out. They all contained a significant amount of old fuel. This included the Chevron Tanks that had not been used for about 40 years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is significant that Victory Motors controlled the Victory Motors site in the period from 1994 to 2012, some 18 years, without taking any steps to decommission the USTs and infrastructure. I am satisfied that contaminants continued to be deposited in the soil from the USTs in that period. This was a period of time in which the risk of subsoil contamination from gasoline stations became much more widely known and understood.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 35(2)(e); Remedial Measures Implemented and Paid for by any Responsible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Apart from the funds expended to obtain a Certificate of Compliance, the only significant remedial measures taken by any of the responsible persons were those of Victory Motors in 2012 when it finally decommissioned the infrastructure and pumped out the five remaining USTs. As I understand it, these costs form a part of the amounts claimed in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 35(2)(f); Any Other Factor Relevant to a Fair and Just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my view, this is the provision of </w:t>
      </w:r>
      <w:r>
        <w:rPr>
          <w:rFonts w:ascii="arial" w:eastAsia="arial" w:hAnsi="arial" w:cs="arial"/>
          <w:i/>
          <w:color w:val="000000"/>
          <w:sz w:val="20"/>
          <w:lang w:val="en-US" w:eastAsia="en-US" w:bidi="ar-SA"/>
        </w:rPr>
        <w:t>CSR s.</w:t>
      </w:r>
      <w:r>
        <w:rPr>
          <w:rFonts w:ascii="arial" w:eastAsia="arial" w:hAnsi="arial" w:cs="arial"/>
          <w:color w:val="000000"/>
          <w:sz w:val="20"/>
          <w:lang w:val="en-US" w:eastAsia="en-US" w:bidi="ar-SA"/>
        </w:rPr>
        <w:t xml:space="preserve"> 35(2) in which the circumstances under which the Jansen family obtained ownership of Victory Motors should be considered. While I have rejected the argument that the Victory Motors site was acquired for a nominal consideration and Victory Motors received a "windfall" profit from it, I do consider it relevant that Victory Motors is receiving the benefit of the remediation costs while being a significant contributor to the contamination. This factor, out of fairness, tends to favour a significant allocation of the remediation costs to Victory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have concluded that the majority of the remediation costs of the Victory Motor site should be borne by Super-Save and Victory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find that Super-Save moved more gasoline products through the gasoline station than either Chevron or Turbo. I am also of the view that Super-Save was operating at a time when the issue of environmental contamination from operating gasoline stations was becoming a prominent issue, and its lack of due diligence is less excusable than that of the earlier operators. I am also mindful of the fact that Chevron and Shell were not parties to these proceedings and therefore had no obligation to participate in them. Super-Save tendered no evidence about their operations although it had the opportunity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also take into account the evidence that gasoline contamination does remediate naturally over time. Therefore, I consider it reasonable to take into account the long period of time that has lapsed since Chevron and Turbo ceased their operations at the Victory Motors site to the time the contamination was discovered. However, with respect to Chevron, I accept that one Generation 1 UST continued to leak until 2012 when it was decommissioned.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find that Victory Motors failed to act responsibly from 1994 to 2012. Victory Motors ought to have been aware of the environmental consequences of allowing the disused USTs and piping infrastructure to remain in an unremediated state for a period of almost 20 years. In the context of Victory Motors' failure to act responsibly I also do not consider it to be fair for it to obtain the benefit of the Certificate of Compliance without bearing a substantial portion of the costs of obtaining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Taking the factors set out in s. 35(2)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into consideration, I assess responsibility for the costs of remediation of the Victory Motors site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941"/>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Victory Motors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w:t>
            </w:r>
          </w:p>
        </w:tc>
        <w:tc>
          <w:tcPr>
            <w:tcW w:w="67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Super-Save</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w:t>
            </w:r>
          </w:p>
        </w:tc>
        <w:tc>
          <w:tcPr>
            <w:tcW w:w="67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Chevron</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67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Shell</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67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ALLOCATION OF FAULT IN JANSEN LTD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Jansen Ltd's claim for remediation costs is based on the same contamination plume as the Victory Motors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There is no dispute that the plume of contamination that originated at the Victory Motors site crossed under South Fraser Way and contaminated a portion of the Jansen Ltd site. Therefore, my findings about the Victory Motors site and the analysis of the factors contained in s. 35(2)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also applies to Jansen Ltd's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only additional issue raised by the Jansen Ltd claim is whether Abbotsford Imports Ltd. is a responsible person that is liable for a portion of the remediation costs of the Jansen Ltd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Abbotsford Imports Ltd. is the owner of property located at 33286 South Fraser Way, which is at the southeast corner of Alliance Street and South Fraser Way. This property is therefore on the other side of Alliance Street, located to the east of the Victory Motors site. There is no dispute that for some undetermined period of time gasoline was dispensed from that property. The investigation into the contamination from the Abbotsford Imports site disclosed that there was a 3,000 gallon gasoline UST located near its northwest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parties agree that a plume of gasoline related contaminants originates at the Abbotsford Imports site in the vicinity of the UST formerly located there. The sole issue is whether any part of that plume has affected the Jansen Ltd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Super-Save relies on the opinion of its expert, Mr. Robert Symington, that some part of that plume impacted a corner of the Jansen Ltd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There is a significant issue as to whether it would be possible for the plume on the Abbotsford Imports site to reach the Jansen Ltd site because the elevation of the latter site is higher than the Abbotsford Imports site. Mr. Symington acknowledges that this is the case, but in his opinion, the nature of the substrata under South Fraser Way is such that it would be possible for hydrostatic pressure to cause the plume to merge with the Victory Motors plume and migrate to the Jansen Ltd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Symington is the only expert who opined that the plume from the Abbotsford Imports site has reached the Jansen Ltd site. Dr. Galperin prepared a report on March 20, 2018, on this issue in which he concluded that the data did not support Dr. Symington's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do not find it necessary to review Dr. Galperin's report in detail. Having read and considered that report and Dr. Symington's reports I prefer Dr. Galperin's conclusions on this issue. In particular, I found Dr. Galperin's explanation of the preconditions necessary to cause the plume on the Abbotsford Imports site to migrate upgrade to be convincing. As I understand Dr. Galperin's opinion, for that plume to migrate upgrade there would have to have been a significant volume of liquid gasoline accumulated in the silt layer just east of well MW16-5D in order for the Non Aqueous Phase Liquids (NAPL) to reach well LC13-MW15S/D. In Dr. Galperin's opinion, there was no evidence to support any such accumulation.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Galperin was not cross-examined on this opinion or his critique of Dr. Symington's conclusions. I accept Dr. Galperin's conclusion that the data does not support the conclusion that any contamination from the Abbotsford Imports site ever reached the Jansen Ltd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therefore conclude that Abbotsford Imports Ltd has not been shown to be a responsible person with respect to the remediation of the Jansen Ltd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find that the allocation of remediation costs should be somewhat modified from that applicable to the Victory Motors claim. It seems to me that the inaction on the part of Victory Motors and the benefit received by Victory Motors are of lesser significance in this claim than in its own claim. I am also of the opinion that much of the contamination from the operations of Turbo would naturally have been eliminated over time. While I have concluded that one Generation 1 Chevron UST continued to leak, I find it unlikely that it is a major contributor to the existing plume affecting the Jansen Ltd site. I am therefore of the view that Super-Save should bear a greater proportion of the remediation costs incurred by Jansen Ltd than it did of the Victory Motors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my view a fair allocation of responsibility for remediation costs of the Jansen Ltd site, applying the factors set out in s. 35(2)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9"/>
        <w:gridCol w:w="941"/>
        <w:gridCol w:w="67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Super-Save</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w:t>
            </w:r>
          </w:p>
        </w:tc>
        <w:tc>
          <w:tcPr>
            <w:tcW w:w="665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Victory Motors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w:t>
            </w:r>
          </w:p>
        </w:tc>
        <w:tc>
          <w:tcPr>
            <w:tcW w:w="665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Chevron</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665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Shell</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665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Based on the allocation of responsibility, I find that the remediation costs of the Victory Motors site should be borne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9"/>
        <w:gridCol w:w="1568"/>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Victory Motors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$116,648</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Super-Save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$90,726</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Chevron</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$38,883</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Shell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$12,961</w:t>
            </w:r>
          </w:p>
        </w:tc>
        <w:tc>
          <w:tcPr>
            <w:tcW w:w="604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view of the provisions of the BC Ferries Agreement, Victory Motors cannot claim any portion of the amounts payable by Chevron and Shell from Super-Save.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therefore order Super-Save to pay the sum of $90,726 to Victory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allocate the remediation costs of the Jansen Ltd site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09"/>
        <w:gridCol w:w="1255"/>
        <w:gridCol w:w="66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Super-Save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$68,244</w:t>
            </w:r>
          </w:p>
        </w:tc>
        <w:tc>
          <w:tcPr>
            <w:tcW w:w="655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Victory Motors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$40,946</w:t>
            </w:r>
          </w:p>
        </w:tc>
        <w:tc>
          <w:tcPr>
            <w:tcW w:w="655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Chevron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$20,473</w:t>
            </w:r>
          </w:p>
        </w:tc>
        <w:tc>
          <w:tcPr>
            <w:tcW w:w="655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Shell</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$6,824</w:t>
            </w:r>
          </w:p>
        </w:tc>
        <w:tc>
          <w:tcPr>
            <w:tcW w:w="655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provides that each responsible party is jointly and severally liable for the costs of remediation. However, the parties agree that such an award is inappropriate in the Jansen Ltd Action because of the affiliation of Jansen Ltd and Victory Motors. In addition, there is no issue about the solvency of Victory Motors so an award of joint and several liability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BC Ferries Agreement also precludes Jansen Ltd from recovering from Super-Save any portion of the remediation costs attributable to Chevron and Shell.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Accordingly I order Super-Save to pay remediation costs of $68,244 to Jansen Ltd. If Jansen Ltd wishes, it can have judgment for $40,946 against Victory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parties have liberty to make an application for costs and for an order for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Lafarge Canada Inc. v. JJM Construction Ltd., [2010] B.C.J. No. 1643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S098245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1643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1168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2220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192 A.C.W.S. (3d) 364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an Arbitration Decision made by J.D. Buchan, dated October 15, 2009 Between Lafarge Canada Inc., Petitioner, and JJM Construction Ltd.,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Alternative dispute resolution — Binding arbitration — Practice and procedure — Appeals and judicial review — Petition by Lafarge Canada for leave to appeal arbitrator's decision in commercial dispute granted — Dispute was regarding responsibility for cost of repairs to barges owned by respondent — Barges were damaged while in possession of petitioner pursuant to charter party agreement — Arbitrator ruled that charter party agreement clearly set out parties' intentions that risk of loss or damage rested with charterer — Proposed appeal was on a question of law arising out of the award — Result of arbitration concerned important matter of principle — Alleged error of law was material to decision.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Appeals — Leave to appeal — Petition by Lafarge Canada for leave to appeal arbitrator's decision in commercial dispute granted — Dispute was regarding responsibility for cost of repairs to barges owned by respondent — Barges were damaged while in possession of petitioner pursuant to charter party agreement — Arbitrator ruled that charter party agreement clearly set out parties' intentions that risk of loss or damage rested with charterer — Proposed appeal was on a question of law arising out of the award — Result of arbitration concerned important matter of principle — Alleged error of law was material to decision.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6"/>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Lafarge Canada for leave to appeal the decision of an arbitrator in a dispute between Lafarge and JJM Construction. The dispute was about whether Lafarge was responsible for the cost of repairing four large hopper barges owned by JJM. JJM alleged that the barges were damaged while in the possession of Lafarge pursuant to a charter party agreement. The parties went to arbitration regarding the damage to the barges. In a written ruling, the arbitrator found that the charter party agreement clearly set out the parties' intentions that the risk of loss or damage rested with the charterer. The arbitrator went on to establish the amount of damages owing by Lafarge to JJM.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5"/>
            <w:bookmarkEnd w:id="48"/>
            <w:r>
              <w:rPr>
                <w:rFonts w:ascii="arial" w:eastAsia="arial" w:hAnsi="arial" w:cs="arial"/>
                <w:color w:val="000000"/>
                <w:sz w:val="20"/>
                <w:lang w:val="en-US" w:eastAsia="en-US" w:bidi="ar-SA"/>
              </w:rPr>
              <w:t>HELD: Leave to appeal granted.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appeal was on a question of law arising out of the award. The proposed appeal did not involve a dispute about the facts, and involved no particular reference to the circumstances surrounding the making of the charter party agreements. The factual matrix of the case was not questioned. The result of the arbitration concerned an important matter of principle and was of considerable financial consequence to the parties. The alleged error of law was material to the decision, and the determination of the point of law could prevent a miscarriage of justice.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4"/>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Commercial Arbitration Act, </w:t>
      </w:r>
      <w:hyperlink r:id="rId140" w:history="1">
        <w:r>
          <w:rPr>
            <w:rFonts w:ascii="arial" w:eastAsia="arial" w:hAnsi="arial" w:cs="arial"/>
            <w:i/>
            <w:color w:val="0077CC"/>
            <w:sz w:val="20"/>
            <w:u w:val="single"/>
            <w:shd w:val="clear" w:color="auto" w:fill="FFFFFF"/>
            <w:lang w:val="en-US" w:eastAsia="en-US" w:bidi="ar-SA"/>
          </w:rPr>
          <w:t>RSBC 1996, CHAPTER 55, s. 31</w:t>
        </w:r>
      </w:hyperlink>
      <w:r>
        <w:rPr>
          <w:rFonts w:ascii="arial" w:eastAsia="arial" w:hAnsi="arial" w:cs="arial"/>
          <w:color w:val="000000"/>
          <w:sz w:val="20"/>
          <w:lang w:val="en-US" w:eastAsia="en-US" w:bidi="ar-SA"/>
        </w:rPr>
        <w:t>, s. 31(1), s. 31(2)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6"/>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N.J. Tuytel.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M.D. Adlem.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6"/>
      <w:bookmarkEnd w:id="51"/>
      <w:r>
        <w:pict>
          <v:line id="_x0000_s1061"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C. LYNN SMITH J."/>
            <w:bookmarkEnd w:id="52"/>
            <w:r>
              <w:rPr>
                <w:rFonts w:ascii="arial" w:eastAsia="arial" w:hAnsi="arial" w:cs="arial"/>
                <w:b/>
                <w:color w:val="000000"/>
                <w:sz w:val="30"/>
                <w:lang w:val="en-US" w:eastAsia="en-US" w:bidi="ar-SA"/>
              </w:rPr>
              <w:t>C. LYNN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Lafarge Canada Inc. ("Lafarge") petitions for leave to appeal the decision of an arbitrator in a dispute between itself and JJM Construction Ltd. ("JJM").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dispute is about whether Lafarge should be responsible for the cost of repairing four large hopper barges owned by JJM. JJM says that Lafarge had the barges pursuant to charter party agreements and that when Lafarge returned the barges at the conclusion of the term of those agreements, JJM discovered that the barges had suffered extensive damage. Lafarge agrees that there was some damage to the barges, but disputes the extent of the damage during the charter period and the cost of necessary repairs. Three of the barges have been repaired at JJM's expense, at the cost of $511,395 (barge 308), $242,380 (barge 309) and $251,890 (barge 311), but JJM says that it has been unable to afford to repair the fourth barge (barge 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charter party agreements contain the following provisions: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accepting delivery, the Charterer shall be entitled to visually inspect the Barge while afloat, and if following such inspection the Charterer accepts delivery, the Charterer thereby acknowledges delivery of the Barge in good apparent order and condition and agrees to return the Barge to a location designated by the Owner on expiry of this Charter Party in like good order and condition, free from all liens and encumbrances which may arise by reason of the Charterer's control or operation of the said Barge. The condition of the Barge prior to the start of the Charter shall be documented by the Owner by means of an "on-hire" marine survey and video record of the above waterline and below decks occupied areas of the Barge. A copy of the on-hire marine survey and video record will be provided to the Charterer.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Charterer shall during the charter term keep and maintain the Barge in good and substantial condition, at its own expense, and shall be solely responsible in every way for the Barge and its use until its redelivery to the Owner.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Charterer shall be responsible and liable for and shall reimburse the Owner for the cost of all necessary repairs as the result of damage to the Barge (except such repairs as are required as the result of normal wear and tear and the hire payments at the rate as herein provided which are actually lost during the time repairs are effected to the Barge damaged during the term, provided that the Owner shall notify the Charterer of such damage and effect the necessary repairs within a reasonable time and after redelivery. Alternatively, the Charterer may make all necessary repairs to the Barge to the satisfaction of the Owner prior to returning the barge and ending the Charter. The Charterer further agrees to pay all reasonable charges for cleanup of the Barge if it is not returned in clean and serviceable condition equivalent to when it was let.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Charterer shall procure at its sole expense, and maintain during the term of the Charter Party, the following insurances: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Hull and Machinery insurances on the Barge in the amount of </w:t>
      </w:r>
      <w:r>
        <w:rPr>
          <w:rFonts w:ascii="arial" w:eastAsia="arial" w:hAnsi="arial" w:cs="arial"/>
          <w:b/>
          <w:color w:val="000000"/>
          <w:sz w:val="20"/>
          <w:lang w:val="en-US" w:eastAsia="en-US" w:bidi="ar-SA"/>
        </w:rPr>
        <w:t>$1,000,000.00</w:t>
      </w:r>
      <w:r>
        <w:rPr>
          <w:rFonts w:ascii="arial" w:eastAsia="arial" w:hAnsi="arial" w:cs="arial"/>
          <w:color w:val="000000"/>
          <w:sz w:val="20"/>
          <w:lang w:val="en-US" w:eastAsia="en-US" w:bidi="ar-SA"/>
        </w:rPr>
        <w:t xml:space="preserve"> upon terms at least equivalent to the coverage under the then current Canadian Hulls (Pacific) Clauses (1991) with the loss payable to the Owner;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Protection and indemnity insurance, or comparable liability coverage on the Barge and all vessels used to tow the Barge, insuring the Owner and its directors, officers, employees, sub-contractors and agents against third party claims or claims or penalties arising out of any Statute including but not limited to those arising from death or personal injury, or from loss of or damage to property with a minimum limit of Ten Million Dollars (</w:t>
      </w:r>
      <w:r>
        <w:rPr>
          <w:rFonts w:ascii="arial" w:eastAsia="arial" w:hAnsi="arial" w:cs="arial"/>
          <w:b/>
          <w:color w:val="000000"/>
          <w:sz w:val="20"/>
          <w:lang w:val="en-US" w:eastAsia="en-US" w:bidi="ar-SA"/>
        </w:rPr>
        <w:t>$10,000,000.00</w:t>
      </w:r>
      <w:r>
        <w:rPr>
          <w:rFonts w:ascii="arial" w:eastAsia="arial" w:hAnsi="arial" w:cs="arial"/>
          <w:color w:val="000000"/>
          <w:sz w:val="20"/>
          <w:lang w:val="en-US" w:eastAsia="en-US" w:bidi="ar-SA"/>
        </w:rPr>
        <w:t>) for any single accident or incident;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insurance shall name the Owner as an additional insured and expressly waive subrogation against the Barge, the Owner, its directors, officers, employees, sub-contractors and agents. Prior to the commencement of the performance hereunder the Charterer, when requested, shall furnish the Owner with certificates or duplicate certificates of the aforementioned insurance policies, and no act of the Charterer shall constitute a waiver of the foregoing requirements. The aforementioned insurance requirements can only be waived as and when they are expressly waived in writing by an authorized representative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agreed that if any dispute should arise between the Charterer and the Owner arising out of this Charter Party (including a dispute as to the condition of the Barge upon delivery or redelivery), such dispute shall be referred to arbitration of a single arbitrator that is mutually acceptable. The decision of the arbitrator shall be final.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Lafarge had obtained a policy of hull and machinery insurance (required in paragraph 7(a)). The insurance was through an American broker and entailed a $10,000 deductible per occurrence. When a claim was made by JJM with respect to the damage to the barges, the insurer ("Zurich") took the position that it would pay, after taking into account the deductibles, only $14,335.02 with respect to barge 308, $0 with respect to barge 309 (because Zurich's marine surveyor was of the opinion that all damage to barge 309 was pre-existing), and $40,361.54 with respect to barge 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JJM's claim under the policy has not been settled and no payments have been made by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had a dispute about another unrelated matter and reached a settlement under which JJM paid some money to Lafarge, referred a possible further amount owing to arbitration, and agreed that the "issue of alleged damages to JJM's hopper barges while under charter to Lafarge will be referred to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parties went to arbitration about the damage to the barges. Just before the arbitration before Arbitrator J.D. Buchan was to begin, Lafarge brought a motion asking that the claim for damages be dismissed with costs, that JJM's claim with respect to the deductibles applicable to the hull insurance be adjourned, and that the hearing set for October 19, 2009 be adjourned. In support of its application, Lafarge argued that, because of legal principles enunciated by the Supreme Court of Canada in three cases regarding the construction of insurance terms in lease agreements, the charter party terms in this case prevented JJM from seeking recourse against Lafarge for damage to the barges. The three cases are </w:t>
      </w:r>
      <w:r>
        <w:rPr>
          <w:rFonts w:ascii="arial" w:eastAsia="arial" w:hAnsi="arial" w:cs="arial"/>
          <w:i/>
          <w:color w:val="000000"/>
          <w:sz w:val="20"/>
          <w:lang w:val="en-US" w:eastAsia="en-US" w:bidi="ar-SA"/>
        </w:rPr>
        <w:t>Agnew-Surpass v. Cummer-Yonge,</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[1976] 2 S.C.R. 221</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55 D.L.R. (3d) 676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Ross Southward Tire v. Pyrotech Products</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[1976] 2 S.C.R. 35</w:t>
        </w:r>
      </w:hyperlink>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57 D.L.R. (3d) 248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 Eaton Company v. Smith et al.</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[1978] 2 S.C.R. 749</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92 D.L.R. (3d) 425</w:t>
        </w:r>
      </w:hyperlink>
      <w:r>
        <w:rPr>
          <w:rFonts w:ascii="arial" w:eastAsia="arial" w:hAnsi="arial" w:cs="arial"/>
          <w:color w:val="000000"/>
          <w:sz w:val="20"/>
          <w:lang w:val="en-US" w:eastAsia="en-US" w:bidi="ar-SA"/>
        </w:rPr>
        <w:t xml:space="preserve">. Lafarge also relies on recent appellate authorities interpreting the effect of the Supreme Court of Canada cases, including </w:t>
      </w:r>
      <w:r>
        <w:rPr>
          <w:rFonts w:ascii="arial" w:eastAsia="arial" w:hAnsi="arial" w:cs="arial"/>
          <w:i/>
          <w:color w:val="000000"/>
          <w:sz w:val="20"/>
          <w:lang w:val="en-US" w:eastAsia="en-US" w:bidi="ar-SA"/>
        </w:rPr>
        <w:t>1044589 Ontario Inc. (Nantucket Business Centre) v. AB Autorama Ltd.</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2009 ONCA 654</w:t>
        </w:r>
      </w:hyperlink>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98 O.R. (3d) 263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North Newton Warehouses Ltd. v. Alliance Woodcraft Manufacturing Inc.</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2005 BCCA 309</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[2005] 11 W.W.R. 215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Lafarge had not asserted its position - that JJM could not seek recourse against Lafarge - prior to its motion to the arbitrator, and had agreed to go to arbitration regarding the issue of damage to the barges.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arbitrator was not persuaded that the three cases determined the proper construction of these charter party agreements, and concluded as follows in a written ruling dated October 15,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Charter Parties clearly set forth the intentions of the parties that the risk of loss or damage rested with the Charterer and there was no intention that the Charterer could shelter under the Owner's insurance. There was no covenant to insure by the Owner. In recognition of its risk of loss, the Charterer effected its own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application of Lafarge having been dismissed, the arbitration proceeded. After ten days of hearing, Arbitrator Buchan reserved his decision and delivered an arbitration award of some 98 pages on April 16, 2010. The award was for $292,596.95 with respect to barge 308, $238,491.30 with respect to barge 309, $112,601.93 with respect to barge 311 and $2,802.62 for barge 312, with damage repairs and related costs to be determined for barge 312 once repairs were effected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Lafarge filed its petition on November 10, 2009, seeking leave to appeal the October 15, 2009 decision of the arbitrator in which he discussed Lafarge's application. The petition was filed before the arbitration award of April 16, 2010 was rendered, and the petition does not seek leave to appeal the award. However, it is common ground that if the appeal of the October 15, 2009 decision succeeds, the effect will be to nullify the arbitration award of April 16,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sole issue is whether leave to appeal should be granted. If leave to appeal is granted, I will hear full submissions on the merits of the appeal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Should leave to appeal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(1) A party to an arbitration may appeal to the court on any question of law arising out of the award if</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parties to the arbitration consent, or</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grants leave to appeal.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application for leave under subsection (1)(b), the court may grant leave if it determines that</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result of the arbitration to the parties justifies the intervention of the court and the determination of the point of law may prevent a miscarriage of justice,</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is of importance to some class or body of persons of which the applicant is a member, or</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is of general or public importance.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grants leave to appeal under this section, it may attach conditions to the order granting leave that it considers just.</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appeal to the court, the court may</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amend or set aside the award, or</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remit the award to the arbitrator together with the court's opinion on the question of law that was the subject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 the proposed appeal on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petitioner says that the proposed appeal from the arbitrator's decision of October 15, 2009 is on a question of law, as required in s. 31(1) of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The alleged question of law is stated as follows in the petition:</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in holding (at paragraphs 21-22 of his decision) that an owner is only barred from claiming for damage to its property of the tenant or charterer where both:</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has covenanted to insure the property for the benefit of both parties; and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 or charterer contributed to the insurance premiums;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in holding (at sub-paragraphs 26(a)-(f) of the decision) that this case is distinguishable - from cases including a trilogy of decisions by the Supreme Court of Canada (collectively the "Trilogy") - on the basis that: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Lafarge Canada Inc. ("Lafarge"), covenanted to be solely responsible in every way for the subject barges during the term of the subject charter party agreements between the parties (the "Charterparties"), and to be responsible and liable for and reimburse the Petitioner, JJM Construction Ltd. ("JJM"), for the cost of all necessary repairs (at sub-paragraph 26(a));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loss and damage to the barges in question, during the term of the Charter, is clearly allocated to Lafarge by paragraphs 3, 5 and 6 of the Charterparties (at sub-paragraph 26(c));</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Lafarge covenanted to procure and maintain at its sole expense insurance upon the barges to cover the risk allocated to it (at sub-paragraph 26(c), as well as paragraphs 21 and 22);</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covenant to insure given by JJM in the Charterparties (at sub-paragraph 26(d), as well as paragraphs 21 and 22);</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Lafarge is an assured under the insurance which it effected to cover the risk of loss and damage to the barges and is entitled as a party to enforce the provisions of the policy (at sub-paragraph 26(e)); and</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underwriter has not paid the claim and requires the joint instructions of Lafarge and JJM, as an additional insured, in order to process the claim (at sub-paragraph 26(f)).</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in holding that, unlike the Trilogy decisions, the parties to the Charterparties did not contemplate or agree that Lafarge would shelter itself under the insurance of JJM, as the owner of the barges (at paragraph 27 of the decision);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in holding that the terms of the Charterparties reflect the joint intention of the parties that JJM would be entitled to recovery against either Lafarge or its insurer for loss and damage to the barges during the term of the Charterparties (at paragraph 28);</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Arbitrator err in law in holding that the circumstances of this case are more analogous to those in </w:t>
      </w:r>
      <w:r>
        <w:rPr>
          <w:rFonts w:ascii="arial" w:eastAsia="arial" w:hAnsi="arial" w:cs="arial"/>
          <w:i/>
          <w:color w:val="000000"/>
          <w:sz w:val="20"/>
          <w:lang w:val="en-US" w:eastAsia="en-US" w:bidi="ar-SA"/>
        </w:rPr>
        <w:t>Lee-Mar Developments v. Monto Industries Ltd.</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(2000) 32 RPR (3d) 83</w:t>
        </w:r>
      </w:hyperlink>
      <w:r>
        <w:rPr>
          <w:rFonts w:ascii="arial" w:eastAsia="arial" w:hAnsi="arial" w:cs="arial"/>
          <w:color w:val="000000"/>
          <w:sz w:val="20"/>
          <w:lang w:val="en-US" w:eastAsia="en-US" w:bidi="ar-SA"/>
        </w:rPr>
        <w:t xml:space="preserve">, affirmed </w:t>
      </w:r>
      <w:hyperlink r:id="rId147" w:history="1">
        <w:r>
          <w:rPr>
            <w:rFonts w:ascii="arial" w:eastAsia="arial" w:hAnsi="arial" w:cs="arial"/>
            <w:i/>
            <w:color w:val="0077CC"/>
            <w:sz w:val="20"/>
            <w:u w:val="single"/>
            <w:shd w:val="clear" w:color="auto" w:fill="FFFFFF"/>
            <w:lang w:val="en-US" w:eastAsia="en-US" w:bidi="ar-SA"/>
          </w:rPr>
          <w:t>146 OAC 360</w:t>
        </w:r>
      </w:hyperlink>
      <w:r>
        <w:rPr>
          <w:rFonts w:ascii="arial" w:eastAsia="arial" w:hAnsi="arial" w:cs="arial"/>
          <w:color w:val="000000"/>
          <w:sz w:val="20"/>
          <w:lang w:val="en-US" w:eastAsia="en-US" w:bidi="ar-SA"/>
        </w:rPr>
        <w:t>, than to the SCC trilogy (at paragraphs 28-29);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in holding that, until both:</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JJM's claim for loss and damage to the barges during the term of the Charterparties has been satisfied;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JJM has been reimbursed for the necessary costs to repair the barges;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JJM is entitled to recover from Lafarge pursuant to the provisions of the Charterparties (at paragraph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respondent's position is that the arbitrator's decision of October 15, 2009 involves mixed law and fact, and therefore the proposed appeal is not on a question of law. Counsel for JJM submits that the task of the arbitrator was to sort out what the intention of the parties was, by looking at both the law and the charter party agreements, and that the arbitrator did exactly that - he found facts and drew inferences from them regarding the true intentions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distinction between questions of law, questions of fact and questions of mixed law and fact has been discussed in a number of cases that were brought to my attention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(Director of Investigation and Research) v. Southam Inc.</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[1997] 1 S.C.R. 748</w:t>
        </w:r>
      </w:hyperlink>
      <w:r>
        <w:rPr>
          <w:rFonts w:ascii="arial" w:eastAsia="arial" w:hAnsi="arial" w:cs="arial"/>
          <w:color w:val="000000"/>
          <w:sz w:val="20"/>
          <w:lang w:val="en-US" w:eastAsia="en-US" w:bidi="ar-SA"/>
        </w:rPr>
        <w:t xml:space="preserve"> at paras. 35-37, </w:t>
      </w:r>
      <w:hyperlink r:id="rId76" w:history="1">
        <w:r>
          <w:rPr>
            <w:rFonts w:ascii="arial" w:eastAsia="arial" w:hAnsi="arial" w:cs="arial"/>
            <w:i/>
            <w:color w:val="0077CC"/>
            <w:sz w:val="20"/>
            <w:u w:val="single"/>
            <w:shd w:val="clear" w:color="auto" w:fill="FFFFFF"/>
            <w:lang w:val="en-US" w:eastAsia="en-US" w:bidi="ar-SA"/>
          </w:rPr>
          <w:t>144 D.L.R. (4th) 1</w:t>
        </w:r>
      </w:hyperlink>
      <w:r>
        <w:rPr>
          <w:rFonts w:ascii="arial" w:eastAsia="arial" w:hAnsi="arial" w:cs="arial"/>
          <w:color w:val="000000"/>
          <w:sz w:val="20"/>
          <w:lang w:val="en-US" w:eastAsia="en-US" w:bidi="ar-SA"/>
        </w:rPr>
        <w:t>, Iacobucci J. for the Supreme Court of Canada explained the distinction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Section 12(1) of the </w:t>
      </w:r>
      <w:r>
        <w:rPr>
          <w:rFonts w:ascii="arial" w:eastAsia="arial" w:hAnsi="arial" w:cs="arial"/>
          <w:i/>
          <w:color w:val="000000"/>
          <w:sz w:val="20"/>
          <w:lang w:val="en-US" w:eastAsia="en-US" w:bidi="ar-SA"/>
        </w:rPr>
        <w:t>Competition Tribunal Act</w:t>
      </w:r>
      <w:r>
        <w:rPr>
          <w:rFonts w:ascii="arial" w:eastAsia="arial" w:hAnsi="arial" w:cs="arial"/>
          <w:color w:val="000000"/>
          <w:sz w:val="20"/>
          <w:lang w:val="en-US" w:eastAsia="en-US" w:bidi="ar-SA"/>
        </w:rPr>
        <w:t xml:space="preserve"> contemplates a tripartite classification of questions before the Tribunal into questions of law, questions of fact, and questions of mixed law and fact. Briefly stated, questions of law are questions about what the correct legal test is; questions of fact are questions about what actually took place between the parties; and questions of mixed law and fact are questions about whether the facts satisfy the legal tests. A simple example will illustrate these concepts. In the law of tort, the question what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means is a question of law. The question whether the defendant did this or that is a question of fact. And, once it has been decided that the applicable standard is one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question whether the defendant satisfied the appropriate standard of care is a question of mixed law and fact. I recognize, however, that the distinction between law on the one hand and mixed law and fact on the other is difficult. On occasion, what appears to be mixed law and fact turns out to be law, or </w:t>
      </w:r>
      <w:r>
        <w:rPr>
          <w:rFonts w:ascii="arial" w:eastAsia="arial" w:hAnsi="arial" w:cs="arial"/>
          <w:i/>
          <w:color w:val="000000"/>
          <w:sz w:val="20"/>
          <w:lang w:val="en-US" w:eastAsia="en-US" w:bidi="ar-SA"/>
        </w:rPr>
        <w:t>vice versa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For example, the majority of the British Columbia Court of Appeal in </w:t>
      </w:r>
      <w:r>
        <w:rPr>
          <w:rFonts w:ascii="arial" w:eastAsia="arial" w:hAnsi="arial" w:cs="arial"/>
          <w:i/>
          <w:color w:val="000000"/>
          <w:sz w:val="20"/>
          <w:lang w:val="en-US" w:eastAsia="en-US" w:bidi="ar-SA"/>
        </w:rPr>
        <w:t>Pezim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[1994] 2 S.C.R. 557</w:t>
        </w:r>
      </w:hyperlink>
      <w:r>
        <w:rPr>
          <w:rFonts w:ascii="arial" w:eastAsia="arial" w:hAnsi="arial" w:cs="arial"/>
          <w:color w:val="000000"/>
          <w:sz w:val="20"/>
          <w:lang w:val="en-US" w:eastAsia="en-US" w:bidi="ar-SA"/>
        </w:rPr>
        <w:t>, concluded that it was an error of law to regard newly acquired information on the value of assets as a "material change" in the affairs of a company. It was common ground in that case that the proper test was whether the information constituted a material change; the argument was about whether the acquisition of information of a certain kind qualified as such a change. To some extent, then, the question resembled one of mixed law and fact. But the question was one of law, in part because the words in question were present in a statutory provision and questions of statutory interpretation are generally questions of law, but also because the point in controversy was one that might potentially arise in many cases in the future: the argument was about kinds of information and not merely about the particular information that was at issue in that case. The rule on which the British Columbia Securities Commission seemed to rely -- that newly acquired information about the value of assets can constitute a material change -- was a matter of law, because it had the potential to apply widely to many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By contrast, the matrices of facts at issue in some cases are so particular, indeed so unique, that decisions about whether they satisfy legal tests do not have any great precedential value. If a court were to decide that driving at a certain speed on a certain road under certain conditions was negligent, its decision would not have any great value as a precedent. In short, as the level of generality of the challenged proposition approaches utter particularity, the matter approaches pure application, and hence draws nigh to being an unqualified question of mixed law and fact. See R. P. Kerans, </w:t>
      </w:r>
      <w:r>
        <w:rPr>
          <w:rFonts w:ascii="arial" w:eastAsia="arial" w:hAnsi="arial" w:cs="arial"/>
          <w:i/>
          <w:color w:val="000000"/>
          <w:sz w:val="20"/>
          <w:lang w:val="en-US" w:eastAsia="en-US" w:bidi="ar-SA"/>
        </w:rPr>
        <w:t>Standards of Review Employed by Appellate Courts</w:t>
      </w:r>
      <w:r>
        <w:rPr>
          <w:rFonts w:ascii="arial" w:eastAsia="arial" w:hAnsi="arial" w:cs="arial"/>
          <w:color w:val="000000"/>
          <w:sz w:val="20"/>
          <w:lang w:val="en-US" w:eastAsia="en-US" w:bidi="ar-SA"/>
        </w:rPr>
        <w:t xml:space="preserve"> (1994), at pp. 103-108. Of course, it is not easy to say precisely where the line should be drawn; though in most cases it should be sufficiently clear whether the dispute is over a general proposition that might qualify as a principle of law or over a very particular set of circumstances that is not apt to be of much interest to judges and lawyers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Hayes Forest Services Limited v. Weyerhaeuser Company Limited</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2008 BCCA 31</w:t>
        </w:r>
      </w:hyperlink>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289 D.L.R. (4th) 230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Hayes Forest Services</w:t>
      </w:r>
      <w:r>
        <w:rPr>
          <w:rFonts w:ascii="arial" w:eastAsia="arial" w:hAnsi="arial" w:cs="arial"/>
          <w:color w:val="000000"/>
          <w:sz w:val="20"/>
          <w:lang w:val="en-US" w:eastAsia="en-US" w:bidi="ar-SA"/>
        </w:rPr>
        <w:t xml:space="preserve">], a case involving the interpretation of an agreement, Chiasson J.A. for the Court of Appeal reviewed a number of the authorities and referred with approval to </w:t>
      </w:r>
      <w:r>
        <w:rPr>
          <w:rFonts w:ascii="arial" w:eastAsia="arial" w:hAnsi="arial" w:cs="arial"/>
          <w:i/>
          <w:color w:val="000000"/>
          <w:sz w:val="20"/>
          <w:lang w:val="en-US" w:eastAsia="en-US" w:bidi="ar-SA"/>
        </w:rPr>
        <w:t>Petty v. Telus Corp.</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2002 BCCA 135</w:t>
        </w:r>
      </w:hyperlink>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164 B.C.A.C. 152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MacDougall v. MacDougall</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(2005), 262 D.L.R. (4th) 120</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205 O.A.C. 216</w:t>
        </w:r>
      </w:hyperlink>
      <w:r>
        <w:rPr>
          <w:rFonts w:ascii="arial" w:eastAsia="arial" w:hAnsi="arial" w:cs="arial"/>
          <w:color w:val="000000"/>
          <w:sz w:val="20"/>
          <w:lang w:val="en-US" w:eastAsia="en-US" w:bidi="ar-SA"/>
        </w:rPr>
        <w:t xml:space="preserve"> (Ont. C.A.). In </w:t>
      </w:r>
      <w:r>
        <w:rPr>
          <w:rFonts w:ascii="arial" w:eastAsia="arial" w:hAnsi="arial" w:cs="arial"/>
          <w:i/>
          <w:color w:val="000000"/>
          <w:sz w:val="20"/>
          <w:lang w:val="en-US" w:eastAsia="en-US" w:bidi="ar-SA"/>
        </w:rPr>
        <w:t>Petty</w:t>
      </w:r>
      <w:r>
        <w:rPr>
          <w:rFonts w:ascii="arial" w:eastAsia="arial" w:hAnsi="arial" w:cs="arial"/>
          <w:color w:val="000000"/>
          <w:sz w:val="20"/>
          <w:lang w:val="en-US" w:eastAsia="en-US" w:bidi="ar-SA"/>
        </w:rPr>
        <w:t xml:space="preserve"> at para. 14, Finch C.J.B.C.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w:t>
      </w:r>
      <w:r>
        <w:rPr>
          <w:rFonts w:ascii="arial" w:eastAsia="arial" w:hAnsi="arial" w:cs="arial"/>
          <w:color w:val="000000"/>
          <w:sz w:val="20"/>
          <w:u w:val="single"/>
          <w:lang w:val="en-US" w:eastAsia="en-US" w:bidi="ar-SA"/>
        </w:rPr>
        <w:t>The construction of a contract is a question of mixed fact and law. The question is what the parties intended by the language of the agreement, viewed objectively, in the circumstances in which the agreement was made.</w:t>
      </w:r>
      <w:r>
        <w:rPr>
          <w:rFonts w:ascii="arial" w:eastAsia="arial" w:hAnsi="arial" w:cs="arial"/>
          <w:color w:val="000000"/>
          <w:sz w:val="20"/>
          <w:lang w:val="en-US" w:eastAsia="en-US" w:bidi="ar-SA"/>
        </w:rPr>
        <w:t xml:space="preserve"> A.G. Guest (ed.) </w:t>
      </w:r>
      <w:r>
        <w:rPr>
          <w:rFonts w:ascii="arial" w:eastAsia="arial" w:hAnsi="arial" w:cs="arial"/>
          <w:i/>
          <w:color w:val="000000"/>
          <w:sz w:val="20"/>
          <w:lang w:val="en-US" w:eastAsia="en-US" w:bidi="ar-SA"/>
        </w:rPr>
        <w:t>Chitty on Contracts</w:t>
      </w:r>
      <w:r>
        <w:rPr>
          <w:rFonts w:ascii="arial" w:eastAsia="arial" w:hAnsi="arial" w:cs="arial"/>
          <w:color w:val="000000"/>
          <w:sz w:val="20"/>
          <w:lang w:val="en-US" w:eastAsia="en-US" w:bidi="ar-SA"/>
        </w:rPr>
        <w:t xml:space="preserve"> (28th ed.), Vol.I (London: Sweet &amp; Maxwell 1999) summarizes the proper approach for the court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12-043 Intention of the parties. The task of ascertaining the intention of the parties must be approached objectively: the question is not what one or other of the parties meant or understood by the words used, but "the meaning which the document would convey to a reasonable person having all the background knowledge which would reasonably have been available to the parties in the situation in which they were at the time of the contract." The cardinal presumption is that the parties have intended what they have in fact said, so that their words must be construed as they stand. That is to say the meaning of the document or of a particular part of it is to be sought </w:t>
      </w:r>
      <w:r>
        <w:rPr>
          <w:rFonts w:ascii="arial" w:eastAsia="arial" w:hAnsi="arial" w:cs="arial"/>
          <w:i/>
          <w:color w:val="000000"/>
          <w:sz w:val="20"/>
          <w:lang w:val="en-US" w:eastAsia="en-US" w:bidi="ar-SA"/>
        </w:rPr>
        <w:t>in the document itself</w:t>
      </w:r>
      <w:r>
        <w:rPr>
          <w:rFonts w:ascii="arial" w:eastAsia="arial" w:hAnsi="arial" w:cs="arial"/>
          <w:color w:val="000000"/>
          <w:sz w:val="20"/>
          <w:lang w:val="en-US" w:eastAsia="en-US" w:bidi="ar-SA"/>
        </w:rPr>
        <w:t>. "One must consider the meaning of the words used, not what one may guess to be the intention of the parties". However, this is not to say that the meaning of the words in a written document must be ascertained by reference to the words of the document alone. In the modern law, the courts will, in principle, look at all the circumstances surrounding the making of the contract which would assist in determining how the language of the document would have been understood by a reasonable man.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12-046 Law and fact. The construction of written instruments is a question of mixed law and fact. The expression "construction" as applied to a document includes two things: first, the meaning of the words; and, secondly, their legal effect, or the effect which is to be given to them. Construction becomes a question of law as soon as the true meaning of the words in which an instrument has been expressed and the surrounding circumstances, if any, have been ascertained as facts. However, the meaning of an ordinary English word, of technical or commercial terms and of latent ambiguities, and the discovery of the surrounding circumstances (when they are relevant) are questions of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[Italic emphasis in original; underline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Justice Chiasson for the Court in </w:t>
      </w:r>
      <w:r>
        <w:rPr>
          <w:rFonts w:ascii="arial" w:eastAsia="arial" w:hAnsi="arial" w:cs="arial"/>
          <w:i/>
          <w:color w:val="000000"/>
          <w:sz w:val="20"/>
          <w:lang w:val="en-US" w:eastAsia="en-US" w:bidi="ar-SA"/>
        </w:rPr>
        <w:t>Hayes Forest Services</w:t>
      </w:r>
      <w:r>
        <w:rPr>
          <w:rFonts w:ascii="arial" w:eastAsia="arial" w:hAnsi="arial" w:cs="arial"/>
          <w:color w:val="000000"/>
          <w:sz w:val="20"/>
          <w:lang w:val="en-US" w:eastAsia="en-US" w:bidi="ar-SA"/>
        </w:rPr>
        <w:t xml:space="preserve"> stated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In my view, taken broadly, the construction of a contract often is a question of mixed fact and law. Insofar as the task narrowly is to determine the meaning of the words in the contract the matter may be a question of law as was stated in </w:t>
      </w:r>
      <w:r>
        <w:rPr>
          <w:rFonts w:ascii="arial" w:eastAsia="arial" w:hAnsi="arial" w:cs="arial"/>
          <w:i/>
          <w:color w:val="000000"/>
          <w:sz w:val="20"/>
          <w:lang w:val="en-US" w:eastAsia="en-US" w:bidi="ar-SA"/>
        </w:rPr>
        <w:t>Domtar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Inc. v. Belkin Inc.</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(1989), 62 D.L.R. (4th) 530</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39 B.C.L.R. (2d) 257</w:t>
        </w:r>
      </w:hyperlink>
      <w:r>
        <w:rPr>
          <w:rFonts w:ascii="arial" w:eastAsia="arial" w:hAnsi="arial" w:cs="arial"/>
          <w:color w:val="000000"/>
          <w:sz w:val="20"/>
          <w:lang w:val="en-US" w:eastAsia="en-US" w:bidi="ar-SA"/>
        </w:rPr>
        <w:t xml:space="preserve"> (C.A.)], but where the factual matrix of the contract is questioned, determining that matrix and its significance is a question of fact. Interpreting the language of the contract in the context of the factual matrix is a question of mixed fact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helpful discussion is found in </w:t>
      </w:r>
      <w:r>
        <w:rPr>
          <w:rFonts w:ascii="arial" w:eastAsia="arial" w:hAnsi="arial" w:cs="arial"/>
          <w:i/>
          <w:color w:val="000000"/>
          <w:sz w:val="20"/>
          <w:lang w:val="en-US" w:eastAsia="en-US" w:bidi="ar-SA"/>
        </w:rPr>
        <w:t>Specialist Physicians and Surgeons of BC v. General Practitioners of BC</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2007 BCSC 423</w:t>
        </w:r>
      </w:hyperlink>
      <w:r>
        <w:rPr>
          <w:rFonts w:ascii="arial" w:eastAsia="arial" w:hAnsi="arial" w:cs="arial"/>
          <w:color w:val="000000"/>
          <w:sz w:val="20"/>
          <w:lang w:val="en-US" w:eastAsia="en-US" w:bidi="ar-SA"/>
        </w:rPr>
        <w:t xml:space="preserve"> at paras. 19-22, </w:t>
      </w:r>
      <w:hyperlink r:id="rId152" w:history="1">
        <w:r>
          <w:rPr>
            <w:rFonts w:ascii="arial" w:eastAsia="arial" w:hAnsi="arial" w:cs="arial"/>
            <w:i/>
            <w:color w:val="0077CC"/>
            <w:sz w:val="20"/>
            <w:u w:val="single"/>
            <w:shd w:val="clear" w:color="auto" w:fill="FFFFFF"/>
            <w:lang w:val="en-US" w:eastAsia="en-US" w:bidi="ar-SA"/>
          </w:rPr>
          <w:t>156 A.C.W.S. (3d) 985</w:t>
        </w:r>
      </w:hyperlink>
      <w:r>
        <w:rPr>
          <w:rFonts w:ascii="arial" w:eastAsia="arial" w:hAnsi="arial" w:cs="arial"/>
          <w:color w:val="000000"/>
          <w:sz w:val="20"/>
          <w:lang w:val="en-US" w:eastAsia="en-US" w:bidi="ar-SA"/>
        </w:rPr>
        <w:t>, in which Garson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What is a question of law? The following propositions from the respondent's submissions are not in dispute on this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Supreme Court of Canada has defined what is meant as a "question of law" arising from the findings of an administrative tribunal: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phrase "question of law" which the Legislature has employed in this enactment is prima facie a technical phrase well understood by lawyers. So construed "question of law" would include (without attempting anything like an exhaustive definition which would be impossible) questions touching the scope, effect or application of a rule of law which the courts apply in determining the rights of parties; and by long usage, the term "question of law" has come to be applied to questions which, when arising at a trial by a judge and jury, would fall exclusively to the judge for determination.</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Canadian National Railways Co. v. Bell Telephone Co. of Canada</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[1939] S.C.R. 308</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Under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the question of law must arise from the award. That qualification has been described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error in law on the face of the award means, in their Lordship's view that you can find in the award or a document actually incorporated thereto, as for instance a note appended by the arbitrator stating his reasons for his judgment, some legal proposition which is the basis of the award in which you can then say is erroneous.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Champsey Bhara &amp; Company v. Jivraj Balloo Spinning and Weaving Company Limited</w:t>
      </w:r>
      <w:r>
        <w:rPr>
          <w:rFonts w:ascii="arial" w:eastAsia="arial" w:hAnsi="arial" w:cs="arial"/>
          <w:color w:val="000000"/>
          <w:sz w:val="20"/>
          <w:lang w:val="en-US" w:eastAsia="en-US" w:bidi="ar-SA"/>
        </w:rPr>
        <w:t xml:space="preserve">, [1923] A.C. 480 as cited in </w:t>
      </w:r>
      <w:r>
        <w:rPr>
          <w:rFonts w:ascii="arial" w:eastAsia="arial" w:hAnsi="arial" w:cs="arial"/>
          <w:i/>
          <w:color w:val="000000"/>
          <w:sz w:val="20"/>
          <w:lang w:val="en-US" w:eastAsia="en-US" w:bidi="ar-SA"/>
        </w:rPr>
        <w:t>West Coast Transmission Co. Ltd. v. Majestic Wiley Contractors Ltd.</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(1981), 31 B.C.L.R. 174</w:t>
        </w:r>
      </w:hyperlink>
      <w:r>
        <w:rPr>
          <w:rFonts w:ascii="arial" w:eastAsia="arial" w:hAnsi="arial" w:cs="arial"/>
          <w:color w:val="000000"/>
          <w:sz w:val="20"/>
          <w:lang w:val="en-US" w:eastAsia="en-US" w:bidi="ar-SA"/>
        </w:rPr>
        <w:t xml:space="preserve"> (B.C.S.C.),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Where it is necessary to go to the evidence to make the argument that an error of law occurred, the error cannot be said to be on the face of the award.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Westcoast Transmission Co. Ltd. v. Majestic Wiley Contractors</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(1982), 38 B.C.L.R. 310</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139 D.L.R. (3d) 97</w:t>
        </w:r>
      </w:hyperlink>
      <w:r>
        <w:rPr>
          <w:rFonts w:ascii="arial" w:eastAsia="arial" w:hAnsi="arial" w:cs="arial"/>
          <w:color w:val="000000"/>
          <w:sz w:val="20"/>
          <w:lang w:val="en-US" w:eastAsia="en-US" w:bidi="ar-SA"/>
        </w:rPr>
        <w:t xml:space="preserve"> (B.C.C.A.)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gravamen of the petitioner's proposed appeal of the arbitrator's decision is that the arbitrator failed to apply the proper legal principles to the interpretation of the charter party agreements. It is well summarized by counsel for the respondent JJM in his written argument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Lafarge has raised a principle of construction expounded by the Supreme Court of Canada in cases where there is a covenant to insure. Lafarge says these cases result in a conclusion that the Charter Party must be interpreted in a way that precludes JJM from obtaining relief from Lafarge for the repair costs and that JJM must obtain the costs from the insurer (even though the Charter Party contains a covenant to repair). It is clear therefore that the principle upon which Lafarge wishes to rely clashes directly with the clear and ordinary meaning of the terms of the Charter Party. ... Lafarge has incorrectly tried to apply the Supreme Court of Canada principles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proposed appeal does not involve a dispute about the facts in this case, and involves no particular reference to the circumstances surrounding the making of the charter party agreements. The factual matrix of the case is not questioned. The dispute is about the legal effect of certain provisions in the agreements, and is at a high level of generality. In effect, the petitioner seeks to establish that the Supreme Court of Canada jurisprudence lays down that the legal consequence of the provisions in the charter party agreements is immunization of the petitioner against a claim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whether the claim is brought by the insurer or by the respondent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a question that would fall exclusively to the judge for determination in a trial by judge and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it is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question of law must also be stated precisely (see </w:t>
      </w:r>
      <w:r>
        <w:rPr>
          <w:rFonts w:ascii="arial" w:eastAsia="arial" w:hAnsi="arial" w:cs="arial"/>
          <w:i/>
          <w:color w:val="000000"/>
          <w:sz w:val="20"/>
          <w:lang w:val="en-US" w:eastAsia="en-US" w:bidi="ar-SA"/>
        </w:rPr>
        <w:t>Domtar Inc. v. Belkin Inc.</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(1989), 62 D.L.R. (4th) 530</w:t>
        </w:r>
      </w:hyperlink>
      <w:r>
        <w:rPr>
          <w:rFonts w:ascii="arial" w:eastAsia="arial" w:hAnsi="arial" w:cs="arial"/>
          <w:color w:val="000000"/>
          <w:sz w:val="20"/>
          <w:lang w:val="en-US" w:eastAsia="en-US" w:bidi="ar-SA"/>
        </w:rPr>
        <w:t xml:space="preserve"> at 533, </w:t>
      </w:r>
      <w:hyperlink r:id="rId77" w:history="1">
        <w:r>
          <w:rPr>
            <w:rFonts w:ascii="arial" w:eastAsia="arial" w:hAnsi="arial" w:cs="arial"/>
            <w:i/>
            <w:color w:val="0077CC"/>
            <w:sz w:val="20"/>
            <w:u w:val="single"/>
            <w:shd w:val="clear" w:color="auto" w:fill="FFFFFF"/>
            <w:lang w:val="en-US" w:eastAsia="en-US" w:bidi="ar-SA"/>
          </w:rPr>
          <w:t>39 B.C.L.R. (2d) 257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Domtar Inc.</w:t>
      </w:r>
      <w:r>
        <w:rPr>
          <w:rFonts w:ascii="arial" w:eastAsia="arial" w:hAnsi="arial" w:cs="arial"/>
          <w:color w:val="000000"/>
          <w:sz w:val="20"/>
          <w:lang w:val="en-US" w:eastAsia="en-US" w:bidi="ar-SA"/>
        </w:rPr>
        <w:t>]). I find that the petition does state the question of law precisely, though in various formulations.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Does the question of law arise "out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I have noted, this is an application to appeal the arbitrator's preliminary ruling. Normally, leave would not be granted to appeal preliminary rulings that are interlocutory: </w:t>
      </w:r>
      <w:r>
        <w:rPr>
          <w:rFonts w:ascii="arial" w:eastAsia="arial" w:hAnsi="arial" w:cs="arial"/>
          <w:i/>
          <w:color w:val="000000"/>
          <w:sz w:val="20"/>
          <w:lang w:val="en-US" w:eastAsia="en-US" w:bidi="ar-SA"/>
        </w:rPr>
        <w:t>Crisp v. ICBC</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2003 BCCA 413</w:t>
        </w:r>
      </w:hyperlink>
      <w:r>
        <w:rPr>
          <w:rFonts w:ascii="arial" w:eastAsia="arial" w:hAnsi="arial" w:cs="arial"/>
          <w:color w:val="000000"/>
          <w:sz w:val="20"/>
          <w:lang w:val="en-US" w:eastAsia="en-US" w:bidi="ar-SA"/>
        </w:rPr>
        <w:t>, 1 C.C.L.I. (4th) 163. There, Finch C.J.B.C. stated at paras.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real issue on this application therefore is whether the petitioner has satisfied the test for the granting of leave to appeal. In </w:t>
      </w:r>
      <w:r>
        <w:rPr>
          <w:rFonts w:ascii="arial" w:eastAsia="arial" w:hAnsi="arial" w:cs="arial"/>
          <w:i/>
          <w:color w:val="000000"/>
          <w:sz w:val="20"/>
          <w:lang w:val="en-US" w:eastAsia="en-US" w:bidi="ar-SA"/>
        </w:rPr>
        <w:t>I.C.B.C. v. West</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(1994) 96 B.C.L.R. (2d) 188</w:t>
        </w:r>
      </w:hyperlink>
      <w:r>
        <w:rPr>
          <w:rFonts w:ascii="arial" w:eastAsia="arial" w:hAnsi="arial" w:cs="arial"/>
          <w:color w:val="000000"/>
          <w:sz w:val="20"/>
          <w:lang w:val="en-US" w:eastAsia="en-US" w:bidi="ar-SA"/>
        </w:rPr>
        <w:t xml:space="preserve"> (C.A.) this court held that an application for leave to appeal in arbitration proceedings must meet the requirements of s. 31 of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and satisfy as well the tests which normally apply on an application for leave to appeal. That is to say, in addition to the requirements of s. 31(1) and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applicant must show: that there is a good arguable case; that the issue is important to the parties, and generally; that there is a practical utility to the appeal; and that an appeal would not cause undue delay in the underlying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only substantive step taken thus far in the arbitration has been to seek, on an agreed statement of facts, the arbitrator's decision on a preliminary issue concerning the interpretation of a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arbitrator has not yet made any determination in respect of the quantum of the petitioner's damages, the kinds of payments that would qualify as deductible amounts, the value of any deductible amounts, and the net amount payable to the petitioner by the respondent under the Under Insured Motorists Protection Coverage. Those are said to be all issues which will require evidence and argument from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arbitration is therefore incomplete. I can see no practical utility to an appeal of the single issue decided by the arbitrator. To the contrary, an appeal should await the final determination of all issues. Otherwise, the court will not have a sufficient context for a reasoned adjudication.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 therefore dismiss the application for leave to appeal. It follows that the application to extend time must also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Here the application for leave to appeal the preliminary ruling is being heard after the award has been issued and if the proposed appeal were to succeed, the award would have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respondent argued that, nevertheless, in these circumstances this is not a question arising "out of the award". He conceded that this was a somewhat technical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the petitioner stated at the hearing that this is an appeal of both the October 15, 2009 ruling and the award itself. However, the petition does not seek to appeal the award itself. If the petition were amended to include an application to appeal the award itself, the appeal would finally dispose of the parties' rights and would have practical utility. Without amendment, the potential for multiple appeals might exist, which would be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the preliminary decision to dismiss the motion and the award itself should be seen as a whole and, on that premise, the proposed appeal is not interlocutory.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Although this point was not taken by the respondent, I also note that the damages to the fourth barge (barge 312), which has not yet been repaired, were not determined in Arbitrator Buchan's award. Such determination awaits the repairs to that barge, and it appears that the repairs must await improvement in JJM's financial situation. I do not think that this unfinished element means that there has not been an award, or that the proposed appeal does not "arise out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conclude that the proposed appeal, assuming that the petition is amended to seek leave to appeal the award as well as the preliminary ruling, is on a question of law arising out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Should discretion be exercised to grant leave to bring the proposed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BCIT (Student Association) v. BCIT</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2000 BCCA 496</w:t>
        </w:r>
      </w:hyperlink>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192 D.L.R. (4th) 122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xml:space="preserve">], the Court of Appeal reviewed the circumstances in which leave to appeal should be granted under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It stated as follows at paras. 25-32: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In my judgment, s. 31(2)(a) ought to be approached in this fashion. Firstly, the court must satisfy itself that one of the conditions precedent set out in s. 31(2)(a), (b) or (c) is met. Thereafter it should exercise its discretion, and not by establishing a stringent rule applicable to only one subsection, but on a principled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How, then, should a court approach a leave application under s. 31(2)(a)? There are three requirements: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the importance of the result of the arbitration to the parties justifies the intervention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the determination of the point of law may prevent a miscarriage of justice;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granting leave is an appropriate exercise of judicial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first criterion is, in my view, well described in </w:t>
      </w:r>
      <w:r>
        <w:rPr>
          <w:rFonts w:ascii="arial" w:eastAsia="arial" w:hAnsi="arial" w:cs="arial"/>
          <w:i/>
          <w:color w:val="000000"/>
          <w:sz w:val="20"/>
          <w:lang w:val="en-US" w:eastAsia="en-US" w:bidi="ar-SA"/>
        </w:rPr>
        <w:t>Domtar Inc. v. Belkin Inc.</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is the result of the arbitration sufficiently important, in terms of principle or money, to the parties that the expense and time of court proceedings is justified.</w:t>
      </w:r>
      <w:r>
        <w:rPr>
          <w:rFonts w:ascii="arial" w:eastAsia="arial" w:hAnsi="arial" w:cs="arial"/>
          <w:color w:val="000000"/>
          <w:sz w:val="20"/>
          <w:lang w:val="en-US" w:eastAsia="en-US" w:bidi="ar-SA"/>
        </w:rPr>
        <w:t xml:space="preserve"> This criterion </w:t>
      </w:r>
      <w:r>
        <w:rPr>
          <w:rFonts w:ascii="arial" w:eastAsia="arial" w:hAnsi="arial" w:cs="arial"/>
          <w:color w:val="000000"/>
          <w:sz w:val="20"/>
          <w:u w:val="single"/>
          <w:lang w:val="en-US" w:eastAsia="en-US" w:bidi="ar-SA"/>
        </w:rPr>
        <w:t>excludes frivolous appeals</w:t>
      </w:r>
      <w:r>
        <w:rPr>
          <w:rFonts w:ascii="arial" w:eastAsia="arial" w:hAnsi="arial" w:cs="arial"/>
          <w:color w:val="000000"/>
          <w:sz w:val="20"/>
          <w:lang w:val="en-US" w:eastAsia="en-US" w:bidi="ar-SA"/>
        </w:rPr>
        <w:t xml:space="preserve"> and appeals on non-weighty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second criterion was described in </w:t>
      </w:r>
      <w:r>
        <w:rPr>
          <w:rFonts w:ascii="arial" w:eastAsia="arial" w:hAnsi="arial" w:cs="arial"/>
          <w:i/>
          <w:color w:val="000000"/>
          <w:sz w:val="20"/>
          <w:lang w:val="en-US" w:eastAsia="en-US" w:bidi="ar-SA"/>
        </w:rPr>
        <w:t>Domtar Inc. v. Belkin Inc</w:t>
      </w:r>
      <w:r>
        <w:rPr>
          <w:rFonts w:ascii="arial" w:eastAsia="arial" w:hAnsi="arial" w:cs="arial"/>
          <w:color w:val="000000"/>
          <w:sz w:val="20"/>
          <w:lang w:val="en-US" w:eastAsia="en-US" w:bidi="ar-SA"/>
        </w:rPr>
        <w:t xml:space="preserve">. as whether, if the point of law were decided differently, the arbitrator would have been led to a different result. In other words, </w:t>
      </w:r>
      <w:r>
        <w:rPr>
          <w:rFonts w:ascii="arial" w:eastAsia="arial" w:hAnsi="arial" w:cs="arial"/>
          <w:color w:val="000000"/>
          <w:sz w:val="20"/>
          <w:u w:val="single"/>
          <w:lang w:val="en-US" w:eastAsia="en-US" w:bidi="ar-SA"/>
        </w:rPr>
        <w:t>was the alleged error of law material to the decision</w:t>
      </w:r>
      <w:r>
        <w:rPr>
          <w:rFonts w:ascii="arial" w:eastAsia="arial" w:hAnsi="arial" w:cs="arial"/>
          <w:color w:val="000000"/>
          <w:sz w:val="20"/>
          <w:lang w:val="en-US" w:eastAsia="en-US" w:bidi="ar-SA"/>
        </w:rPr>
        <w:t>; does it go to its heart? I agree that this is the essential consideration for a party prepared to spend the time, money and energy on an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Where, then, if anywhere, does consideration of the merits of the appeal belong? Mr. Roberts for the Student Association contends that any consideration of the merits of the appeal belong in the determination of whether a miscarriage of justice may occur; that is, under the second criterion. I do not agree. </w:t>
      </w:r>
      <w:r>
        <w:rPr>
          <w:rFonts w:ascii="arial" w:eastAsia="arial" w:hAnsi="arial" w:cs="arial"/>
          <w:color w:val="000000"/>
          <w:sz w:val="20"/>
          <w:u w:val="single"/>
          <w:lang w:val="en-US" w:eastAsia="en-US" w:bidi="ar-SA"/>
        </w:rPr>
        <w:t>In my view, the apparent merit or lack of merit of an appeal is part of the exercise of the residual discretion, and applies equally to all three subsections, (a) through (c).</w:t>
      </w:r>
      <w:r>
        <w:rPr>
          <w:rFonts w:ascii="arial" w:eastAsia="arial" w:hAnsi="arial" w:cs="arial"/>
          <w:color w:val="000000"/>
          <w:sz w:val="20"/>
          <w:lang w:val="en-US" w:eastAsia="en-US" w:bidi="ar-SA"/>
        </w:rPr>
        <w:t xml:space="preserve"> Just as an appeal woefully lacking in merit should not attract leave under (b) (of importance to a class of people including the applicant) or (c) (of general or public importance), so too it should not attract leave under (a). Consideration of the merits, for consistency in the section as a whole, should be made as part of the exercise of residual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color w:val="000000"/>
          <w:sz w:val="20"/>
          <w:u w:val="single"/>
          <w:lang w:val="en-US" w:eastAsia="en-US" w:bidi="ar-SA"/>
        </w:rPr>
        <w:t>In considering the merits of an appeal or lack thereof, an appellant should establish more than an arguable point. The merits of the appeal, while not requiring that the award is obviously wrong or the decision is patently unreasonable, must have sufficient substance to warrant the appeal proceeding.</w:t>
      </w:r>
      <w:r>
        <w:rPr>
          <w:rFonts w:ascii="arial" w:eastAsia="arial" w:hAnsi="arial" w:cs="arial"/>
          <w:color w:val="000000"/>
          <w:sz w:val="20"/>
          <w:lang w:val="en-US" w:eastAsia="en-US" w:bidi="ar-SA"/>
        </w:rPr>
        <w:t xml:space="preserve"> And on this I would not expect the appeal itself to be argued on the leave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 do not consider that the application of any formula will determine whether a chambers judge should exercise discretion and grant leave to appeal. The discretion is to be exercised judicially, that is, trial judges will take into consideration those matters with which they are well familiar. </w:t>
      </w:r>
      <w:r>
        <w:rPr>
          <w:rFonts w:ascii="arial" w:eastAsia="arial" w:hAnsi="arial" w:cs="arial"/>
          <w:color w:val="000000"/>
          <w:sz w:val="20"/>
          <w:u w:val="single"/>
          <w:lang w:val="en-US" w:eastAsia="en-US" w:bidi="ar-SA"/>
        </w:rPr>
        <w:t>Those matters include the apparent merits of the appeal, the degree of significance of the issue to the parties, to third parties and to the community at large, the circumstances surrounding the dispute and adjudication including the urgency of a final answer, other temporal considerations including the opportunity for either party to address the result through other avenues, the conduct of the parties, and the stage of the process at which the appealed decision was made (in my view, unlike the facts in "</w:t>
      </w:r>
      <w:r>
        <w:rPr>
          <w:rFonts w:ascii="arial" w:eastAsia="arial" w:hAnsi="arial" w:cs="arial"/>
          <w:i/>
          <w:color w:val="000000"/>
          <w:sz w:val="20"/>
          <w:u w:val="single"/>
          <w:lang w:val="en-US" w:eastAsia="en-US" w:bidi="ar-SA"/>
        </w:rPr>
        <w:t>The Nema</w:t>
      </w:r>
      <w:r>
        <w:rPr>
          <w:rFonts w:ascii="arial" w:eastAsia="arial" w:hAnsi="arial" w:cs="arial"/>
          <w:color w:val="000000"/>
          <w:sz w:val="20"/>
          <w:u w:val="single"/>
          <w:lang w:val="en-US" w:eastAsia="en-US" w:bidi="ar-SA"/>
        </w:rPr>
        <w:t>", interlocutory orders would rarely, if ever, pass the sieve of judicial discretion). Undoubtedly included in this assessment will be respect for the forum of arbitration, chosen by the parties as their means of resolving disputes, and recognition that arbitration is often intended to provide a speedy and final dispute mechanism, tailor made for the issues which may face the parties to the arbitration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 have not attempted to set out all the considerations a judge may apply to an application for leave. Nor do I intend the considerations I mentioned to be applied as an immutable checklist, which would only serve to direct a chambers judge into making the very error as occurred here. They are but examples of factors which, in my view, frequently will bear on the ultimate disposition of an application. Lastly, I must note that this decision is not intended to, nor should it, open wide a Pandora's box of arbitration appeals.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the first criterion, the result of the arbitration concerns an important matter of principle and is of considerable financial consequence to the parties. When everything is taken into account, the amount at stake will likely exceed $1,000,000, according to counsel for the petitioner. I recognize that the amount of damages claimed does not establish the importance of the result of the arbitration (</w:t>
      </w:r>
      <w:r>
        <w:rPr>
          <w:rFonts w:ascii="arial" w:eastAsia="arial" w:hAnsi="arial" w:cs="arial"/>
          <w:i/>
          <w:color w:val="000000"/>
          <w:sz w:val="20"/>
          <w:lang w:val="en-US" w:eastAsia="en-US" w:bidi="ar-SA"/>
        </w:rPr>
        <w:t>Ocean Pacific Hotels Ltd. v. Tokyu Canada Corporation.</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2005 BCSC 929</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6 B.L.R. (4th) 330</w:t>
        </w:r>
      </w:hyperlink>
      <w:r>
        <w:rPr>
          <w:rFonts w:ascii="arial" w:eastAsia="arial" w:hAnsi="arial" w:cs="arial"/>
          <w:color w:val="000000"/>
          <w:sz w:val="20"/>
          <w:lang w:val="en-US" w:eastAsia="en-US" w:bidi="ar-SA"/>
        </w:rPr>
        <w:t>) but here, there was no dispute that if the award stands, the financial consequences are significant for both sides. I think that this is an appeal that is weighty and non-frivolous.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to the second criterion, if the arbitrator had decided the preliminary point of law differently, in favour of Lafarge, he would have made no award in favour of JJM. The alleged error of law was material to the decision, and the determination of the point of law may prevent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assessment of the third criterion, which is whether granting leave is an appropriate exercise of judicial discretion, includes some consideration of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strength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Contrary to what had previously been said in </w:t>
      </w:r>
      <w:r>
        <w:rPr>
          <w:rFonts w:ascii="arial" w:eastAsia="arial" w:hAnsi="arial" w:cs="arial"/>
          <w:i/>
          <w:color w:val="000000"/>
          <w:sz w:val="20"/>
          <w:lang w:val="en-US" w:eastAsia="en-US" w:bidi="ar-SA"/>
        </w:rPr>
        <w:t>Domtar Inc.</w:t>
      </w:r>
      <w:r>
        <w:rPr>
          <w:rFonts w:ascii="arial" w:eastAsia="arial" w:hAnsi="arial" w:cs="arial"/>
          <w:color w:val="000000"/>
          <w:sz w:val="20"/>
          <w:lang w:val="en-US" w:eastAsia="en-US" w:bidi="ar-SA"/>
        </w:rPr>
        <w:t xml:space="preserve">, the Court of Appeal clarified in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xml:space="preserve"> that it is not necessary under s. 31(2) of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for the party seeking leave to appeal to satisfy the court that the arbitrator was obviously in error. Instead, the question is whether there is sufficient substance to the proposed appeal to warrant its proceeding. There must be more than just an arguable case. The standard takes into account the purpose of s. 31 of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and of the legislation as a whole. Appeals from arbitration awards should not readily or routinely be available if the legislation is to fulfil its purpose of permitting parties to resolve disputes through private arbitration with speed and finality. At the same time, as the Court of Appeal observed in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xml:space="preserve"> at para. 14, the legislation contemplates that the parties will have access to the courts to correct material errors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it could not be said that the arbitrator was obviously in error, I think that the petitioner's argument that the Supreme Court of Canada authorities determine the meaning of the provisions in the charter party agreements has sufficient strength to warrant an appeal, so long as the other criteria for allowing an appeal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petitioner argued that the outcome of the proposed appeal will have significance beyond the immediate parties because the implications of the Supreme Court of Canada "trilogy" - does it provide "tort immunity" to parties who lease property and covenant that they themselves will obtain insurance for damage to the property during the term of the lease? - need to be defined. I think that the petitioner is likely correct about the significance of the appeal beyond its significance to the parties, particularly if such insurance covenants are an increasingly common feature of charter party and other agreements utilized in the marine sector, as the petitioner submits.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petition seeking leave to appeal was not brought on for hearing until both the ruling and the award had been handed down, and (as I have earlier stated) so long as the appeal is from both the ruling and the award, it is not interlocutory.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have concluded that the petitioner has met its burden to show that leave to appeal should be granted under s. 31(2) of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There is enough substance to the argument, and the consequences of the decision are sufficiently important to the parties and to others, that an appeal should be considered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Leave to appeal the October 15, 2009 decision is granted, subject to the question of amendment to the petition to appeal the award itself. I would invite counsel to advise if such an amendment will go by consent, or if they wish to make submissions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hearing of the appeal will be set down before me at a time convenient to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LYNN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McVeigh v. McWilliam, [2010] B.C.J. No. 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S.J. 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17-20 and December 14-16,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S2034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Powell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184 A.C.W.S. (3d) 854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Gordon Mark McVeigh, Plaintiff, and Rob McWilliam,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7"/>
      <w:bookmarkEnd w:id="53"/>
      <w:r>
        <w:rPr>
          <w:rFonts w:ascii="arial" w:eastAsia="arial" w:hAnsi="arial" w:cs="arial"/>
          <w:b/>
          <w:color w:val="000000"/>
          <w:sz w:val="20"/>
          <w:lang w:val="en-US" w:eastAsia="en-US" w:bidi="ar-SA"/>
        </w:rPr>
        <w:t>Tort law — Defamation — Defamatory statements — What constitutes defamatory words — Defences — Justification or truth — Qualified privilege — Privilege — Qualified privilege — Malice — Action by McVeigh seeking general and punitive damages for defamation dismissed — McWilliam, chair of the local improvement board, circulated two documents at a ratepayer's meeting called to address McVeigh's displeasure with the Board's activities — The impugned words were defamatory, but were made on an occasion of qualified privilege and were made without malice — The defamatory words were proven to be substantially true.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7"/>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McVeigh seeking general and punitive damages for defamation from McWilliam. McVeigh and McWilliam were ratepayers of the Gillies Bay Improvement District. McWilliam was the chair of the Improvement District Board, and presided over a special meeting of the ratepayers that had been called to address McVeigh's displeasure with the Board's activities. McWilliam circulated and read aloud two documents at the meeting that McVeigh claimed defamed him. McWilliams claimed justification and qualified privilege. The meeting was held to determine whether the Board had the confidence of the ratepayers following a campaign by McVeigh against the Board's activities.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6"/>
            <w:bookmarkEnd w:id="5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impugned words were defamatory. They would tend to lower the plaintiff's reputation in the eyes of a reasonable person. The defence of qualified privilege was of direct application. McWilliam had a legal, social and moral interest in having matters of concern addressed by the ratepayers at a special general meeting and in seeking direction whether he and others of the Board should resign. McVeigh did not show that McWilliam acted out of malice. McVeigh did not show that McWilliam published defamatory statements knowing they were false or with reckless indifference as to their truth or falsity. The defamatory statements were proven to be substantially true.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Counsel_7"/>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McVeigh: Appeared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R.N. Beckmann.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5"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S.J. SHABBITS J."/>
            <w:bookmarkEnd w:id="58"/>
            <w:r>
              <w:rPr>
                <w:rFonts w:ascii="arial" w:eastAsia="arial" w:hAnsi="arial" w:cs="arial"/>
                <w:b/>
                <w:color w:val="000000"/>
                <w:sz w:val="30"/>
                <w:lang w:val="en-US" w:eastAsia="en-US" w:bidi="ar-SA"/>
              </w:rPr>
              <w:t>S.J. 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Gordon Mark McVeigh and Rob McWilliam reside on Texada Island. Both are ratepayers of the Gillies Bay Improvement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January of 2008, Mr. McWilliam was the Chair of the Gillies Bay Improvement District Board. On January 8, 2008, Mr. McWilliam presided over a special general meeting of the ratepayers of the Gillies Bay Improvement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meeting had been called to address Mr. McVeigh's displeasure with Board activities. Mr. McWilliam disseminated two documents at the meeting. Mr. McVeigh claims that the documents defamed him, and that its defamatory statements are false and misleading. He claims general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McWilliam admits that he produced the two documents and that he circulated them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McWilliam denies that the documents are defamatory. He pleads justification, and he pleads that the documents were published on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McVeigh claims that Mr. McWilliams acted with malice and that the defence of qualified privilege is not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Applicable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reasons for judgment rendered on December 22, 2009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the Supreme Court of Canada examines the current law in a defamation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McLachlin C.J. writes for the court. At paragraph 28 she writes that a plaintiff in a defamation action is required to prove three things to obtain judgment and an award of damages: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impugned words were defamatory, in the sense that they would tend to lower the plaintiff's reputation in the eyes of a reasonable person;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in fact referred to the plaintiff;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were published, meaning that they were communicated to at least one person other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says that if those elements are established on a balance of probabilities, falsity and damage are presumed, though this rule has been subject to strong criticism. She says that the plaintiff is not required to show that the defendant intended to do harm, or even that the defendant was careless. She writes, "The tort is thus one of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McLachlin C.J. writes that if the plaintiff proves the required elements, the onus then shifts to the defendant to advance a defence in order to escape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writes that both statements of opinion and statements of fact may attract the defence of privilege, depending on the occasion on which they were made. She writes, "The law acknowledges through recognition of privileged occasions that false and defamatory expression may sometimes contribute to desirable social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paragraph 31, McLachlin C.J. explains that statements of opinion may attract the defence of fair comment. She writes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In addition to privilege, statements of opinion, a category which includes any "deduction, inference, conclusion, criticism, judgment, remark or observation which is generally incapable of proof" (</w:t>
      </w:r>
      <w:r>
        <w:rPr>
          <w:rFonts w:ascii="arial" w:eastAsia="arial" w:hAnsi="arial" w:cs="arial"/>
          <w:i/>
          <w:color w:val="000000"/>
          <w:sz w:val="20"/>
          <w:lang w:val="en-US" w:eastAsia="en-US" w:bidi="ar-SA"/>
        </w:rPr>
        <w:t>Ross v. New Brunswick Teachers' Assn.,</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2001 NBCA 62</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 D.L.R. (4th) 75</w:t>
        </w:r>
      </w:hyperlink>
      <w:r>
        <w:rPr>
          <w:rFonts w:ascii="arial" w:eastAsia="arial" w:hAnsi="arial" w:cs="arial"/>
          <w:color w:val="000000"/>
          <w:sz w:val="20"/>
          <w:lang w:val="en-US" w:eastAsia="en-US" w:bidi="ar-SA"/>
        </w:rPr>
        <w:t xml:space="preserve">, at para. 56, cited in WIC Radio, </w:t>
      </w:r>
      <w:hyperlink r:id="rId168" w:history="1">
        <w:r>
          <w:rPr>
            <w:rFonts w:ascii="arial" w:eastAsia="arial" w:hAnsi="arial" w:cs="arial"/>
            <w:i/>
            <w:color w:val="0077CC"/>
            <w:sz w:val="20"/>
            <w:u w:val="single"/>
            <w:shd w:val="clear" w:color="auto" w:fill="FFFFFF"/>
            <w:lang w:val="en-US" w:eastAsia="en-US" w:bidi="ar-SA"/>
          </w:rPr>
          <w:t>[2008] 2 S.C.R. 420</w:t>
        </w:r>
      </w:hyperlink>
      <w:r>
        <w:rPr>
          <w:rFonts w:ascii="arial" w:eastAsia="arial" w:hAnsi="arial" w:cs="arial"/>
          <w:color w:val="000000"/>
          <w:sz w:val="20"/>
          <w:lang w:val="en-US" w:eastAsia="en-US" w:bidi="ar-SA"/>
        </w:rPr>
        <w:t>, at para. 26) may attract the defence of fair comment. As reformulated in WIC Radio, at para. 28, a defendant claiming fair comment must satisfy the following test: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be on a matter of public interest;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be based on fact;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though it can include inferences of fact, must be recognisable as comment;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 must satisfy the following objective test: could any person honestly express that opinion on the proved facts?;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 comment satisfies the objective test the defence can be defeated if the plaintiff proves that the defendant was actuated by express malice.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expanded the fair comment defence by changing the traditional requirement that the opinion be one that a "fair-minded" person could honestly hold, to a requirement that it be one that "anyone could honestly have expressed" (paras. 49-51), which allows for robust debate. As Binnie J. put it, "[w]e live in a free country where people have as much right to express outrageous and ridiculous opinions as moderate ones"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paragraph 32, McLachlin C.J. writes that where statements of fact are at issue, usually only two defences are available: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that the statement was substantially true (justification); and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that the statement was made in a protected context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writes at paragraph 33 that "to succeed on the defence of justification, a defendant must adduce evidence showing that the statement was substantially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writes at paragraph 34 that if the defence of justification fails, generally the only way that a publisher can escape liability for an untrue defamatory statement of fact is by establishing that the statement was made on a privileged occasion. She writes that qualified privilege has traditionally been grounded in special relationships characterised by a "duty" to communicate the information and a reciprocal "interest" in receiving it. She writes at paragraph 37 that the threshold for privilege remains high and the criteria for reciprocal duty and interest required to establish the defence unclear, although she acknowledges at paragraphs 35 and 36 that Canadian courts have applied the privilege to politicians and media who have shown a moral or social duty to publish.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paragraph 89, McLachlin C.J. notes that the House of Lords extended the traditional law of qualified privilege to publications in the media. She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Effectively, the Law Lords decided that the media has a "duty" to report on a matter of public interest and the public has a corresponding "interest" in receiving such a report. Whether the duty and interest had crystallized into a privilege in the particular case depended on whether the defendant had acted responsibly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xml:space="preserve"> the Supreme Court of Canada concludes that responsible communications on matters of public interest should not attract liability for defamation, but it declines to extend the defence of privilege. McLachlin C.J. explains at paragraph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Unlike privilege, however, the determination of whether a statement relates to a matter of public interest focuses on the substance of the publication itself and not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xml:space="preserve"> the Supreme Court of Canada formulates a new defence to an action in defamation, that of the defence of responsible communication. The court leaves "the traditional defence of qualified privilege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Justice MacFarlane of the British Columbia Supreme Court discusses the defence of justification in </w:t>
      </w:r>
      <w:r>
        <w:rPr>
          <w:rFonts w:ascii="arial" w:eastAsia="arial" w:hAnsi="arial" w:cs="arial"/>
          <w:i/>
          <w:color w:val="000000"/>
          <w:sz w:val="20"/>
          <w:lang w:val="en-US" w:eastAsia="en-US" w:bidi="ar-SA"/>
        </w:rPr>
        <w:t>Hare v. Better Business Bureau of Vancouver,</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[1948] 1 W.W.R. 569</w:t>
        </w:r>
      </w:hyperlink>
      <w:r>
        <w:rPr>
          <w:rFonts w:ascii="arial" w:eastAsia="arial" w:hAnsi="arial" w:cs="arial"/>
          <w:color w:val="000000"/>
          <w:sz w:val="20"/>
          <w:lang w:val="en-US" w:eastAsia="en-US" w:bidi="ar-SA"/>
        </w:rPr>
        <w:t>. He refers to the duty of the party pleading substantial justification at paragraph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xml:space="preserve">, 3rd ed., at p. 170, on the authority of </w:t>
      </w:r>
      <w:r>
        <w:rPr>
          <w:rFonts w:ascii="arial" w:eastAsia="arial" w:hAnsi="arial" w:cs="arial"/>
          <w:i/>
          <w:color w:val="000000"/>
          <w:sz w:val="20"/>
          <w:lang w:val="en-US" w:eastAsia="en-US" w:bidi="ar-SA"/>
        </w:rPr>
        <w:t>Edwards v. Bell</w:t>
      </w:r>
      <w:r>
        <w:rPr>
          <w:rFonts w:ascii="arial" w:eastAsia="arial" w:hAnsi="arial" w:cs="arial"/>
          <w:color w:val="000000"/>
          <w:sz w:val="20"/>
          <w:lang w:val="en-US" w:eastAsia="en-US" w:bidi="ar-SA"/>
        </w:rPr>
        <w:t xml:space="preserve"> (1824), 1 Bing 403, 130 ER 162, and subsequent cases, states the duty of the party pleading substantial justification thus: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to prove the truth of every word of the libel. If the defendant succeeds in proving that 'the main charge or gist of the libel' is true, he need not justify statements or comments which do not add to the sting of the libel or introduce any matter by itself actionable. 'It is sufficient if the substance of the libellous statement be justified; it is unnecessary to repeat every word which might have been the subject of the original comment. As much must be justified as meets the sting of the charge and if anything be contained in a charge which does not add to the sting of it, that need not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referring to the evidence in the case before him, Macfarlane J. says this at paragraphs 20 and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 think all this, and there is much more of it, is definitely intended to convey the impression to the desired purchasers of the "</w:t>
      </w:r>
      <w:r>
        <w:rPr>
          <w:rFonts w:ascii="arial" w:eastAsia="arial" w:hAnsi="arial" w:cs="arial"/>
          <w:i/>
          <w:color w:val="000000"/>
          <w:sz w:val="20"/>
          <w:lang w:val="en-US" w:eastAsia="en-US" w:bidi="ar-SA"/>
        </w:rPr>
        <w:t>Book of Kowledge"</w:t>
      </w:r>
      <w:r>
        <w:rPr>
          <w:rFonts w:ascii="arial" w:eastAsia="arial" w:hAnsi="arial" w:cs="arial"/>
          <w:color w:val="000000"/>
          <w:sz w:val="20"/>
          <w:lang w:val="en-US" w:eastAsia="en-US" w:bidi="ar-SA"/>
        </w:rPr>
        <w:t xml:space="preserve"> (sic) that the Children's Institute was an adjunct of the school system. I think the whole scheme was calculated to deceive and mislead people to believe the very things these women did believe. I think there is no doubt that the impression she intended to convey and did convey to these witnesses for the defence was a false impression related to the subjects mentioned in the article and thus, I think, substantially the charge is justified.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 think that these suggestions are matters only of detail and I think there is evidence to support the conclusion that in her three hours' talk she, with the purpose eventually of selling the "</w:t>
      </w:r>
      <w:r>
        <w:rPr>
          <w:rFonts w:ascii="arial" w:eastAsia="arial" w:hAnsi="arial" w:cs="arial"/>
          <w:i/>
          <w:color w:val="000000"/>
          <w:sz w:val="20"/>
          <w:lang w:val="en-US" w:eastAsia="en-US" w:bidi="ar-SA"/>
        </w:rPr>
        <w:t>Book of Kowledge</w:t>
      </w:r>
      <w:r>
        <w:rPr>
          <w:rFonts w:ascii="arial" w:eastAsia="arial" w:hAnsi="arial" w:cs="arial"/>
          <w:color w:val="000000"/>
          <w:sz w:val="20"/>
          <w:lang w:val="en-US" w:eastAsia="en-US" w:bidi="ar-SA"/>
        </w:rPr>
        <w:t>," (sic) left these people with a false impression -- an impression she intended to convey to them. I think that is the sting of the charge and that on the evidence it has been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November 25, 2009 the British Columbia Court of Appeal reviews the defamation defences of justification, fair comment and qualified privilege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xml:space="preserve">. Madam Justice Kirkpatrick writes for the Court. At paragraph 18 she writes: "In reasons indexed as </w:t>
      </w:r>
      <w:hyperlink r:id="rId171" w:history="1">
        <w:r>
          <w:rPr>
            <w:rFonts w:ascii="arial" w:eastAsia="arial" w:hAnsi="arial" w:cs="arial"/>
            <w:i/>
            <w:color w:val="0077CC"/>
            <w:sz w:val="20"/>
            <w:u w:val="single"/>
            <w:shd w:val="clear" w:color="auto" w:fill="FFFFFF"/>
            <w:lang w:val="en-US" w:eastAsia="en-US" w:bidi="ar-SA"/>
          </w:rPr>
          <w:t>2007 BCSC 1757</w:t>
        </w:r>
      </w:hyperlink>
      <w:r>
        <w:rPr>
          <w:rFonts w:ascii="arial" w:eastAsia="arial" w:hAnsi="arial" w:cs="arial"/>
          <w:color w:val="000000"/>
          <w:sz w:val="20"/>
          <w:lang w:val="en-US" w:eastAsia="en-US" w:bidi="ar-SA"/>
        </w:rPr>
        <w:t>, the trial judge accurately reviews the defences of justification, fair comment and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trial judge was Hinkson J. of the British Columbia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paragraph 38 of the trial judgment reasons, Hinkson J. writes that in respect of the defence of justification, the test of whether truth has been proved on a balance of probabilities is objective, and not what the defendant considered subjectively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writes this about qualified privilege:</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QUALIFIED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principles relating to the defence of qualified privilege were reviewed by Williams J.A. in </w:t>
      </w:r>
      <w:r>
        <w:rPr>
          <w:rFonts w:ascii="arial" w:eastAsia="arial" w:hAnsi="arial" w:cs="arial"/>
          <w:i/>
          <w:color w:val="000000"/>
          <w:sz w:val="20"/>
          <w:lang w:val="en-US" w:eastAsia="en-US" w:bidi="ar-SA"/>
        </w:rPr>
        <w:t>Moises v. Canadian Newspaper Co.</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(1996), 24 B.C.L.R. (3d) 211</w:t>
        </w:r>
      </w:hyperlink>
      <w:r>
        <w:rPr>
          <w:rFonts w:ascii="arial" w:eastAsia="arial" w:hAnsi="arial" w:cs="arial"/>
          <w:color w:val="000000"/>
          <w:sz w:val="20"/>
          <w:lang w:val="en-US" w:eastAsia="en-US" w:bidi="ar-SA"/>
        </w:rPr>
        <w:t xml:space="preserve"> at para. 17, </w:t>
      </w:r>
      <w:hyperlink r:id="rId172" w:history="1">
        <w:r>
          <w:rPr>
            <w:rFonts w:ascii="arial" w:eastAsia="arial" w:hAnsi="arial" w:cs="arial"/>
            <w:i/>
            <w:color w:val="0077CC"/>
            <w:sz w:val="20"/>
            <w:u w:val="single"/>
            <w:shd w:val="clear" w:color="auto" w:fill="FFFFFF"/>
            <w:lang w:val="en-US" w:eastAsia="en-US" w:bidi="ar-SA"/>
          </w:rPr>
          <w:t>76 B.C.A.C. 263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 of qualified privilege recognizes that there are certain limited occasions upon which a person may publish untrue, defamatory statements about another with impunity. In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8th ed. by Philip Lewis (London: Sweet &amp; Maxwell, 1981), the defence is explained as follows, at pp. 185-86: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There are occasions upon which, on grounds of public policy and convenience, a person may, without incurring legal liability, make statements about another which are defamatory and in fact untrue. On such occasions a man, stating what he believes to be the truth about another, is protected in so doing, provided he makes the statement honestly and without any indirect or improper motive. These occasions are called occasions of qualified privilege, for the protection which the law, on grounds of public policy, affords is not absolute but depends on the honesty of purpose with which the defamatory statement is made. The rule being founded on the general welfare of society, new occasions for its application will necessarily arise with continually changing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essence of the defence of qualified privilege is that the defendant has an interest -- legal, social, or moral -- to communicate the defamatory statement and the recipient has a corresponding duty or interest to receive it: see </w:t>
      </w:r>
      <w:r>
        <w:rPr>
          <w:rFonts w:ascii="arial" w:eastAsia="arial" w:hAnsi="arial" w:cs="arial"/>
          <w:i/>
          <w:color w:val="000000"/>
          <w:sz w:val="20"/>
          <w:lang w:val="en-US" w:eastAsia="en-US" w:bidi="ar-SA"/>
        </w:rPr>
        <w:t>Pressler v. Lethbridge and Westcom TV Group Ltd.</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2000 BCCA 639</w:t>
        </w:r>
      </w:hyperlink>
      <w:r>
        <w:rPr>
          <w:rFonts w:ascii="arial" w:eastAsia="arial" w:hAnsi="arial" w:cs="arial"/>
          <w:color w:val="000000"/>
          <w:sz w:val="20"/>
          <w:lang w:val="en-US" w:eastAsia="en-US" w:bidi="ar-SA"/>
        </w:rPr>
        <w:t xml:space="preserve"> at para. 62, </w:t>
      </w:r>
      <w:hyperlink r:id="rId173" w:history="1">
        <w:r>
          <w:rPr>
            <w:rFonts w:ascii="arial" w:eastAsia="arial" w:hAnsi="arial" w:cs="arial"/>
            <w:i/>
            <w:color w:val="0077CC"/>
            <w:sz w:val="20"/>
            <w:u w:val="single"/>
            <w:shd w:val="clear" w:color="auto" w:fill="FFFFFF"/>
            <w:lang w:val="en-US" w:eastAsia="en-US" w:bidi="ar-SA"/>
          </w:rPr>
          <w:t>86 B.C.L.R. (3d) 257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Qualified privilege attaches to the occasion that the communication was made, and not to the communication itself. The reciprocity or mutuality between the defendant and the recipient is essential to the defence. See </w:t>
      </w:r>
      <w:r>
        <w:rPr>
          <w:rFonts w:ascii="arial" w:eastAsia="arial" w:hAnsi="arial" w:cs="arial"/>
          <w:i/>
          <w:color w:val="000000"/>
          <w:sz w:val="20"/>
          <w:lang w:val="en-US" w:eastAsia="en-US" w:bidi="ar-SA"/>
        </w:rPr>
        <w:t>Campbell v. Jones et al</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2002 NSCA 128</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209 N.S.R. (2d) 81</w:t>
        </w:r>
      </w:hyperlink>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cited to N.S.R].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burden rests on the defendant to prove each element of the defence. In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at para. 32, Roscoe J.A. quoted with approval from the Ontario Court of Appeal in </w:t>
      </w:r>
      <w:r>
        <w:rPr>
          <w:rFonts w:ascii="arial" w:eastAsia="arial" w:hAnsi="arial" w:cs="arial"/>
          <w:i/>
          <w:color w:val="000000"/>
          <w:sz w:val="20"/>
          <w:lang w:val="en-US" w:eastAsia="en-US" w:bidi="ar-SA"/>
        </w:rPr>
        <w:t>RTC Engineering Consultants Ltd. v. Ontario (Solicitor General)</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(2002), 58 O.R. (3d) 726</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156 O.A.C. 96</w:t>
        </w:r>
      </w:hyperlink>
      <w:r>
        <w:rPr>
          <w:rFonts w:ascii="arial" w:eastAsia="arial" w:hAnsi="arial" w:cs="arial"/>
          <w:color w:val="000000"/>
          <w:sz w:val="20"/>
          <w:lang w:val="en-US" w:eastAsia="en-US" w:bidi="ar-SA"/>
        </w:rPr>
        <w:t xml:space="preserve"> with regard to the reciprocal interest element of the defence of qualified privilege: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recently, in </w:t>
      </w:r>
      <w:r>
        <w:rPr>
          <w:rFonts w:ascii="arial" w:eastAsia="arial" w:hAnsi="arial" w:cs="arial"/>
          <w:i/>
          <w:color w:val="000000"/>
          <w:sz w:val="20"/>
          <w:lang w:val="en-US" w:eastAsia="en-US" w:bidi="ar-SA"/>
        </w:rPr>
        <w:t>RTC Engineering Consultants Ltd. v. Ontario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O.J. No. 1001</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156 O.A.C. 96</w:t>
        </w:r>
      </w:hyperlink>
      <w:r>
        <w:rPr>
          <w:rFonts w:ascii="arial" w:eastAsia="arial" w:hAnsi="arial" w:cs="arial"/>
          <w:color w:val="000000"/>
          <w:sz w:val="20"/>
          <w:lang w:val="en-US" w:eastAsia="en-US" w:bidi="ar-SA"/>
        </w:rPr>
        <w:t xml:space="preserve"> (C.A.), Laskin, J.A.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"[16] At the heart of the defence of qualified privilege is the notion of reciprocity or mutuality. A defendant must have some interest in making the statement and those to whom the statement is made must have some interest in receiving it. 'Interest', however, should not be viewed technically or narrowly. The interest sought to be served may be personal, social, business, financial, or legal. The context is important. The nature of the statement, the circumstances under which it was made, and by whom and to whom it was made are all relevant in determining whether the defence of qualified privilege applies. [Emphasis added by Roscoe 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It has been held that parents have a recognized interest in communicating their honest concerns about the alleged mistreatment of students by teachers to the proper authorities. In </w:t>
      </w:r>
      <w:r>
        <w:rPr>
          <w:rFonts w:ascii="arial" w:eastAsia="arial" w:hAnsi="arial" w:cs="arial"/>
          <w:i/>
          <w:color w:val="000000"/>
          <w:sz w:val="20"/>
          <w:lang w:val="en-US" w:eastAsia="en-US" w:bidi="ar-SA"/>
        </w:rPr>
        <w:t>Gibbs v. Jalbert</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(1996), 18 B.C.L.R. (3d) 351</w:t>
        </w:r>
      </w:hyperlink>
      <w:r>
        <w:rPr>
          <w:rFonts w:ascii="arial" w:eastAsia="arial" w:hAnsi="arial" w:cs="arial"/>
          <w:color w:val="000000"/>
          <w:sz w:val="20"/>
          <w:lang w:val="en-US" w:eastAsia="en-US" w:bidi="ar-SA"/>
        </w:rPr>
        <w:t xml:space="preserve"> at para. 21, </w:t>
      </w:r>
      <w:hyperlink r:id="rId176" w:history="1">
        <w:r>
          <w:rPr>
            <w:rFonts w:ascii="arial" w:eastAsia="arial" w:hAnsi="arial" w:cs="arial"/>
            <w:i/>
            <w:color w:val="0077CC"/>
            <w:sz w:val="20"/>
            <w:u w:val="single"/>
            <w:shd w:val="clear" w:color="auto" w:fill="FFFFFF"/>
            <w:lang w:val="en-US" w:eastAsia="en-US" w:bidi="ar-SA"/>
          </w:rPr>
          <w:t>70 B.C.A.C. 302</w:t>
        </w:r>
      </w:hyperlink>
      <w:r>
        <w:rPr>
          <w:rFonts w:ascii="arial" w:eastAsia="arial" w:hAnsi="arial" w:cs="arial"/>
          <w:color w:val="000000"/>
          <w:sz w:val="20"/>
          <w:lang w:val="en-US" w:eastAsia="en-US" w:bidi="ar-SA"/>
        </w:rPr>
        <w:t xml:space="preserve"> (C.A.), Prowse J.A. for a unanimous B.C. Court of Appeal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disputed that members of a community have an interest in the integrity of the education system and the fitness to teach of those working within that system. More specifically, they have an interest in protecting their young people from mistreatment at the hands of their teachers. It is in accordance with that interest that parents and other community members are permitted to raise with the proper authorities their honestly held concerns about alleged mistreatment of students by teachers. Communications made within that context are properly regarded as communications made on an occasion of qualified privilege which are entitled to the protection of the privilege, unless defeated by express malice.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protection of the defence of qualified privilege can be lost in two ways, as explained by Cory J. in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paras. 79-80, </w:t>
      </w:r>
      <w:hyperlink r:id="rId177" w:history="1">
        <w:r>
          <w:rPr>
            <w:rFonts w:ascii="arial" w:eastAsia="arial" w:hAnsi="arial" w:cs="arial"/>
            <w:i/>
            <w:color w:val="0077CC"/>
            <w:sz w:val="20"/>
            <w:u w:val="single"/>
            <w:shd w:val="clear" w:color="auto" w:fill="FFFFFF"/>
            <w:lang w:val="en-US" w:eastAsia="en-US" w:bidi="ar-SA"/>
          </w:rPr>
          <w:t>126 D.L.R. (4th) 609</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occasion is shown to be privileged,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the defendant is presumed and the defendant is free to publish remarks which may be defamatory and untrue about the plaintiff. However, the privilege is not absolute. It may be defeated in two ways. The first arises if the dominant motive for publishing is actual or express malice. Malice is commonly understood as ill will toward someone, but it also relates to any indirect motive which conflicts with the sense of duty created by the occasion. Malice may be established by showing that the defendant either knew that he was not telling the truth, or was reckless in that regard.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qualified privilege may be defeated if the limits of the duty or interest have been exceeded. In other words, if the information communicated was not reasonably appropriate to the legitimate purposes of the occasion, the qualified privilege will be defeated. This was discussed at some length in </w:t>
      </w:r>
      <w:r>
        <w:rPr>
          <w:rFonts w:ascii="arial" w:eastAsia="arial" w:hAnsi="arial" w:cs="arial"/>
          <w:i/>
          <w:color w:val="000000"/>
          <w:sz w:val="20"/>
          <w:lang w:val="en-US" w:eastAsia="en-US" w:bidi="ar-SA"/>
        </w:rPr>
        <w:t>Hill, supra</w:t>
      </w:r>
      <w:r>
        <w:rPr>
          <w:rFonts w:ascii="arial" w:eastAsia="arial" w:hAnsi="arial" w:cs="arial"/>
          <w:color w:val="000000"/>
          <w:sz w:val="20"/>
          <w:lang w:val="en-US" w:eastAsia="en-US" w:bidi="ar-SA"/>
        </w:rPr>
        <w:t>, and there is no need to repeat it in these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 onus of proving malice to defeat the defence of qualified privilege rests on the plaintiff: see </w:t>
      </w:r>
      <w:r>
        <w:rPr>
          <w:rFonts w:ascii="arial" w:eastAsia="arial" w:hAnsi="arial" w:cs="arial"/>
          <w:i/>
          <w:color w:val="000000"/>
          <w:sz w:val="20"/>
          <w:lang w:val="en-US" w:eastAsia="en-US" w:bidi="ar-SA"/>
        </w:rPr>
        <w:t>Neptusky v. Craig</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xml:space="preserve"> at 60-63, </w:t>
      </w:r>
      <w:hyperlink r:id="rId178" w:history="1">
        <w:r>
          <w:rPr>
            <w:rFonts w:ascii="arial" w:eastAsia="arial" w:hAnsi="arial" w:cs="arial"/>
            <w:i/>
            <w:color w:val="0077CC"/>
            <w:sz w:val="20"/>
            <w:u w:val="single"/>
            <w:shd w:val="clear" w:color="auto" w:fill="FFFFFF"/>
            <w:lang w:val="en-US" w:eastAsia="en-US" w:bidi="ar-SA"/>
          </w:rPr>
          <w:t>28 D.L.R. (3d) 742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xml:space="preserve"> [1916-17] All E.R. 157 (H.L.) Lord Atkinson discusses the restrictions on persons making a communication on a privilege at page 173: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in my view, clearly establish that a person making a communication on a privileged occasion is not restricted to the use of such language merely as is reasonably necessary to protect the interest or discharge the duty which is the foundation of his privilege; but that, on the contrary, he will be protected, even though his language should be violent or excessively strong, if, having regard to all the circumstances of the case, he might have honestly and on reasonable grounds believed that what he wrote or said was true and necessary for the purpose of his vindication, though in fact it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Kirkpatrick J.A. discusses the elements of malice at paragraphs 30-34 of the reasons on appeal in </w:t>
      </w:r>
      <w:r>
        <w:rPr>
          <w:rFonts w:ascii="arial" w:eastAsia="arial" w:hAnsi="arial" w:cs="arial"/>
          <w:i/>
          <w:color w:val="000000"/>
          <w:sz w:val="20"/>
          <w:lang w:val="en-US" w:eastAsia="en-US" w:bidi="ar-SA"/>
        </w:rPr>
        <w:t>Cross</w:t>
      </w:r>
      <w:r>
        <w:rPr>
          <w:rFonts w:ascii="arial" w:eastAsia="arial" w:hAnsi="arial" w:cs="arial"/>
          <w:color w:val="000000"/>
          <w:sz w:val="20"/>
          <w:lang w:val="en-US" w:eastAsia="en-US" w:bidi="ar-SA"/>
        </w:rPr>
        <w:t>. She writes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ELEMENTS OF MALICE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defence of qualified privilege can be defeated by a finding of malice on the part of the defendant or by a finding that the limits of the privilege were exceeded. Malice in this sense is also called "express malice" or "malice in fact" to differentiate it from the legal malice assumed by the very publication of defamatory comments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looseleaf, 2nd ed. (Toronto: Carswell, 1999 at 16.2(1))).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defence of fair comment is also defeated by malice, and malice "for the purpose of defeating the defence of qualified privilege is the same as malice for the purpose of defeating the defence of fair comment." (</w:t>
      </w:r>
      <w:r>
        <w:rPr>
          <w:rFonts w:ascii="arial" w:eastAsia="arial" w:hAnsi="arial" w:cs="arial"/>
          <w:i/>
          <w:color w:val="000000"/>
          <w:sz w:val="20"/>
          <w:lang w:val="en-US" w:eastAsia="en-US" w:bidi="ar-SA"/>
        </w:rPr>
        <w:t>Creative Salmon Company Ltd. v. Staniford</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2009 BCCA 61</w:t>
        </w:r>
      </w:hyperlink>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307 D.L.R. (4th) 518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Creative Salmon</w:t>
      </w:r>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term "malice" is more expansive than the everyday meaning of a desire to harm another. Brown at 16.3(2) suggests the alternate language of "bad faith". This Court summarized the definition in Creative Salmon at para.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79, malice was defined to include "ill will" and "any indirect motive which conflicts with the sense of duty created by the occasion [in the case of qualified privilege]". The definition of malice stated by Mr. Justice Dickson in </w:t>
      </w:r>
      <w:r>
        <w:rPr>
          <w:rFonts w:ascii="arial" w:eastAsia="arial" w:hAnsi="arial" w:cs="arial"/>
          <w:i/>
          <w:color w:val="000000"/>
          <w:sz w:val="20"/>
          <w:lang w:val="en-US" w:eastAsia="en-US" w:bidi="ar-SA"/>
        </w:rPr>
        <w:t>Cherneskey</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[1979] 1 S.C.R. 1067</w:t>
        </w:r>
      </w:hyperlink>
      <w:r>
        <w:rPr>
          <w:rFonts w:ascii="arial" w:eastAsia="arial" w:hAnsi="arial" w:cs="arial"/>
          <w:color w:val="000000"/>
          <w:sz w:val="20"/>
          <w:lang w:val="en-US" w:eastAsia="en-US" w:bidi="ar-SA"/>
        </w:rPr>
        <w:t xml:space="preserve">, at 1099, and adopted by Mr. Justice LeBel in </w:t>
      </w:r>
      <w:r>
        <w:rPr>
          <w:rFonts w:ascii="arial" w:eastAsia="arial" w:hAnsi="arial" w:cs="arial"/>
          <w:i/>
          <w:color w:val="000000"/>
          <w:sz w:val="20"/>
          <w:lang w:val="en-US" w:eastAsia="en-US" w:bidi="ar-SA"/>
        </w:rPr>
        <w:t>WIC Radio</w:t>
      </w:r>
      <w:r>
        <w:rPr>
          <w:rFonts w:ascii="arial" w:eastAsia="arial" w:hAnsi="arial" w:cs="arial"/>
          <w:color w:val="000000"/>
          <w:sz w:val="20"/>
          <w:lang w:val="en-US" w:eastAsia="en-US" w:bidi="ar-SA"/>
        </w:rPr>
        <w:t xml:space="preserve"> at para. 102, includes "spite or ill will" and "any indirect motive or ulterior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Supreme Court of Canada summarized the law of malice and qualified privilege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126 D.L.R. (4th) 129</w:t>
        </w:r>
      </w:hyperlink>
      <w:r>
        <w:rPr>
          <w:rFonts w:ascii="arial" w:eastAsia="arial" w:hAnsi="arial" w:cs="arial"/>
          <w:color w:val="000000"/>
          <w:sz w:val="20"/>
          <w:lang w:val="en-US" w:eastAsia="en-US" w:bidi="ar-SA"/>
        </w:rPr>
        <w:t xml:space="preserve"> at para. 145: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Malice is commonly understood, in the popular sense, as spite or ill-will. However, it also includes, as Dickson J. (as he then was) pointed out in dissent in </w:t>
      </w:r>
      <w:r>
        <w:rPr>
          <w:rFonts w:ascii="arial" w:eastAsia="arial" w:hAnsi="arial" w:cs="arial"/>
          <w:i/>
          <w:color w:val="000000"/>
          <w:sz w:val="20"/>
          <w:lang w:val="en-US" w:eastAsia="en-US" w:bidi="ar-SA"/>
        </w:rPr>
        <w:t>Cherneskey, supra</w:t>
      </w:r>
      <w:r>
        <w:rPr>
          <w:rFonts w:ascii="arial" w:eastAsia="arial" w:hAnsi="arial" w:cs="arial"/>
          <w:color w:val="000000"/>
          <w:sz w:val="20"/>
          <w:lang w:val="en-US" w:eastAsia="en-US" w:bidi="ar-SA"/>
        </w:rPr>
        <w:t xml:space="preserve">, at p. 1099, "any indirect motive or ulterior purpose" that conflicts with the sense of duty or the mutual interest which the occasion created. See, also, </w:t>
      </w:r>
      <w:r>
        <w:rPr>
          <w:rFonts w:ascii="arial" w:eastAsia="arial" w:hAnsi="arial" w:cs="arial"/>
          <w:i/>
          <w:color w:val="000000"/>
          <w:sz w:val="20"/>
          <w:lang w:val="en-US" w:eastAsia="en-US" w:bidi="ar-SA"/>
        </w:rPr>
        <w:t>Taylor v. Despard</w:t>
      </w:r>
      <w:r>
        <w:rPr>
          <w:rFonts w:ascii="arial" w:eastAsia="arial" w:hAnsi="arial" w:cs="arial"/>
          <w:color w:val="000000"/>
          <w:sz w:val="20"/>
          <w:lang w:val="en-US" w:eastAsia="en-US" w:bidi="ar-SA"/>
        </w:rPr>
        <w:t xml:space="preserve">, [1956] O.R. 963 (C.A.). Malice may also be established by showing that the defendant spoke dishonestly, or in knowing or reckless disregard for the truth. See </w:t>
      </w:r>
      <w:r>
        <w:rPr>
          <w:rFonts w:ascii="arial" w:eastAsia="arial" w:hAnsi="arial" w:cs="arial"/>
          <w:i/>
          <w:color w:val="000000"/>
          <w:sz w:val="20"/>
          <w:lang w:val="en-US" w:eastAsia="en-US" w:bidi="ar-SA"/>
        </w:rPr>
        <w:t xml:space="preserve">McLoughlin, </w:t>
      </w:r>
      <w:hyperlink r:id="rId182" w:history="1">
        <w:r>
          <w:rPr>
            <w:rFonts w:ascii="arial" w:eastAsia="arial" w:hAnsi="arial" w:cs="arial"/>
            <w:i/>
            <w:color w:val="0077CC"/>
            <w:sz w:val="20"/>
            <w:u w:val="single"/>
            <w:shd w:val="clear" w:color="auto" w:fill="FFFFFF"/>
            <w:lang w:val="en-US" w:eastAsia="en-US" w:bidi="ar-SA"/>
          </w:rPr>
          <w:t>[1979] 2 S.C.R. 311</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pp. 323-24, and </w:t>
      </w:r>
      <w:r>
        <w:rPr>
          <w:rFonts w:ascii="arial" w:eastAsia="arial" w:hAnsi="arial" w:cs="arial"/>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at pp. 61-62.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xml:space="preserve"> (Toronto: Irwin Law, 2004) at 299, R.D. McConchie and D.A. Potts reduce this statement to a helpful framework for the categories under which a finding of malice can be made. A defendant is actuated by malice if he or she publishes the comment: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was false; or</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reckless indifference whether it is true or false; or</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dominant purpose of injuring the plaintiff because of spite or animosity; or</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Offending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two documents ("the offending documents") that give rise to the claim are entitled "Response to recent G. McVeigh Allegations" and "Recent G. McVeigh Correspondence." These two documents are reproduced in their entirety at Appendices 1 and 2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statement of claim, the plaintiff complains and alleges that the defendant defamed him by circulating these publications and by reading them aloud at a special general meeting of the Gillies Bay Improvement District on January 8, 2008, in the presence of 58 residents of Texada Island, with reckless disregard for the truth and without lawful justification or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amended statement of defence, the defendant denies the offending documents were defamatory or libellous of the plaintiff "in fact or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Paragraph 3 of the statement of claim identifies seven allegations in the documents that the plaintiff claims are defamatory. Paragraph 3 is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alleges that the following defamatory statements have caused injury to him by exposing him to hatred, contempt, ridicule and discouraged others from associating and dealing with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"Recent G. McVeigh Correspondence"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McVeigh shrugs off his personal attacks as merely his acerbic style that does not excuse his irresponsible accusations"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 9 letter to Chair claiming that J. Garvin violated Criminal Code with intent to defraud related to $1500 payment."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 10 letters to GBID attention J. Garvin accusing him of withholding a letter from N. Losito on structure of Health Protection Office."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fourteen individuals that we are aware of, at all levels of government have been written to by Mr. McVeigh as a 'concerned ratepayer' some several times and some were also threatened."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"Response to G. McVeigh allegations"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accusations that J. Garvin was instructing Operator to deliberately flood Mr. Diggin's driveway."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McVeigh sent a letter to the Secretary Administrator April 11 threatening legal action but providing no details on the incident."</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writing malicious fables about how a trustee is trying to poison Mrs. Diggin by intentionally altering water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Those seven statements either allege or imply that the plaintiff acted irresponsibly or improperly or maliciously in persistently advancing unfounded accusations of misconduct or unfounded allegations of impropriety on the part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opinion, the impugned words are defamatory. They would tend to lower the plaintiff's reputation in the eyes of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Gillies Bay Improvement District operates a drinking water system. It provides fire protection services. The District operates with a few part-time employees and with volunteers under the direction of a five person Board. The employees are paid. The Board is elected by the ratepayers of the district. Board members receive token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McVeigh moved to Texada Island after retiring as comptroller of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McVeigh developed an interest in the operation of water systems and in the activities of the Gillies Bay Improvement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McVeigh was elected to its Board in 2007, and following his election his fellow Board Trustees selected him as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McVeigh resigned from the Board in the spring of 2007. He resigned at a time when he was undergoing significant mental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Two events of some relevance to this proceeding occurred during Mr. McVeigh's tenure as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first event is that Mr. McVeigh concluded that at earlier times the District or its Trustees had committed criminal offences when dealing with a ratepayer who was involved in litigation with the District. There was no direct evidence received at the trial about what had occurred earlier. This event allegedly involved wrongdoing on the part of others who were not identified at nor involved in this litigation. Although it is not of direct relevance, Mr. McVeigh's account about what had occurred earlier left me highly sceptical that it involved any criminal misconduct. In arriving at his conclusion of criminality, Mr. McVeigh did not seek out or rely on professional advice. He drew that conclusion on his own. This event is of relevance only because Mr. McVeigh's conclusion that there had been criminal misconduct affected his later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other event is that on March 9, 2007, Mr. McVeigh, while Chairman of the District, wrote Dale Wall, Inspector of Municipalities in Victoria. He had copies of the letter sent or delivered to The Honourable Gordon Campbell, Premier, to Dave Murphy, Regional Director of the Powell River Regional District and to Texada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McVeigh wrote that he had performed a management audit of the District's business and that it is his firm belief the District is incapable of managing its own fiduciary responsibilities. He recommends that the Regional District take over the management of the Gillies Bay Improvement District and that a senior level auditor review his findings to ascertain whether "this warrants criminal or simply administrative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That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McVeigh explained that the criminal conduct to which he referred was the earlier event involving litigation with a ratepayer and the discovery that an employee, who was forced to resign, had charged the District for work that had not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claim that the District is incapable of managing its fiduciary responsibilities strikes me as being fantastic. The District's ratepayers number in the hundreds. There are many ratepayers from whom to select a Board of Trustees. The Gillies Bay witnesses that I heard are intelligent and capable individuals. In my opinion, the notion that the District is incapable of managing its fiduciary responsibilities is absurd.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Mr. McVeigh resigned, and until January 2008, Mr. McVeigh immersed himself in Board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McVeigh unsuccessfully attempted to become a District employee. He concluded that he should have been hired as a District employee and that his not being hired was because of improprieties. Appendix 6 is a document created and publicly circulated by Mr. McVeigh. It sets out some of his complaints in respect of not being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McVeigh identified a number of events or incidents or actions or decisions that he perceived involved criminality or misconduct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Board or on the part of one or more of its members or on the part of others having dealings with the District or its Board, including governmental supervisors and outside professionals having dealings with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McVeigh wrote letters and he sent e-mails about his concerns. He attended Board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McVeigh's communications insinuated or asserted that Board members or Board employees or those having professional contact with the District or its Board were acting negligently or incompetently or not carrying out their fiduciary or professional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By December 2007 and January 2008, Mr. McVeigh was using public mail outs to make some of his concerns and accusations known to the ratepayers of the Gillies Bay Improvement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pleads that the offending documents were published on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amended statement of defence pleads that the defendant was under a duty to protect his own reputation, and the reputation of fellow trustees and employees of the Gillies Bay Improvement District, and under a duty to protect the ongoing operation of the Gillies Bay Improvement District and the services it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decision to hold a public meeting on January 8, 2008, was made at the regular December Board Meeting of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board then had five members. One member was the plaintiff's spouse, Dorrit McVeigh. She did not support the resolution calling for a special meeting. The other four members were in favour of the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McWilliam's evidence at trial, the resolution to call the meeting, the published special general meeting agenda and the minutes of the meeting explain why the meeting was called and why the offending documents were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McWilliam testified that he was first elected to the Board at the District's Annual General Meeting held in April 2007. Trustee Manfred Burandt, Trustee Mave Leclaire, and Trustee Dorrit McVeigh were elected to the Board at the same time. Trustee John Garvin was a continuing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McWilliam testified that between April 2007 and December 2007 Mr. McVeigh wrote a number of letters and e-mails that made a number of accusations against members of the Board, other than Trustee Dorrit McVeigh. Mr. McVeigh made accusations against others in respect of their dealing with the Gillies Bay Improvement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McWilliam testified that the Board addressed four of the plaintiff's accusatory letters at its December meeting. Board members were also concerned about the content of Mr. McVeigh's public mail outs to the ratepayers of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McWilliam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felt we needed to go back to the ratepayers to see if we continued to have their confidence and look for their suggestions in terms of how we deal with the issues we are confronted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McWilliam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based on the correspondence that Mr. McVeigh was generating, and which was becoming public, we felt that the -- and individually as trustees we were having people come up to us expressing concerns, we felt that we needed to get it out in the public to decide -- to determine if the ratepayers still had confidence in the Board, and if they didn't at -- speaking for myself, I was quite prepared to resign.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December 11 Board resolution that led to the special general was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Moved by Manfred Burandt that the Board proceed to arrange for a Special General Meeting to determine if the community continues to have confidence in the current Board. Adopted after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agenda that was prepared for the special public meeting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Agenda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purpose is to address Mr. McVeigh's ongoing complaints to the Board.</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list of complaints.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 to recent correspondence.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 options and seek community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minutes of the special general meeting are at Appendix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minutes record that the chair advised the ratepayers in attendance that they could not vote in general meetings, but that the Board would be seeking direction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chair advised the ratepayers that they would not be dealing with every piece of correspondence that had been received but with the more recent ones "which are becoming more hostile." The chair told the ratepayers that they had made attempts to deal with Mr. McVeigh's correspondence at regular meetings up to the December meeting, but due to the increase in volume felt a special public meeting was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minutes record that the chair said that the correspondence that would be addressed at the meeting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 20/07, Dec. 04/07 letters to the Chair regarding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reckless disregard for the safety of a person; Dec. 04/07 letter to the Chair indicating that G. McVeigh has written to the Minister of Municipalities; and Sep. 07, letter stating that we had violated the Income Tax Act. Also a Dec. 09/07 letter accusing Trustee Garvin of fraud relating to the Anderson consultants; a Dec. 01/07. Open letter to ratepayers; Dec.12/07, e-mail to the Water Officer; Dec. 12/07 letter to the Minister of National Revenue and the Mail-Out of Jan. 02/08.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meeting was advised that the trustees believed that they were left with four options, those being that of their resignation, or approaching Powell River Regional Board to take over, or seeking legal or political advice, or carrying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minutes show that after "lengthy discussion of the options," this resolution was passed by the trustees: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Motion by Trustee Garvin, second by Trustee McWilliams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will carry on until the AGM but until then, they will only receive, file and acknowledge any further correspondence from Mr. McVeigh. Parties that are copied on his correspondence will be advised of the reason of our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correspondence and documentation referred to in the minutes of the meeting was created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McVeigh testified that the documents he created were not defamatory, partly because of the niceties of the wording that he chose to use. Mr. McVeigh said he did not make accusations, but posed questions and advanced theories.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By way of example, Mr. McVeigh says that his letter of October 12, 2007, which is at Appendix 3 to these reasons, makes no accusations and does not defame Mr. Garvin. He says it poses "theories".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Theory number 3 in the October 12, 2007 letter poses a scenario whereby Mr. Garvin acted to expose Ms. Diggon (the trial evidence refers to her surname as both Diggin and Diggon) to the risk of serious bodily harm. The letter is written to the Board to Mr. McWilliam's attention. Mr. McVeigh writes: "I caution you once again, that you have a fiduciary, ethical and legal requirements (sic) associated with your position as Chair". He writes "I suggest to you that this matter warrants an emergency board meeting and a review by the RCMP". The only reference by Mr. McVeigh in the letter to criminality is in respect to theory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McVeigh dismissed the significance of the theory at trial, saying it was no more than a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xml:space="preserve"> at para. 119, Chief Justice McLachlin refers to the "repetition rule". She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"repetition rule" holds that repeating a libel has the same legal consequences as originating it. This rule reflects the law's concern that one should not be able to freely publish a scurrilous libel simply by purporting to attribute the allegation to someone else. The law will not protect the defendant who is "willing to wound, and yet afraid to strike": "Truth" (N.Z.) Ltd. v. Holloway, [1960] 1 W.L.R. 997 (P.C.), at page 1001 per Lord Denning.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his letters of October 12, 2007, and November 20, 2007, Mr. McVeigh sought to do something quite similar. He insinuated that Mr. Garvin had committed a serious criminal offence, while attempting to avoid responsibility or legal liability by not directly accusing him of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of interest that in paragraph 4 of his statement of claim, Mr. McVeigh alleges that "the main thesis" of the offending documents is "to lead an uninformed reader or listener to the conclusion that he is a man of moral turpitude, a man prone to falsely accuse others of illegal activities, a man prone to uttering threats and spreading malicious fables, a man to be shunned by the community and to be excluded from the business of the District". I agree with the plaintiff that the inferences that a reasonable person would draw from statements or publications are relevant when determining whether words are defamatory. But that consideration is as applicable to the plaintiff's publications as it is to the offending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opinion, a reasonable person reading the letter of October 12, 2007 would conclude that Mr. McVeigh was alleging that Mr. Garvin may have committed a serious criminal act. The letter would tend to lower Mr. Garvin's reputation in the eyes of a reasonable person. I am of the opinion that the letter is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Appendix 6 is a photographic reproduction of Mr. McVeigh's December 10, 2007 mail out to the ratepayers of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trial, Mr. McVeigh minimized the impact of its accusations, by asserting that the document poses questions and advances facts but does not defame. In my opinion, any reasonable person reading the document would conclude that Mr. McVeigh was alleging that a trustee had used his position to secure special privileges for a person, and it insinuates, albeit by proposing questions, that the trustees had violated the trust of the ratepayers and that they are spending the ratepayers' money inappropriately.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mail out of January 2, 2008, is reproduced at Appendix 7. It directly asserts that trustees have committed waste and breach of fiduciary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Appendix 8 is dated January 8, 2008. It is a document created by the plaintiff. It is addressed to the Gillies Bay Improvement District taxpayers. It says that Mr. McVeigh is continuing to pursue his goal of attaining "ethical and responsible Trustees performing their fiduciary duties." The only inference that can be drawn from that statement is that the District did not have ethical or responsible Trustees performing their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Appendix 8 concludes with this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share my beliefs, join me; if not, I will stand alone, and echo the words of Sir Edmund Burke: The only thing necessary for the triumph of evil is for good men to do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document does not explain who or what is evil, but the document says that it is setting out what Mr. McVeigh demands of his elected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shows that during 2007 Mr. McVeigh made numerous allegations or insinuations of misconduct on the part of the defendant and on the part of other trustees of the Board and on the part of others having dealings with the District, and that by January 2008 Mr. McVeigh was making public accusations.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What was at issue was whether the Board continued to enjoy the support of the ratepayers of the District. It was the plaintiff himself who had raised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am of the opinion that by January 8, 2008, Mr. McWilliam had a legal, social and moral interest in having matters of concern addressed by the ratepayers at a special general meeting and in seeking direction whether he and others of the Board should resign. The ratepayers attending the meeting had an obvious corresponding duty or interest in receiving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of the opinion that the defence of qualified privilege is of direct application to the offending documents, to the communications that the defendant is alleged to have made at the January, 8, 2008 meeting or that have been recorded in the minutes of the meeting and, in particular, to the impugned statements particularised at paragraph 3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paragraph 24 of these reasons I referred to the observations of Lord Atkinson outlining the breadth of the privilege. Lord Atkinson writes that a privileged occasion will protect the defendant if, having regard to all the circumstances of the case, "he might have honestly and on reasonable grounds believed that what he wrote or said was true and necessary for the purpose of his vindication, though in fact it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Corey J. notes in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that the privilege to which a defendant is entitled may be defeated in two ways. The first arises if the predominant motive for publishing is actual or express malice. The second is that the qualified privilege may be defeated if the limits of the duty or interest have been exceeded.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submits that qualified privilege is not available to the defendant for both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Madam Justice Kirkpatrick discusses malice in </w:t>
      </w:r>
      <w:r>
        <w:rPr>
          <w:rFonts w:ascii="arial" w:eastAsia="arial" w:hAnsi="arial" w:cs="arial"/>
          <w:i/>
          <w:color w:val="000000"/>
          <w:sz w:val="20"/>
          <w:lang w:val="en-US" w:eastAsia="en-US" w:bidi="ar-SA"/>
        </w:rPr>
        <w:t>Cross.</w:t>
      </w:r>
      <w:r>
        <w:rPr>
          <w:rFonts w:ascii="arial" w:eastAsia="arial" w:hAnsi="arial" w:cs="arial"/>
          <w:color w:val="000000"/>
          <w:sz w:val="20"/>
          <w:lang w:val="en-US" w:eastAsia="en-US" w:bidi="ar-SA"/>
        </w:rPr>
        <w:t xml:space="preserve"> She writes that the malice that defeats the defence of qualified privilege includes "ill will" and "any indirect motive which conflicts with the sense of duty created by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At paragraph 34 of </w:t>
      </w:r>
      <w:r>
        <w:rPr>
          <w:rFonts w:ascii="arial" w:eastAsia="arial" w:hAnsi="arial" w:cs="arial"/>
          <w:i/>
          <w:color w:val="000000"/>
          <w:sz w:val="20"/>
          <w:lang w:val="en-US" w:eastAsia="en-US" w:bidi="ar-SA"/>
        </w:rPr>
        <w:t>Cross,</w:t>
      </w:r>
      <w:r>
        <w:rPr>
          <w:rFonts w:ascii="arial" w:eastAsia="arial" w:hAnsi="arial" w:cs="arial"/>
          <w:color w:val="000000"/>
          <w:sz w:val="20"/>
          <w:lang w:val="en-US" w:eastAsia="en-US" w:bidi="ar-SA"/>
        </w:rPr>
        <w:t xml:space="preserve"> Madam Justice Kirkpatrick says that a helpful framework for the categories under which a finding of malice can be made is that the defendant is actuated by malice if he publishes the comment knowing that it is false, or with reckless indifference whether it is true of false, or for the dominant purpose of injuring the plaintiff because of spite or animosity or some other dominant purpose which is improper or indirect, or also, if the occasion is privileged, for a dominant purpose not related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opinion, the contents of the offending documents and the impugned statements are directly relevant, in their entirety, to the occasion of qualified privilege. I am of the opinion that a review of those documents and statements leads to the conclusion that they were not published for a dominant purpose not related to the occasion and that the limits of the defendant's duty or interest was not exceeded.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has testified that he believed that the whole of the contents of the offending documents to be true, and that he acted without animosity.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Some of the plaintiff's letters and communications were patronizing and demeaning and otherwise offensive. Notwithstanding that, in my opinion, the plaintiff has not shown that the defendant responded out of spite or malice, or for an improper or injurious purpose. I am satisfied that the dominant purpose for the defendant publishing the offending documents was to address issues raised by the plaintiff himself. The plaintiff made public allegations of misconduct and impropriety. The defendant was entitled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submits that the defendant knew that impugned statements were false, or published the offending documents with reckless indifference as to whether the impugned statements were true of false. A focus of the plaintiff's submission on this issue was his analysis of the content of the impugned statement at paragraph 3(d) of 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offending documents were created by the defendant in collaboration with three of his fellow trustees. The statement at subparagraph (d) contains information that the defendant received from Trustee Burandt. The defendant testified that he believed that the information given him was true. In my view, the defendant was reasonably entitled to rely on information he received from his fellow trustees, including Trustee Burandt, and that in so doing he was not acting with reckless indifference as to whether the information was true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refer to specifics of other evidence in these reasons for judgment under the heading "Justification" that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am of the opinion that the plaintiff has not shown that the defendant published defamatory statements knowing they were false or with reckless indifference as to their truth or falsity.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find that the defendant believed that the impugned statements set out in paragraph 3 of the statement of claim were true, and that the defendant believed that what he wrote or said was true and necessary for the purposes of his vindication and for the vindication of fellow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claims the right in a free society to publicly criticize elected officials and public employees and to publicly accuse them of serious improprieties. In my opinion, the defendant had the legal right to a privileged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of the opinion that the plaintiff's suit must fail for the reason that the publications of which he complains were made without malice on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will refer to each of the 7 impugned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impugned statement contained within paragraph 3(b) of the statement of claim relates to the statement that Mr. McVeigh's December 9, 2007 letter claims that Trustee Garvin violated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with intent to defraud. The letter is reproduced at Appendix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that letter, Mr. McVeigh asserts that in his opinion Trustee Garvin would be in violation of s. 336 of the </w:t>
      </w:r>
      <w:r>
        <w:rPr>
          <w:rFonts w:ascii="arial" w:eastAsia="arial" w:hAnsi="arial" w:cs="arial"/>
          <w:i/>
          <w:color w:val="000000"/>
          <w:sz w:val="20"/>
          <w:lang w:val="en-US" w:eastAsia="en-US" w:bidi="ar-SA"/>
        </w:rPr>
        <w:t>Canadian Criminal Code</w:t>
      </w:r>
      <w:r>
        <w:rPr>
          <w:rFonts w:ascii="arial" w:eastAsia="arial" w:hAnsi="arial" w:cs="arial"/>
          <w:color w:val="000000"/>
          <w:sz w:val="20"/>
          <w:lang w:val="en-US" w:eastAsia="en-US" w:bidi="ar-SA"/>
        </w:rPr>
        <w:t xml:space="preserve"> if three conditions precedent were met. Mr. McVeigh then asserts that the first, that Trustee Garvin was a trustee of funds was self evident, that the second, that Trustee Garvin was not authorized by the trust (Board) appears "to be satisfied" and that in respect of the third, there is "arguably sufficient evidence of his intent to defraud.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This $1,500 was expended by the Gillies Bay Improvement District following a resolution passed by its Board on April 3, 2007,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Moved by Jim Mason to get Douglas Anderson $1,500 ASAP to initiate a planning process for meeting Coastal Water Health's July 2, 2007, objectives.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McVeigh's allegation that Trustee Garvin unilaterally spent these funds without authorization from the Board is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McVeigh testified that when he wrote the December 9, 2007 letter he was not aware of the resolution of April 3, 2007. Mr. McVeigh said this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wasn't allowed access to any information. I wasn't allowed access to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McVeigh was not entitled to insinuate that an elected official committed a criminal breach of trust without a factual basis for the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McVeigh submits that his letter did no more than say that there was "arguably sufficient evidence of his intent to defraud."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am of the same view as was Mr. Justice MacFarlane in </w:t>
      </w:r>
      <w:r>
        <w:rPr>
          <w:rFonts w:ascii="arial" w:eastAsia="arial" w:hAnsi="arial" w:cs="arial"/>
          <w:i/>
          <w:color w:val="000000"/>
          <w:sz w:val="20"/>
          <w:lang w:val="en-US" w:eastAsia="en-US" w:bidi="ar-SA"/>
        </w:rPr>
        <w:t>Hare</w:t>
      </w:r>
      <w:r>
        <w:rPr>
          <w:rFonts w:ascii="arial" w:eastAsia="arial" w:hAnsi="arial" w:cs="arial"/>
          <w:color w:val="000000"/>
          <w:sz w:val="20"/>
          <w:lang w:val="en-US" w:eastAsia="en-US" w:bidi="ar-SA"/>
        </w:rPr>
        <w:t xml:space="preserve"> to which I referred at paragraphs 18 and 19 of these reasons. With his letter Mr. McVeigh intended to convey the false impression that Trustee Garvin had committed a criminal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my opinion, the statement by the defendant that Mr. McVeigh, in his December 9, 2007 letter, claimed that Mr. Garvin had violated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with intent to defraud relating to a $1,500 payment is substantially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Paragraph 3(c) refers to a December 10, 2007, letter written by the plaintiff. It is photographically reproduced at Appendix 5. This letter accuses Mr. Garvin and/or his wife of improperly withholding a letter from Mr. McVeigh.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McVeigh explained that he believed that when Mr. Losito provided him with a copy of a letter Mr. Losito claimed to have sent earlier, that Mr. Losito was lying and that he had not sent a letter. Mr. McVeigh said that in order to obtain confirmation or evidence that Mr. Losito had sent no such letter, he wrote Trustee Garvin accusing Trustee Garvin and/or his wife, who was the Secretary Administrator, of withholding the letter from him. Mr. McVeigh explained that he anticipated that Mr. Garvin would deny that there was any such letter, and that Mr. McVeigh would then have evidence showing that Mr. Losito had misled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This was a completely inappropriate manner in which to address the issue. But of relevance to this suit is that the sting of the libel is true. Mr. McVeigh did make a false allegation that a letter was deliberately withheld from him by a District official. That Mr. McVeigh said it was the Chair or the Secretary Administrator who had withheld the letter and not specifically the Chair is a detail of no consequence to the sting of what was said. Mr. McWilliam's statement is substantially true. Mr. McVeigh conceded at trial that he might have better addressed this issue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Paragraphs 3(e) and 3(g) refer to Mr. McVeigh's accusation that Mr. Garvin was instructing the water operator to deliberately flood Mr.Diggin's driveway, and writing malicious fables about how a trustee is trying to poison Mr. and Mrs. Diggin by intentionally altering water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These two subparagraphs arise from Mr. McVeigh's letter of October 12, 2007, which is at Appendix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discussed the question as to whether Mr. McVeigh makes accusations at paragraphs 70 to 76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McVeigh submits that theory 3 does not contain an allegation that a trustee was trying to poison Mrs. Diggin, nor does it contain an allegation that a trustee intentionally altering water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McVeigh points out that the letter does not use the word poison nor does it allege that Mr. Garvin introduced any substance into the water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first definition of the noun poison in the </w:t>
      </w:r>
      <w:r>
        <w:rPr>
          <w:rFonts w:ascii="arial" w:eastAsia="arial" w:hAnsi="arial" w:cs="arial"/>
          <w:i/>
          <w:color w:val="000000"/>
          <w:sz w:val="20"/>
          <w:lang w:val="en-US" w:eastAsia="en-US" w:bidi="ar-SA"/>
        </w:rPr>
        <w:t>Concise Oxford Dictionary</w:t>
      </w:r>
      <w:r>
        <w:rPr>
          <w:rFonts w:ascii="arial" w:eastAsia="arial" w:hAnsi="arial" w:cs="arial"/>
          <w:color w:val="000000"/>
          <w:sz w:val="20"/>
          <w:lang w:val="en-US" w:eastAsia="en-US" w:bidi="ar-SA"/>
        </w:rPr>
        <w:t xml:space="preserve"> is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substance that when introduced into or absorbed by a living organism causes death or injury, esp. one that kills by rapid action even in a small quantity.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definition of the verb poison is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Administer poison to (a person or animal).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McVeigh's theory was that Mr. Garvin's actions would result in "the presence of deadly e-choli bacteria" in the Diggin water supply remaining undetected. He suggests that would be pursuant to Mr. Garvin's "plan to strike back at Mr. Diggin and his wife." Mr. McVeigh said she was "most at risk from poorly treated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allegation by Mr. McWilliam that this was "by intentionally altering water results" refers to Mr. McVeigh's theory that Mr. Garvin's instructions as to how water samples were to be taken would result in false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McVeigh agrees that e-coli bacteria in a domestic water supply is harmful and can cause injury or death. It is a poison.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McVeigh had no evidence to support his theory that Mr. Garvin had the intent or did anything in order to harm the Diggins. His theory is complete speculation. It is a myth or a fable. It is malicious.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am of the opinion that the defendant's allegation set out in 3(d) and 3(9) are substantially true. The sting of what Mr. McWilliam said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Paragraph 3(a) relates to Mr. McWilliam's assertion that Mr. McVeigh was making "irresponsible accusations." That statement is undoubtedly true. For example, Mr. McVeigh did not believe Trustee Garvin or the secretary administrator was withholding mail from him and his accusations that they were was irresponsible. The "theory" involving the Diggins was an irresponsible insinuation or accusation of criminal conduct. Mr. McVeigh had no evidence to support it. The accusation that Mr. Garvin spent $1500 of District funds without authorization was irresponsible.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allegation in paragraph 3(f) refers to Mr. McVeigh's letter of April 11, 2007. A copy of it is at Appendix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letter alleges a breach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but it provides no details of how the District is in breach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McVeigh insists that this letter was sent to the District and not to Secretary Administrator Monica Garvin, and that the content of the letter refers to the District and not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This letter is addressed to the District but it is directed to the Secretary Administrator, Monica Garvin. It says "When I was Chair of the District I advised you to familiarize yourself ..." The letter says "... it is your job to keep the Trustees informed." I am satisfied that this letter is really a letter to Ms. Garvin.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letter concludes with a "caution". "Mr. Hull is to suffer no repercussions". Mr. McVeigh writes: "... should this occur I am positive that the District would fall afoul of the Director of Employment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my opinion, the letter does contain a threat of legal action, and that is so whether it was intended for Ms. Garvin or the District. Mr. McVeigh wishes to make it clear ("I am positive") that he will initiate a complaint without saying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Mr. McVeigh did not disclose why the District was not in compliance with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He chose to withhold the reason for his allegation. He explained that the reason he did not identify the reason was because he wanted the District to find things out for themselves. It appears that this issue relates to $54 due to Mr. Hull for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Had Mr. McVeigh disclosed what the issue was, the Board could have considered the issue before it did. The Board approved payment of the claim once it learned of it. What Mr. McWilliam refers to in statement 3(f) is that Mr. McVeigh continued to maintain the District was in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even though he knew the Board did not know why Mr. McVeigh was claiming that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allegation at 3(f) is substantially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Finally, in paragraph 3(d), Mr. McVeigh complains that the defendant's assertion that "at least 14 individuals that we are aware of, at all levels of government, have been written to by Mr. McVeigh as a 'concerned ratepayer' some several times and some were also threatened" is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have already commented that Mr. McWilliam believed this to be true because he received the information from Trustee Burandt. In respect of the defence of justification, however, the issue is not whether the defendant believed this to be true but whether it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Paragraph 3(d) of the statement of claim is an excerpt of part of a larger statement within the offending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can be seen at the conclusion of Appendix 2, the actual statement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least 14 individuals that we are aware of, at all levels of government, have been written to by Mr. McVeigh as a 'concerned ratepayer'. Some several times, and some were also threatened:" Grant Campbell, MHO Engineer; Alan Hampshire, McElhanney Consulting Services; Nick Lositio, Regional Director, Health Protection; Dan Glover, DWO, Vancouver Coastal Health: RCMP: WorksafeBC; Micheal Marson, Manager of Community Services; Don Sutherland, Director of Community Services; Dale Wall, Inspector of Municipalities; Ida Chong, Minister of Community Services; Premier Gordon Campbell; BC Ombudsman; Gordon Connor, Minister of National Revenue; Canada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 fair reading of the document is that Mr. McWilliam's reference to 14 individuals is a reference to the itemized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McVeigh submits that he did not write 14 individuals "at all levels of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For example, he submits that Mr. Hampshire was a private engineer and not a governmental official. However Mr. Hampshire's involvement was as an engineer doing work for the municipality, and the statement identifies him as being with McElhanney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McVeigh says he did not write 14 persons. The list refers to 13 persons or institutions such as the RCMP. The list is not complete. For example, Mr. McVeigh wrote Frances Ladret, Administrator of the Powell River Regional District, and he had dealings with more than one member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list is not without error. Mr. McVeigh did not write Mr. Michael Marson, Manager of Community Services. Mr. McVeigh wrote another person in Mr. Marson's office and it was Mr. Michael Marson who replied.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Not everybody on the list was written. Some persons received other communications including copies of letters and e-mails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Hare</w:t>
      </w:r>
      <w:r>
        <w:rPr>
          <w:rFonts w:ascii="arial" w:eastAsia="arial" w:hAnsi="arial" w:cs="arial"/>
          <w:color w:val="000000"/>
          <w:sz w:val="20"/>
          <w:lang w:val="en-US" w:eastAsia="en-US" w:bidi="ar-SA"/>
        </w:rPr>
        <w:t>, Mr. Justice Macfarlane refers to the defence of substantial justification. He notes that if a defendant succeeds in proving that "the main charge or gist of the libel" is true, he need not justify statements or comments which do not add to the sting of the libel or introduce any matter by itself actionable.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sufficient if the substance of the libellous statement be justified; it is unnecessary to repeat every word which might have been the subject of the original comment. As much must be justified as meets the sting of the charge and if anything be contained in the charge which does not add to the sting of it, that need not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McVeigh submits that for the defence of justification to apply, the exact details of an offending statement must be shown to be true. He submits, for example, that it must be shown that 14 officials were contacted. He submits that the statement is not justified unless its exact details have been proven. That is not the law. There is no such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McWilliam's statement was that Mr. McVeigh contacted a number of individuals, at all levels of government, some several times and that he threatened some. The gist or sting of the defamation within 3(d) is that Mr. McVeigh had become a nuisance by persistently writing individuals at all levels of government, threatening some. I am of the opinion that that is substantially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It is of no consequence whether Premier Campbell or Minister O'Connor received copies of letters or letters addressed to them or whether 12 or 14 official were contacted. Mr. McWilliam did justify as much as was required "to meet the sting of the charge", and what was not justified is a matter of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am of the opinion that Mr. McWilliam's statement at 3(d) is substantially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am of the opinion that the defamatory statements set out in paragraph 3 of the statement of claim have been proven to be substantially true and that the defendant has made out the defence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This is a second reason why the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Unless there is some reason to speak to costs, the defendant is entitled to his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S.J. SHABBITS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Response to recent G. McVeigh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November 20 letter to Chair re: corrections to McVeigh Letter of October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Provides two corrections regarding Boil Water advisory but does not withdraw his accusations that J. Garvin was instructing Operator to deliberately flood Mr. Diggon's driveway -- which was the issue that Board took exception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December 4 letter to Chair with questions re: new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Why on December 2nd when they appeared at the Chlorinator did McVeighs see no evidence that the new operator is following instructions to maintain free Chlorine of .2 ppm at ends of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The .2 ppm is a target. The Operator checks ends of lines regularly. We have expended considerable money to install bleeders at ends of lines to improve residual chlorine levels without over chlorinating other parts of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Why on December 2nd did the Operator not monitor injector ports for leaks as per engineer's sign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The operator regularly checks for leakage but has determined that this can be done without confined space entry by observing through peep hole in the floor which would show any evidence of leakage.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Has Operator been instructed to take representative samples at end of lines for bacterial water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This was part of new Operator's orientation.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New Operator's demeanour. Was he instructed to not answer Trustee McVeigh's questions? Why did Operator not give Trustee McVeigh his emergency telephone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While it seems very inappropriate for an unsuccessful candidate for the position to make these type of accusations we will respond to keep the record straight. All Trustees agreed that direction to contract employees would be through the Chair. This was agreed to after an incident in May when the McVeighs got into a controversy with the previous operator. The Operator is supplied with a GBID cell phone and has requested contact be made on that phone so he can manage his personal life. It was a reasonable request and individual Trustees have no need for his personal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December 4th letter concerning a September 22nd letter he had sent to the Inspector of Municipalities.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violation of Employment Standards Act re: Dave Hull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Mr. McVeigh sent a letter to the Secretary Administrator April 11th (before the AGM) threatening legal action but providing no details on the incident. At the October Board meeting Mr. McVeigh raised the issue that there were violations of the Employment Standards Act, and tabled a copy of his April 11th letter. That letter did not explain the issue, and a search of the files wasn't helpful. At the November Board meeting when we requested details the Board received an explanation and passed a motion to approve a $54 payment for overtime. This was done, but obviously not fast enough for Mr. McVeigh.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Post WorksafeBC Inspection Report in a conspicuous place in the Chlorinator until compliance has been achieved. Provide a record of the daily call-ins, and familiarize yourselves and new Operator with WorksafeBC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Copies of the inspection Report were provided to the Operator at the time, and to the new Operator. We are fully complying with the recommendations so fail to see what would be benefit of posting a copy in the Chlorinator.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WorksafeBC Officer indicated during his visit that if the GBID cell phone was used consistently for call-ins that there would be an adequate record of contact. Fail to see how more paperwork (a paper log) is going to be of any benefit, but the Operator is willing to maintain a log at the Chlorinator if the Board direct and approve the additional time. The current Operator, who also operates the Van Anda system, is very familiar with WorksafeBC regulations related to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Must obtain Highways permits for any work in road right-of-ways, except for emergencies.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GBID is currently doing this. Have a good relationship with Highways representatives in Powell River. The only work conducted without a Highways permit since the AGM was an emergency repair on Gillies Bay Road. We are also working with Highways on a Master Works Agreement to expedite future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Violation of Income Tax Act and need to issue T4s for 2007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This demand was made at December meeting. We requested Leslie Goreski, who GBID has contracted to update our accounts for year end since we don't currently have a Financial Administrator (due to Mr. McVeigh's threats of legal action), to investigate the need for GBID to issue T4s. Her research indicates that we don't have to issue T4s for contract employees. However, given Mr. McVeigh's letter to the Minister of National Revenue we will research further. In any event there is no requirement to issue T4s until the end of February. How are we in violation of anything when we still have time to comply if it proves necessary? Further, if this is a requirement perhaps Mr. McVeigh can explain why he didn't make similar arrangements for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December 9th letter re: Anderson consulting payment and accuses J. Garvin of fraud related to that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Not everyone is comfortable with paperwork, and John Garvin has on several occasions advised the Board verbally of what advice Mr. Anderson provided. However, based on Trustee McVeigh's demands that he prepare a report outlining Mr. Anderson's initial consultation the Board of Trustees requested that he prepare a written report. That Report will be tabled at the Special General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December 10th letter attention J. Garvin re: Nick Losito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Mr. Garvin does not recall receiving the March 5th letter from Mr. Losito, and there does not appear to be a copy in the file. However, the letter was not a personal one. It was addressed to the Chair and deals with information that was requested for the Improvement District. The information would have been used by the Improvement District and GBID doesn't formally give former members of the Board copies of correspondence that deal with ongoing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December 10th Open letter to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This letter is very close to slander. It contains personal attacks on Trustees. Some people in the community may feel Mr. McVeigh is the best educated candidate for the Water System Operator. However, in the process of employee selection confidence in the person and his ability to do the job play as great or greater role. Four of the Trustees on the Board do not have confidence in Mr. McVeigh's abilities. He is not an Operator for any Improvement District, nor has he ever been anything other than an Assistant Operator. The Board's lack of confidence relates to actions such as writing malicious fables about how a Trustee is trying to poison Mrs. Diggon by intentionally altering water results. This was an embarrassment to two of our ratepayers as well as yet another attack on a Trustee. GBID now has a well experienced Operator who works closely with DWO instead of attacking him. The Board are also very concerned about Trustee McVeigh's efforts to get her husband hired as Operator. She has breached in-camera confidentiality. The Manual for Improvement Districts states that Trustees should not use their position to secure special privileges, favours, or exemptions for themselves or for any other person. Trustee McVeigh breached this by using her influence to try to have her husband hired as Operator as evidenced by the community mail-out of December 10, 2007 showing Candidate A&amp;B. This notice to Ratepayers contained a written public accusation of impropriety against another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December 25th letter to Minister of National Revenue (cc. Canada Revenue Agency, GBID)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Mr. McVeigh writes "With a hubris reminiscent of hapless children in Lord of the Flies the GBID Trustees refused to entertain my motion". Actually, at the December meeting the Board agreed to call a special general meeting to address the flood of correspondence from Mr. McVeigh. We also instructed the accountant that we have on contract to research what our requirements are to issue T4s to contract employees. Mr. McVeigh obviously could not wait to deal with this issue on January 8th.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January 2nd "As The Water Flows" mail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Mr. McVeigh dredges up a number of issues that he and/or Trustee McVeigh had already raised at Board meetings. Unfortunately those ratepayers who were not in attendance at previous meetings are being given a very one-sided story. In the interest of providing a public record with all the information the following is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McVeigh alleges that the previous Board, after his resignation for health reasons, held a series of secret meetings. The Board was simply following the precedent established by G. McVeigh as Chair for calling meetings. Further, the Improvement District Manual establishes the procedure for calling meetings and the Board was in compliance. All of the issues that Mr. McVeigh takes exception to at those "secret" meetings were Boar decisions where the pros and cons were thoroughly discussed. Mr. McVeigh and Trustee McVeigh have also raised these same items with the current Board (e.g. May 8th regular meeting). The Board has repeatedly stated it does not intend to continue revisiting old issues. We want to move beyond past grievances, Mr. McVeigh and Trustee McVeigh do not appear to be able to do so. Mr. McVeigh attacks the previous Board for cancelling the April GBID meeting. It was cancelled due to a lack of quorum, as provided for in the Improvement District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McVeigh alleges that the current Chair ignored the Board's May 8th motion concerning remuneration for the Secretary and Financial Administrator positions. Mr. McWilliam met immediately after the May 8th meeting with Mrs. Garvin, but Mrs. Timms was on holidays. On her return the Chair met with both ladies to advise them of Board's decision. They raised a number of points that the Board was not aware of when it passed the May 8th motion. The Chair agreed that in the interests of natural justice they should have an opportunity to present their case. He brought the issue back to an In-camera meeting on June 12th. The May 8th motion did not specify an implementation date so Mrs. Garvin and Timms were allowed to continue at their existing rate until the follow-up June 12th meeting. Should also note that the May 8th motion was moved by Trustee Burandt, not Trustee McVeigh.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McVeigh states that the Chair hired ex-Trustee Woods to do work at the Medical Clinic without Board approval. Trustee McVeigh has raised this issue at previous Board meetings and the Chair apologized to the Board for not calling a special Board meeting to seek direction. It was due to the urgency of the work and lack of experience as Chair at that time (April 29th). Mr. Woods was a certified Operator with many years of experience on the GBID water system and John Whitehead was very new and needed assistance. A contractor was arriving that day to begin the renovations to the Medical Clinic and the water service needed to be relocated. Mr. Hull was not working for the Improvement District at that point. A motion to appoint him was approved at the May 8th Board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McVeigh raises the discussion of the end of line free chlorine residuals being maintained at .2 ppm that occurred at the September 12th and October 9th Board meetings. He references Mr. Glover's October 9th letter as evidence Mr. Garvin was wrong in his statements. Mr. Glover's letter says "</w:t>
      </w:r>
      <w:r>
        <w:rPr>
          <w:rFonts w:ascii="arial" w:eastAsia="arial" w:hAnsi="arial" w:cs="arial"/>
          <w:i/>
          <w:color w:val="000000"/>
          <w:sz w:val="20"/>
          <w:lang w:val="en-US" w:eastAsia="en-US" w:bidi="ar-SA"/>
        </w:rPr>
        <w:t>certainly the monitoring of end of line chlorine residuals is a useful tool for water system operators to assess the overall effectiveness of the chlorine within the distribution system. However, unlike bacteriological water quality this is not a regulatory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Your proposed motion is somewhat confusing in that you acknowledge 0.2 ppm is a "target" free chlorine residual, but you appear to be suggesting the operator </w:t>
      </w:r>
      <w:r>
        <w:rPr>
          <w:rFonts w:ascii="arial" w:eastAsia="arial" w:hAnsi="arial" w:cs="arial"/>
          <w:i/>
          <w:color w:val="000000"/>
          <w:sz w:val="20"/>
          <w:u w:val="single"/>
          <w:lang w:val="en-US" w:eastAsia="en-US" w:bidi="ar-SA"/>
        </w:rPr>
        <w:t>must maintain</w:t>
      </w:r>
      <w:r>
        <w:rPr>
          <w:rFonts w:ascii="arial" w:eastAsia="arial" w:hAnsi="arial" w:cs="arial"/>
          <w:i/>
          <w:color w:val="000000"/>
          <w:sz w:val="20"/>
          <w:lang w:val="en-US" w:eastAsia="en-US" w:bidi="ar-SA"/>
        </w:rPr>
        <w:t xml:space="preserve"> this residual at all times. In my view a target is just that. The goal should be for the operator to manage the system with an aim toward achieving this residual level, understanding it is not always achievable, given fluctuations in raw water quality, and due to water system design. Perhaps it would be of more value to the GBID that the target free chlorine residual of 0.2 ppm be incorporated in an operating procedure rather than set out as a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constant second guessing of the Water Operator's actions is totally counterproductive.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Recent G. McVeigh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often difficult to separate the actions of Mr. McVeigh and Trustee McVeigh, particularly since Trustee McVeigh saw fit to share with him information from In-Camera Board meetings. It is also difficult at times to determine who is the author of various e-mails since he uses Trustee McVeigh's e-mail address. However, it is accurate to say that Mr. McVeigh has been actively involved in discussions of Improvement District matters at GBID meetings since the AGM. After he applied for the Financial Administrator position, and subsequently the Water Operator position, the tone and type of interaction escalated rapidly to be very confrontational. While Mr. McVeigh shrugs off his personal attacks as merely his "acerbic" style that does not excuse his irresponsible accusations.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July 26 when he came for an interview for the Financial Administrator position he presented a letter that stated Garvin, Burandt and McWilliam "are likely to bring bias or partiality to question of who should be hired as financial administrator I formally request they recuse themselves". This bias was alleged because Garvin "is enmeshed in a potential defamation by slander lawsuit"; McWilliam is "likewise enmeshed in a potential lawsuit with wife of candidate", and Burandt "recently dodged a lawsuit" by wife of candidate.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Interviews were cancelled and Board sought legal advise(sic). Because of continuing concerns about legal action GBID still does not have a Financial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Aug. 18 letter to Board stating that GBID may be in violation of Worksafe BC Regs.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Board took action to contact WorksafeBC. Reps came to review operation and Board has followed their suggestions.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Sept. 13 letter to DWO D. Glover (cc Regional Director of Health and Inspector of Municipalities) re: low residual chlorine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DWO response on Oct. 9 re: suggested adopting target levels of free chlorine into daily operating procedures. Board adopted DWO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Sept 27 e-mail to DWO "saddened to say I do not feel you are being proactive enough in the protection of the public's health with respect to drinking water safety on Texada" because he had not yet received a response to his Sept. 13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October 9 e-mail to DWO with threat to advise his superiors that he is not taking his responsibilities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DWO sent response to Mr. McVeigh that explains system is very complex due to high organics and that it is a balancing act that means can't focus on just one component (chlorine residuals). Recommends that GBID get on with plan to improve water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Oct. 12 letter to Chair re: End of Line Bacterial sampling-Diggon's (cc H.Diggon, DWO, Inspector of Municipalities, RCMP). Letter contained "theories" about J. Garvin instructing Operator to flood Diggon's drive. "I suggest to you that this matter warrants an emergency Boa meeting and a review by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This letter was addressed at Oct. 16 Board meeting, Facts were provided and Mr. McVeigh was given opportunity to withdraw his letter. When he refused to do so the Board passed a motion to convey to all parties cc'd on Oct. 12 letter that the Board does not support his allegations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Oct. 17 "personal and confidential" letter to Chair re: Diggon's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Chair responded that would not respond to letters addressed "personal and confidential" that are sent to Chair of the Board, any concerns must be addressed to the Board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Oct. 25 letter to Chair re Diggons. Claimed that the Chair, and possibly other Board members were guilty of criminal action in that his Oct. 12 letter was made public at the Oct. Board meeting when Chair knew that it contained factual errors, and that he would be pursuing belief that it was breach of Criminal Code section 298(1).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McVeigh's letter and his threat was addressed at the November Board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Oct 25 letter to DWO is very insulting to the Board members and takes a very different interpretation of the Board's Oct. Motion to deal with residual chlorine levels than the Board and DWO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Board addressed this at the Nov. Meeting with a motion to clarify the guidelines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NOTE: the following correspondence was reviewed at the Dec. Board meeting where the decision was made to call a Special General Meeting to deal with this paper 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Nov. 20 to Chair (cc Diggon, Inspector of Municipalities, DWO) corrects two sentences in his Oct. 12 letter and left rest as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Dec. 4 letter to Chair (ccDWO, Inspector of municipalities, RCMP) references Criminal Code sections re: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due to reckless disregard for lives or safety of other persons, and poses a number of questions based on McVeighs going to Chlorinator to quiz new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Dec. 4 letter to Chair advising that he had written Inspector of Municipalities in Sept and was advised if he had evidence that GBID is failing to meet their legislated requirements that should be brought to attention of responsible agencies. Indicated that if we did not want him to advise regulatory agencies we must under take specific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NOTE: Board undertook to address these issues at Special General Meeting in January, however before we had opportunity to respond Mr. McVeigh has written Minister of National Revenue re: income tax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Dec. 9 letter to Chair claiming that J. Garvin violated Criminal Code with intent to defraud related to $1500 payment to Anderson Engineering for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Dec. 10 letter to GBID, attention J. Garvin accusing him of withholding a letter from N. Losito on structure of Health Protection office, and that he has now involved BC Ombudsman.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Dec. 10 Open letter to Ratepayers re: who should be hired as operator accusing Trustees of giving job to candidate due to favours and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NOTE: since the December Board meeting Mr. McVeigh has continued to widely distribute accusations about the Board of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Dec. 12 e-mail to DWO continuing his attack on J. Garvin and DWO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Dec. 25 letter to Minister of National Revenue re; violations of the Income Tax Act. Asking for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Jan. 5 Open Letter to Ratepayers "As the Water flows".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least fourteen individuals that we are aware of, at all levels of Government, have been written to by Mr. McVeigh as a "concerned ratepayer". Some several times, and some were also threatened: Grant Campbell, MHO Engineer; Alan Hampshire, McElhanney Consulting Services; Nick Lositio, Regional Director, Health Protection; Dan Glover, DWO, Vancouver Coastal Health: RCMP: WorksafeBC; Micheal Marson, Manager of Community Services; Don Sutherland, Director of Community Services; Dale Wall, Inspector of Municipalities; Ida Chong, Minister of Community Services; Premier Gordon Campbell; BC Ombudsman; Gordon Connor, Minister of National Revenue; Canada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Actual letters and e-mails are available for review.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Letter from Gordon McVeigh to Gillies Bay Improvement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dated October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Attention: Rob McWilliams,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Rob,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End of Line Bacterial Sampling -- Shelter Point Road -- Diggon's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This is to apprise you of my serious concerns with statements made by the Operator, John Whitehead at the October 9, 2007 board meeting. But first, some pertinent background information is required: When I was the chair of the GBID, I personally instructed Mr. Whitehead on how to take bacterial samples at the end of Shelter Point Road (Gillies Bay Road), opposite Harold Diggon's residence. The procedure taught involved cracking the hydrant open at low flows, running it until the water flows clear, one minute at the most, then taking the sample. The Operator's Manual, which was given to Mr. Whitehead shortly after he joined the district, outlines this procedure. You have a copy of the Operator's Manual.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At the October 9 board meeting, Mr. Whitehead indicated that on the instructions of Trustee Garvin He was running the hydrant for five minutes, at a flow sufficient to flood Mr. Diggon's driveway. This practice raises the following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objective in taking a sample at the end of the line is to determine the quality of the water at that point in the system. Running the hydrant for five minutes before taking a sample does not give you a sample at the end of the line, but rather a sample of water potentially far removed from the end of the line. Here is the math:</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4x4</w:t>
      </w:r>
      <w:r>
        <w:rPr>
          <w:rFonts w:ascii="arial" w:eastAsia="arial" w:hAnsi="arial" w:cs="arial"/>
          <w:color w:val="000000"/>
          <w:sz w:val="20"/>
          <w:lang w:val="en-US" w:eastAsia="en-US" w:bidi="ar-SA"/>
        </w:rPr>
        <w:t xml:space="preserve"> (7.48) --- 144 = gallons per ft of water in a 4" pipe = .65 gal/ft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minutes x 200</w:t>
      </w:r>
      <w:bookmarkStart w:id="59"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59"/>
      <w:r>
        <w:rPr>
          <w:rFonts w:ascii="arial" w:eastAsia="arial" w:hAnsi="arial" w:cs="arial"/>
          <w:color w:val="000000"/>
          <w:sz w:val="20"/>
          <w:lang w:val="en-US" w:eastAsia="en-US" w:bidi="ar-SA"/>
        </w:rPr>
        <w:t xml:space="preserve"> gallons per minute = 1000 gallons / .65=1538 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Clearly under the above calculated scenario, the sample would not represent an end of line residual, but rather a sample of water from the pipe 1500 feet before the end of the line. Now why would anyone want to do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Running the hydrant for five minutes not only floods Mr. Diggon's driveway, but also potentially endangers his house and property. The bank is believed to be unstable and flushing the hydrant for that length of time is, as detailed in the Operator's procedures, only to be done via a hose directed into the ditch on the opposite side of the road. When I was the GBID Chair, I warned trustee Garvin about the related risks to Mr. Diggon's property. Why then, would he instruct Mr. Whitehead to run the hydrant for five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some theories on what may be happening, and none of them are particularly flattering: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Theory #1, and the most benign. Trustee Garvin may have a poor memory, forgetting what I told him, forgetting there were written procedures, and has such minimal understanding of water systems operations that he is unaware of the consequences of his actions. Under this scenario, Mr. Garvin must be instructed not to override any written procedures unless and until he can justify, in writing his reasons for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Theory #2, and far less benign. Trustee Garvin may harbour resentment toward Mr. Diggon for Mr. Diggon's failure to provide him with employment at TQL. Trustee Garvin managed to use the bac sample process to flood Mr. Diggon's driveway, something that would occur at least once a month</w:t>
      </w:r>
      <w:bookmarkStart w:id="60"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60"/>
      <w:r>
        <w:rPr>
          <w:rFonts w:ascii="arial" w:eastAsia="arial" w:hAnsi="arial" w:cs="arial"/>
          <w:color w:val="000000"/>
          <w:sz w:val="20"/>
          <w:lang w:val="en-US" w:eastAsia="en-US" w:bidi="ar-SA"/>
        </w:rPr>
        <w:t>. This I believe involves not only harassment, but abuse of position. Under this scenario, Trustee Garvin should tender his resignation.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Theory #3, is hardly benign, and may represent criminal intent. Trustee Garvin may have sufficiently deep resentment of Mr. Diggon to have so eroded his core values that he had devised a plan to strike back at Mr. Diggon and his wife; who I believe is known to have health issues, thereby leaving her most at risk from poorly treated water. By instituting sampling procedures to flush the hydrant for five minutes before taking a sample, Mr. Garvin could conceal the true quality of the water at that location, thereby allowing the sample to pass the bacterial test. Without 3rd party due diligence, no one would ever have known if the true end of line residuals were dangerously low. We are all now aware that a bacterial sample apparently taken from Mr. Diggon's residence revealed the presence of deadly E-Choli bacteria. Under this scenario, Trustee Garvin must resign and a formal complaint must be lodged with the RCMP to initiate an investigation into his actions.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My concern for public safety compels me to bring this matter to your attention. In the five months that you have been Chairman of the district, we have had two boil water advisories, both of which were attributable to actions or decisions made by Trustee Garvin. There is a further issue with the latest boil water advisory. I am perplexed as to why it took nine days after the sample was taken to enact a boil water advisory, something the DWO has yet to explain to Trustee McVeigh.</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 caution you once again, that you have fiduciary, ethical and legal requirements associated with your position as Chair. You would be well advised to objectively review all the information you have received during your term as Chair, much of which I believe to be conflicting, and by using logic and reasoning, as well as by drawing on expert knowledge, attempt to ascertain the truth. I suggest to you that this matter warrants an emergency board meeting and a review by the RCMP.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Gord McVeigh, Concerned Ratepayer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Gillies Bay Improvement District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CC Harold Diggon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Trustee Garvin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Dan Glover, DWO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Dale Wall, Inspector of Municipalities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RCMP, Texada Branch</w:t>
      </w:r>
    </w:p>
    <w:p>
      <w:pPr>
        <w:spacing w:before="120"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51.01pt;height:586.58pt">
            <v:imagedata r:id="rId183"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McVeigh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 Box 148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Gillies Bay,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VON 1W0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11,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Gillies Bay Improvement District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Box 102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Gillies Bay, B.C. VON 1W0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Attention: Monica Garvin, Secretary Administrator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Monica,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Dave Hull's paycheque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to advise you that I am aware that you are in breach of Sec. 27(1)(b) (c) d) (e) and Sec. 17(1) of the Employment Standards Act. I must further advise you that Sec 4 of the Act stipulates that the requirements of this Act cannot be waived.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was Chair of the District I advised you to familiarize yourself with the legislative requirements of your position, as it is your job to keep the trustees informed of same so that they can ensure compliance. Evidently, you took my instructions lightly.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as Chair I was constantly reminding the trustees of their fiduciary duties, but they too apparently chose to ignore my admonitions. Small wonder that I ended up being hospitalized having to shoulder such a burden on behalf of the District.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planning to bring this matter to your attention at the meeting of April 10th, advertised in the Express lines, but as the meeting apparently vapourized, I am once again forced to put pen to paper.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closing, I must caution you that Mr. Hull is to suffer no repercussions as a result of his sharing this information with me, and further, should this occur I am positive that the District would fall afoul of the Director of Employment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that you will correct your oversight forthwith.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Respectfully Yours,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McVeigh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Concerned Ratepayer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cc Dave Hull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GBID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Dale Wall, Inspector of Municipalities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Director, Employment Standards Act</w:t>
      </w:r>
    </w:p>
    <w:p>
      <w:pPr>
        <w:spacing w:after="240"/>
        <w:rPr>
          <w:rFonts w:ascii="arial" w:eastAsia="arial" w:hAnsi="arial" w:cs="arial"/>
          <w:sz w:val="20"/>
          <w:lang w:val="en-US" w:eastAsia="en-US" w:bidi="ar-SA"/>
        </w:rPr>
      </w:pPr>
      <w:r>
        <w:pict>
          <v:line id="_x0000_s1067" style="position:absolute;z-index:25181900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61"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61"/>
      <w:r>
        <w:rPr>
          <w:rFonts w:ascii="arial" w:eastAsia="arial" w:hAnsi="arial" w:cs="arial"/>
          <w:sz w:val="20"/>
          <w:lang w:val="en-US" w:eastAsia="en-US" w:bidi="ar-SA"/>
        </w:rPr>
        <w:tab/>
      </w:r>
      <w:r>
        <w:rPr>
          <w:rFonts w:ascii="arial" w:eastAsia="arial" w:hAnsi="arial" w:cs="arial"/>
          <w:color w:val="6D6E71"/>
          <w:sz w:val="18"/>
          <w:lang w:val="en-US" w:eastAsia="en-US" w:bidi="ar-SA"/>
        </w:rPr>
        <w:t>Hydrant flow rate.</w:t>
      </w:r>
    </w:p>
    <w:p>
      <w:pPr>
        <w:spacing w:before="120" w:after="20" w:line="240" w:lineRule="atLeast"/>
        <w:ind w:left="720" w:hanging="360"/>
        <w:jc w:val="both"/>
        <w:rPr>
          <w:rFonts w:ascii="arial" w:eastAsia="arial" w:hAnsi="arial" w:cs="arial"/>
          <w:sz w:val="20"/>
          <w:lang w:val="en-US" w:eastAsia="en-US" w:bidi="ar-SA"/>
        </w:rPr>
      </w:pPr>
      <w:bookmarkStart w:id="62"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62"/>
      <w:r>
        <w:rPr>
          <w:rFonts w:ascii="arial" w:eastAsia="arial" w:hAnsi="arial" w:cs="arial"/>
          <w:sz w:val="20"/>
          <w:lang w:val="en-US" w:eastAsia="en-US" w:bidi="ar-SA"/>
        </w:rPr>
        <w:tab/>
      </w:r>
      <w:r>
        <w:rPr>
          <w:rFonts w:ascii="arial" w:eastAsia="arial" w:hAnsi="arial" w:cs="arial"/>
          <w:color w:val="6D6E71"/>
          <w:sz w:val="18"/>
          <w:lang w:val="en-US" w:eastAsia="en-US" w:bidi="ar-SA"/>
        </w:rPr>
        <w:t>Water sample locations usually rotate on a bi-weekly basis.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Moses v. Trans-Canada Displays Ltd., [2001] B.C.J. No. 2265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19211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2265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R.P.R. (3d) 314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423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Moses, Arthur Dick, John Jackson, Gloria Moses and Mary June Coutlee, as members of the Lower Nicola Indian Band and the Lower Nicola Indian Band Council, for and on behalf of themselves personally and for and on behalf of the Lower Nicola Indian Band Council and the members of the Lower Nicola Indian Band, plaintiffs, and Trans-Canada Displays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3" w:name="Keywords_8"/>
      <w:bookmarkEnd w:id="63"/>
      <w:r>
        <w:rPr>
          <w:rFonts w:ascii="arial" w:eastAsia="arial" w:hAnsi="arial" w:cs="arial"/>
          <w:b/>
          <w:color w:val="000000"/>
          <w:sz w:val="20"/>
          <w:lang w:val="en-US" w:eastAsia="en-US" w:bidi="ar-SA"/>
        </w:rPr>
        <w:t>Indians, Inuit and Metis — Lands — Transfer of lands — Requirement of approval — Damages — Torts affecting land and buildings — Normal measure — Trespass — Damage awards — Torts/Quebec responsibility — Trespass.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4" w:name="Case Summary_8"/>
            <w:bookmarkEnd w:id="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motion for a declaration of damages and costs payable to the plaintiff Band in its successful trespass action the defendant Trans-Canada Displays. In 1988 Trans-Canada obtained permission from David Shuter to use the Band's land to display advertising billboards. Shuter, a Band member, was subsequently found not to have the authority to permit the use without Band approval. He died before the disposition of the action. The Band claimed compensatory and/or punitive damages in the amount of $20,082, the amount of monies realized by Trans- Canada by using the land during its trespass. The Band also argued that it should be awarded costs at Scale 4, as the complexity and importance of the legal issues warranted costs at a higher scale. Trans-Canada argued that the Band was entitled to compensatory damages only, in the amount of $10,000, which amount represented the reasonable rent for the use of the land that it actually paid to the Shuter estate.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5" w:name="Holdings of Court_7"/>
            <w:bookmarkEnd w:id="65"/>
            <w:r>
              <w:rPr>
                <w:rFonts w:ascii="arial" w:eastAsia="arial" w:hAnsi="arial" w:cs="arial"/>
                <w:color w:val="000000"/>
                <w:sz w:val="20"/>
                <w:lang w:val="en-US" w:eastAsia="en-US" w:bidi="ar-SA"/>
              </w:rPr>
              <w:t>HELD: Compensatory damages were assessed at $30,082, less $10,000 paid by Trans-Canada to the Shuter estate, for a total of $20,082.</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Band's costs were assessed at the normal Scale 3 level, and Trans-Canada were liable for the costs jointly and severally.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6" w:name="Legislation Cited_5"/>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0"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Appendix B, s. 2(3), 2(3)(a), 2(3)(b), 2(3)(c).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Indian Act, </w:t>
      </w:r>
      <w:hyperlink r:id="rId191" w:history="1">
        <w:r>
          <w:rPr>
            <w:rFonts w:ascii="arial" w:eastAsia="arial" w:hAnsi="arial" w:cs="arial"/>
            <w:i/>
            <w:color w:val="0077CC"/>
            <w:sz w:val="20"/>
            <w:u w:val="single"/>
            <w:shd w:val="clear" w:color="auto" w:fill="FFFFFF"/>
            <w:lang w:val="en-US" w:eastAsia="en-US" w:bidi="ar-SA"/>
          </w:rPr>
          <w:t>R.S.C. 1985, c. I-5, s. 28</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7" w:name="Counsel_8"/>
      <w:bookmarkEnd w:id="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F.M. Kirchner, for the plaintiffs. J.M. Drayton,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8" w:name="Judgment_8"/>
      <w:bookmarkEnd w:id="68"/>
      <w:r>
        <w:pict>
          <v:line id="_x0000_s1072"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9" w:name="D.M. SMITH J."/>
            <w:bookmarkEnd w:id="69"/>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10, 2000, the Lower Nicola Indian Band ("the Band") obtained a declaration that the administrators of the estate of David Shuter, a Band member, ("the Shuter Estate") and an advertising billboard company, Trans-Canada Displays Ltd. ("Trans-Canada"), had no lawful interest in a parcel of property (about 80 acres) on the Joeyaska Indian Reserve Number 2 ("the Joeyaska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Joeyaska Reserve is land held by the Crown in trust for the benefit of the Band. The disputed parcel of land lies adjacent to and west of the Coquihalla Highway at Merritt,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consequence of that declaration, both the Shuter estate and Trans-Canada were found to be in trespass on the said land. Thereafter, the Band reached a final settlement with the Shuter estate regarding its liability for damages and costs arising from the trespass. By that agreement the Shuter estate paid the Band $10,000 for a full release and indemnity in respect to any claims arising from the action. It has since obtained a consent dismissal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Band now seeks to quantify its claim for damages and costs against Trans-Canada arising from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Both the Band and Trans-Canada agree that based on the Reasons for Judgment in which the declaration was granted ("the Reasons"), Trans-Canada was in trespass between November 9, 1999, when it was clearly notified of the Band's position regarding Trans-Canada's continuing use of the land, and September 20, 2000, when Trans-Canada removed its billboards.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Band seeks compensatory and/or punitive damages of $20,802.50, being the amount of revenue Trans-Canada realized during the term of the trespass, after deducting the $10,000 it received from the Shuter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submits that compensatory damages should be measured by the highest rental market value for the land calculated on the amount an advertiser would pay to use the land rather than on the amount a billboard company would pay. In other words, the Band submits that Trans-Canada should compensate it for the ultimate value to which the land in question was put to use, not merely the value of that property to a "middleman", namely the billboard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further submits that if the measure of compensatory damages does not equal the amount of revenue received by Trans-Canada from its advertisers during this period, the Band should be awarded exemplary damages in order to divest Trans-Canada of the profit it has earned from its trespass. In support of this submission, it relies on the comments of Southin J.A. in Prince Rupert (City) v. Pederson </w:t>
      </w:r>
      <w:hyperlink r:id="rId192" w:history="1">
        <w:r>
          <w:rPr>
            <w:rFonts w:ascii="arial" w:eastAsia="arial" w:hAnsi="arial" w:cs="arial"/>
            <w:i/>
            <w:color w:val="0077CC"/>
            <w:sz w:val="20"/>
            <w:u w:val="single"/>
            <w:shd w:val="clear" w:color="auto" w:fill="FFFFFF"/>
            <w:lang w:val="en-US" w:eastAsia="en-US" w:bidi="ar-SA"/>
          </w:rPr>
          <w:t>(1994), 98 B.C.L.R. (2d) 84</w:t>
        </w:r>
      </w:hyperlink>
      <w:r>
        <w:rPr>
          <w:rFonts w:ascii="arial" w:eastAsia="arial" w:hAnsi="arial" w:cs="arial"/>
          <w:color w:val="000000"/>
          <w:sz w:val="20"/>
          <w:lang w:val="en-US" w:eastAsia="en-US" w:bidi="ar-SA"/>
        </w:rPr>
        <w:t xml:space="preserve"> (C.A.) where she observed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should be a reminder to all who are tempted to do as he did that, in British Columbia, trespass does not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Trans-Canada admits the Band is entitled to compensatory damages. However, it submits the amount of those damages should be assessed on the basis of reasonable rent for the use of the land which it calculates on the basis of what it paid to the Shuter estate during the relevant time: $1,250 per month, for ten months, totalling $10,000. It does not agree that punitive damages are appropriate as no physical harm was done to the land and it did not act in a highanded manner that would be deserving of punishment. (See: Austin v. Rescon Construction </w:t>
      </w:r>
      <w:hyperlink r:id="rId193" w:history="1">
        <w:r>
          <w:rPr>
            <w:rFonts w:ascii="arial" w:eastAsia="arial" w:hAnsi="arial" w:cs="arial"/>
            <w:i/>
            <w:color w:val="0077CC"/>
            <w:sz w:val="20"/>
            <w:u w:val="single"/>
            <w:shd w:val="clear" w:color="auto" w:fill="FFFFFF"/>
            <w:lang w:val="en-US" w:eastAsia="en-US" w:bidi="ar-SA"/>
          </w:rPr>
          <w:t>(1989), 36 B.C.L.R. (2d) 21</w:t>
        </w:r>
      </w:hyperlink>
      <w:r>
        <w:rPr>
          <w:rFonts w:ascii="arial" w:eastAsia="arial" w:hAnsi="arial" w:cs="arial"/>
          <w:color w:val="000000"/>
          <w:sz w:val="20"/>
          <w:lang w:val="en-US" w:eastAsia="en-US" w:bidi="ar-SA"/>
        </w:rPr>
        <w:t xml:space="preserve"> at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Band also seeks an order for costs at Scale 4. It claims the complexity of the issues, and the facts that had to be determined by the court in order to support the granting of the declaration, warrant costs at the higher scale. It further submits that liability for costs should be joint but not several, that is each of the two defendants (the Shuter estate and Trans-Canada) should be responsible for paying half of any award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Trans-Canada submits that each party should bear its own costs because success in the summary trial was divided. It claims it was successful in containing its potential exposure to an award of damages back to 1992, to a period of only ten months. In the alternative, it submits, that if it is held liable for the Band's costs it should be entitled to full indemnity from the Shuter estate (a "Sanderson order") because the Shuter estate misled Trans-Canada as to the state of its title when it contracted with Trans-Canada for the advertising space on the property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order to address these issues some background to the dispute must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1988, Trans-Canada entered into an agreement with David Shuter, a member of the Band, to display billboards on property adjacent to the Coquihalla highway within the Joeyaska Reserve. Mr. Shuter claimed he had authority to grant Trans-Canada a licence to display billboards as he and his family were in lawful possession of the property based on their "traditional or customary" use and occupation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Band denied the existence of individual "traditional or customary" rights within a collective system of land ownership by a Band and stated that Mr. Shuter had no right to the land on that basis. It claimed that neither the Shuter estate nor Trans-Canada had obtained the Band Council's consent to use the property for billboard advertising. Furthermore, Trans-Canada had not obtained a permit from the Minister of Indian Affairs ("the Ministry") to use the land as was required by s. 28(2) of the Indian Act, </w:t>
      </w:r>
      <w:hyperlink r:id="rId194"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For these reasons, the Shuter estate had no authority to rent the advertising space to Trans-Canada and therefore Trans-Canada was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1992, the Band commenced an action against Mr. Shuter and Trans-Canada in which it sought a declaration that Mr. Shuter did not have a lawful interest in the property. It also sought damages against both Mr. Shuter and Trans-Canada for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Various attempts were made to resolve these issues over the course of the next seven years. However, the potential commercial development of the area eventually prompted the Band, on November 9, 1999, to serve the defendants with a Notice of Intention to proceed with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Sadly, Mr. Shuter died in 1994 before the action was resolved. However, his estate continued to defend the action. The issue for the Shuter estate was its entitlement to the land on which Trans-Canada's billboards were situate and therefore Mr. Shuter's authority to enter into the agreement with Trans-Canada. The initial agreement with Trans-Canada in 1988, had been renewed every five years thereafter. Pursuant to these agreements Mr. Shuter, and after his death the Shuter estate, had collected revenue from Trans-Canada for the rental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summary trial on the issue of the Shuter estate's entitlement to the lands was held on August 10, 2000. In that hearing the Band was successful in obtaining a declaration that the Shuter estate did not have a "customary or traditional" right to the land and that Trans-Canada "was a trespasser since 1988, albeit with the apparent acquiescence of the Band until November 9, 1999." [para.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September 20, 2000, Trans-Canada removed their billboards. The Band now seeks a quantification of its damages against Trans-Canada for its trespass on the Joeyaska Reserve from November 9, 1999 to September 20,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is well established that the assessment of compensatory damages must be made before any claim for punitive damages is considered: Huff v. Price </w:t>
      </w:r>
      <w:hyperlink r:id="rId195"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(C.A.); Hide-Away Resort v. Van der Wal </w:t>
      </w:r>
      <w:hyperlink r:id="rId196" w:history="1">
        <w:r>
          <w:rPr>
            <w:rFonts w:ascii="arial" w:eastAsia="arial" w:hAnsi="arial" w:cs="arial"/>
            <w:i/>
            <w:color w:val="0077CC"/>
            <w:sz w:val="20"/>
            <w:u w:val="single"/>
            <w:shd w:val="clear" w:color="auto" w:fill="FFFFFF"/>
            <w:lang w:val="en-US" w:eastAsia="en-US" w:bidi="ar-SA"/>
          </w:rPr>
          <w:t>(1999), 28 C.E.L.R. (N.S.) 272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Furthermore, the basis for awarding punitive damages is different than that for compensatory damages. This difference was explained by Mr. Justice McIntyre in Vorvis v. I.C.B.C., </w:t>
      </w:r>
      <w:hyperlink r:id="rId197"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at page 1099 where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are awarded to compensate for aggravated damage. As explained by Waddams, they take account of intangible injuries and by definition will generally augment damages assessed under the general rules relating to the assessment of damages. Aggravated damages are compensatory in nature and may only be awarded for that purpose. Punitive damages, on the other hand, are punitive in nature and may only be employed in circumstances where the conduct giving the cause for complaint is of such nature that it merits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Therefore, following the approach set out in Huff, supra, I turn firstly to the Band's claim for compensatory damages.</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a fundamental principle of tort law that the purpose of damages is restitutio in integraum. In other words, the victim must be put in the position he would have been in had the tort not occurred. The purpose of an award of compensatory damages is to compensate the victim, not to punish the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prima facie rule set by the court for the measure of damages in trespass has been the market rent that could have been charged by the owner of the land: see Swordheath Properties Ltd. v. Tabet et. Al., [1979] 1 All E.R. 240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test was applied by Hood J. in North Vancouver (City) v. Apex Tire Co., </w:t>
      </w:r>
      <w:hyperlink r:id="rId198" w:history="1">
        <w:r>
          <w:rPr>
            <w:rFonts w:ascii="arial" w:eastAsia="arial" w:hAnsi="arial" w:cs="arial"/>
            <w:i/>
            <w:color w:val="0077CC"/>
            <w:sz w:val="20"/>
            <w:u w:val="single"/>
            <w:shd w:val="clear" w:color="auto" w:fill="FFFFFF"/>
            <w:lang w:val="en-US" w:eastAsia="en-US" w:bidi="ar-SA"/>
          </w:rPr>
          <w:t>[1992] B.C.J. No. 1234</w:t>
        </w:r>
      </w:hyperlink>
      <w:r>
        <w:rPr>
          <w:rFonts w:ascii="arial" w:eastAsia="arial" w:hAnsi="arial" w:cs="arial"/>
          <w:color w:val="000000"/>
          <w:sz w:val="20"/>
          <w:lang w:val="en-US" w:eastAsia="en-US" w:bidi="ar-SA"/>
        </w:rPr>
        <w:t xml:space="preserve"> (S.C.) at page 16, where in referring to Swordheath,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held that the measure of damages was the value to the trespasser of the use of the property for the trespass period, "which in a normal case would be the ordinary letting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Apex the defendants had trespassed on lands belonging to the City of North Vancouver. While in possession, they paved the land and set up a parking lot. But for the trespass, it appeared as if the lands would have remained vacant and no revenues earned by the City of North Vancouver. In other words, the landowner would not have otherwise earned income from the lands had the trespass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Hood J. addressed the issue of the measure of damages at page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of damages in this area has not always been clear. The question to be determined is what is the actual loss suffered by the Plaintiff, but some Courts seem to be more concerned with the benefits which the Defendant has recovered as a result of his wrongful act than with the actual loss suffered by the Plaintiff. It seems to me, but I need not decide, that the benefits to the Defendants are only relevant in cases where punitive damages are recoverable or perhaps where the case falls squarely within the still-developing principle against Unjust Enrichment. I do not intend to embark further into this vast, and in some areas uncertain,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Hood J. also commented on the approach being asked by the Band in this case, namely, in the event the court determines the market value of the property at an amount less than the revenue received by the trespasser the court should award punitive damages as a "topping up". At page 17, he expressed uncertainty as to whether a plaintiff could recover monies "simply on the basis that a trespasser should not be entitled to recover or gain, or be better off, as a result of his wrongful act." He concluded that "reasonableness should be a primary factor in assessing damages" and proceeded to award damages for the market value of the property which had been improperly used. Hood J. added an award of punitive damages in the circumstances of that case, where he found the defendants conduct in paving the property and using it as a car lot, to be highhanded. In so doing, he expressly rejected the defendants' submission that the plaintiff had acquiesced in the defendants' use of the land over the years or the defendants' claim that they honestly believed they had some sort of right or license to use the plaintiff's land as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issue in this case is whether the reasonable market value of the rent during the period of the trespass should be the rent the advertisers were willing to pay Trans-Canada for the billboard space or whether it should be what the billboard company itself paid the Shuter estate for the use of the land. Put another way: should the measure of compensatory damages divest Trans-Canada of any benefits it may have derived from its trespass on the land or should they reflect what in fact was paid by Trans-Canada to the Shuter estate for the rental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degree of culpability in committing the trespass appears to be significant in determining whether a milder or more severe test is adopted in assessing damages. This distinction was discussed in Shewish v. MacMillan Bloedel Ltd. </w:t>
      </w:r>
      <w:hyperlink r:id="rId199" w:history="1">
        <w:r>
          <w:rPr>
            <w:rFonts w:ascii="arial" w:eastAsia="arial" w:hAnsi="arial" w:cs="arial"/>
            <w:i/>
            <w:color w:val="0077CC"/>
            <w:sz w:val="20"/>
            <w:u w:val="single"/>
            <w:shd w:val="clear" w:color="auto" w:fill="FFFFFF"/>
            <w:lang w:val="en-US" w:eastAsia="en-US" w:bidi="ar-SA"/>
          </w:rPr>
          <w:t>(1990), 48 B.C.L.R. (2d) 290</w:t>
        </w:r>
      </w:hyperlink>
      <w:r>
        <w:rPr>
          <w:rFonts w:ascii="arial" w:eastAsia="arial" w:hAnsi="arial" w:cs="arial"/>
          <w:color w:val="000000"/>
          <w:sz w:val="20"/>
          <w:lang w:val="en-US" w:eastAsia="en-US" w:bidi="ar-SA"/>
        </w:rPr>
        <w:t xml:space="preserve"> (C.A.) at page 294-5 where the court referred to the comments of Martin J. in Last Chance Mining Co. v. Amer. Boy Mining Co. </w:t>
      </w:r>
      <w:hyperlink r:id="rId200" w:history="1">
        <w:r>
          <w:rPr>
            <w:rFonts w:ascii="arial" w:eastAsia="arial" w:hAnsi="arial" w:cs="arial"/>
            <w:i/>
            <w:color w:val="0077CC"/>
            <w:sz w:val="20"/>
            <w:u w:val="single"/>
            <w:shd w:val="clear" w:color="auto" w:fill="FFFFFF"/>
            <w:lang w:val="en-US" w:eastAsia="en-US" w:bidi="ar-SA"/>
          </w:rPr>
          <w:t>(1904), 2 M.M.C. 150</w:t>
        </w:r>
      </w:hyperlink>
      <w:r>
        <w:rPr>
          <w:rFonts w:ascii="arial" w:eastAsia="arial" w:hAnsi="arial" w:cs="arial"/>
          <w:color w:val="000000"/>
          <w:sz w:val="20"/>
          <w:lang w:val="en-US" w:eastAsia="en-US" w:bidi="ar-SA"/>
        </w:rPr>
        <w:t xml:space="preserve"> at page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laid down that there are two rules for determining the said measure, a milder and a severer. The former is that where the taking has been, e.g., inadvertent, or under a bona fide belief in title, or by mere mistake, or where the real owner has notice but stands by, there will be allowed to the defendant the cost of severance of the coal from the realty as well as of bringing it to bank. The latter is, that where there has been e.g.,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willfulness, only the cost of bringing to bank will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issue in Shewish, supra, was the measure of damages for the removal of trees from the plaintiff Indian Band's property. The trespass in that case was described as negligent trespass. The trial judge assessed damages based on the value of the timber taken without any deduction for the trespasser's costs of extracting the timber and transporting it to market. In allowing the appeal, the court stated that while cases of negligent trespass did not necessarily attract the more severe rule for the assessment of damages, the circumstances of that case had the mark of culpability and want of bona fides for which the more severe rule should be applied. At page 297 Hollinrake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degrees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think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terms of culpability and bona fides must be looked at in determining the rule to be applied to the assessment of damages in cases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while the trespass created a loss of opportunity by the Band to put the land to some productive use, there was no evidence the Band in fact intended to use the land for some productive use during the relevant period. The Band did not respond to any of the offers it had obtained from advertisers in order to quantify its claim for damages, or enter into any negotiations with the advertisers to explore a higher price (para. 6 of affidavit of Teri Clayton sworn July 31, 2001, lands officer for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as the trespass continued after Trans-Canada was clearly notified that the Band was proceeding with its claim, it was not only negligent but also deliberate and wilful. Trans-Canada intentionally chose not to apply for a permit from the Ministry knowing of the risk the permit might be not be granted. It was also aware that Mr. Shuter and the Shuter estate had an ongoing dispute with the Band regarding title to the property. In these circumstances it cannot be said that the "taking" of the billboard space was inadvertent or a mere mistake while the real owner stood by, especially after November 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Assessing reasonable market rent in these circumstances should not, in my view, permit a deduction for the trespasser's costs, even in the absence of physical harm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determining the amount of reasonable market rent, the best evidence is the value of the rent paid by a ready, willing and able buyer of advertising space from a ready, willing and able seller of that space. In the circumstances of this case, that value can only be the price paid by the advertisers who contracted with Trans-Canada, being the revenue collected by Trans-Canada over the period of the trespass. That amount was the value to Trans-Canada of the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Compensatory damages for this amount do not in my view "punish" the trespasser but are merely consistent with the principle that a trespasser should not be able to benefit from his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Fortunately, the issues raised by Hood J. in Apex do not need to be addressed in this case as I have determined that reasonable market rent is equal to the benefit received by Trans-Canada from its advertisers. However, I am of the view that even if reasonable market rent was less than the revenue Trans-Canada collected, it should not be permitted to retain all or part of that benefit as to do so would be to permit Trans-Canada to be unjustly enriched from its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the measure of damages that Trans-Canada must pay the Band for the 10 months it was in trespass on the Band's land is $30,082 less the $10,000 paid by the Shuter estate, for a net amount of $20,082.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event that I am in error on the measure of compensatory damages, I turn now to the issue of punitive damages.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Exemplary or punitive damages may be awarded where the defendant's conduct might be viewed as malicious, arrogant or highhanded. It often involves a deliberate trespass that disregards the rights of the landowner and is done with the knowledge that it would damage the landowner's property. Punitive damages are also awarded where it is thought to be necessary to teach the wrongdoer that tort does not pay (Austin,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circumstances of this case I am not satisfied that Trans-Canada's conduct meets any of these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number of factors support this conclusion:</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1988, when Trans-Canada first approached the Band to rent the space, the then Chief invited it to deal directly with Mr. Shuter stating the lands were his. (para. 15, Reasons)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1992, the Band Council continued to acquiesce in the ongoing trespass until it made its position clear when it filed the Notice of Intention to Proceed on November 9, 1999. It was also content to leave Shuter in possession of the lands and to receive the rental monies paid by Trans-Canada. At no time did the Band demand the removal of the signs.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1992, the Band Council recognized the Shuter's historical interest in a 6.89 acre parcel which only during the summary trial became apparent to all was not the same as the disputed property.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Trans-Canada's trespass was deliberate in that it intentionally avoided trying to obtain a permit from the Ministry, it also did not damage the Band's property in any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For these reasons, I decline to make any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Band was successful in its claim against the Shuter estate and Trans-Canada. In view of the general rule that costs follow the event the Band should also be entitled to its costs. The only issue is whether those costs should be awarded at Scale 3 or 4 and whether each of the defendants should be responsible for paying half of that award or if the award should be joint and several.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Having decided that the Band is entitled to an award of costs, I am also of the view that a Sanderson order granting full indemnity for costs to Trans-Canada from the Shuter estate would not be appropriate. Trans-Canada knew of the potential problems with Mr. Shuter's purported title to the property and chose not to make enquires with the Ministry or obtain a s. 28(2) permit to lawfully use reserve land. It cannot now seek to avoid the consequences of those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issue of the scale of costs that should be awarded in the circumstances of a particular case is not always an easy one. Trial judges have a wide discretion on this issue provided that discretion is exercised judicially and in accordance with general legal principles regarding the law of costs: Oasis Hotel Ltd. v. Zurich Insurance Co. </w:t>
      </w:r>
      <w:hyperlink r:id="rId201" w:history="1">
        <w:r>
          <w:rPr>
            <w:rFonts w:ascii="arial" w:eastAsia="arial" w:hAnsi="arial" w:cs="arial"/>
            <w:i/>
            <w:color w:val="0077CC"/>
            <w:sz w:val="20"/>
            <w:u w:val="single"/>
            <w:shd w:val="clear" w:color="auto" w:fill="FFFFFF"/>
            <w:lang w:val="en-US" w:eastAsia="en-US" w:bidi="ar-SA"/>
          </w:rPr>
          <w:t>(1981), 28 B.C.L.R. 230</w:t>
        </w:r>
      </w:hyperlink>
      <w:r>
        <w:rPr>
          <w:rFonts w:ascii="arial" w:eastAsia="arial" w:hAnsi="arial" w:cs="arial"/>
          <w:color w:val="000000"/>
          <w:sz w:val="20"/>
          <w:lang w:val="en-US" w:eastAsia="en-US" w:bidi="ar-SA"/>
        </w:rPr>
        <w:t xml:space="preserve"> at 237.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Generally, costs are awarded at Scale 3 where the matters to be determined are of ordinary difficulty or importance. A Scale 4 level of costs is usually reserved for cases that are "of more than ordinary difficulty or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Section 2(3) of Appendix B provides: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 the right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noted by Hall J.A. in Liedtke v. Liedtke </w:t>
      </w:r>
      <w:hyperlink r:id="rId202" w:history="1">
        <w:r>
          <w:rPr>
            <w:rFonts w:ascii="arial" w:eastAsia="arial" w:hAnsi="arial" w:cs="arial"/>
            <w:i/>
            <w:color w:val="0077CC"/>
            <w:sz w:val="20"/>
            <w:u w:val="single"/>
            <w:shd w:val="clear" w:color="auto" w:fill="FFFFFF"/>
            <w:lang w:val="en-US" w:eastAsia="en-US" w:bidi="ar-SA"/>
          </w:rPr>
          <w:t>[1999] B.C.J. No. 1358</w:t>
        </w:r>
      </w:hyperlink>
      <w:r>
        <w:rPr>
          <w:rFonts w:ascii="arial" w:eastAsia="arial" w:hAnsi="arial" w:cs="arial"/>
          <w:color w:val="000000"/>
          <w:sz w:val="20"/>
          <w:lang w:val="en-US" w:eastAsia="en-US" w:bidi="ar-SA"/>
        </w:rPr>
        <w:t xml:space="preserve"> (C.A.) at para. 23, "All litigation is adversarial". In that case, the trial was unnecessarily lengthened as a result of allegations of "cruelty" when the "no fault" ground for divorce of one year separate and apart was available. The "cruelty" evidence was unnecessary to a determination of the other issues. The Court of Appeal questioned whether the extra time spent on the attempt to establish "cruelty" made the proceedings "more difficult". On appeal, the court replaced the trial judge's award of Scale 4 costs with an award of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case, the trial was lengthier than anticipated as a result of the number of documents that had to be reviewed in order to establish the historical use of the land in question. However, in my view this did not make the issues to be determined "of more than ordinary difficulty or importance". In addition, while several defences were raised, they could not be characterized as being of "unusual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Based on the general guiding principles with respect to costs, I have determined to exercise my discretion by awarding ordinary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Lastly, I have concluded that costs should be awarded as joint and several. The Band's request for an award of costs that is joint but not several with Trans-Canada would seem to have been triggered by its settlement with the Shuter estate. However, that factor is not a relevant consideration for this court in determining an appropriate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While the court has the discretion to apportion costs among defendants (see: Mosdell v. Jardine, </w:t>
      </w:r>
      <w:hyperlink r:id="rId203" w:history="1">
        <w:r>
          <w:rPr>
            <w:rFonts w:ascii="arial" w:eastAsia="arial" w:hAnsi="arial" w:cs="arial"/>
            <w:i/>
            <w:color w:val="0077CC"/>
            <w:sz w:val="20"/>
            <w:u w:val="single"/>
            <w:shd w:val="clear" w:color="auto" w:fill="FFFFFF"/>
            <w:lang w:val="en-US" w:eastAsia="en-US" w:bidi="ar-SA"/>
          </w:rPr>
          <w:t>[1929] 4 D.L.R. 648</w:t>
        </w:r>
      </w:hyperlink>
      <w:r>
        <w:rPr>
          <w:rFonts w:ascii="arial" w:eastAsia="arial" w:hAnsi="arial" w:cs="arial"/>
          <w:color w:val="000000"/>
          <w:sz w:val="20"/>
          <w:lang w:val="en-US" w:eastAsia="en-US" w:bidi="ar-SA"/>
        </w:rPr>
        <w:t xml:space="preserve"> (B.C.S.C.)) no authority was offered to support an award that would apportion costs between the defendants on an equal basis. As no apportionment of liability between the defendants was made in the Reasons, I am of the view that no apportionment of costs on the basis of any fixed ratio should be made at this stage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result, I am of the view that the Band is entitled to costs of this action at Scale 3. Trans-Canada and the Shuter estate are liable for these costs jointly and severally.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3"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Peters v. Co-Operators Life Insurance Co., [2008] B.C.J. No. 2018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J.K. Bracken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24 and 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S046434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2018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1434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172 A.C.W.S. (3d) 838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Janet Peters, Plaintiff, and Co-Operators Life Insurance Company, Co-Operators Compagnie D'Assurance-Vie and H.Y. Louie Co.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0" w:name="Keywords_9"/>
      <w:bookmarkEnd w:id="70"/>
      <w:r>
        <w:rPr>
          <w:rFonts w:ascii="arial" w:eastAsia="arial" w:hAnsi="arial" w:cs="arial"/>
          <w:b/>
          <w:color w:val="000000"/>
          <w:sz w:val="20"/>
          <w:lang w:val="en-US" w:eastAsia="en-US" w:bidi="ar-SA"/>
        </w:rPr>
        <w:t>Alternative dispute resolution — Binding arbitration — Voluntary binding arbitration — Agreement to arbitrate — Application by employer to dismiss employee's action for lack of jurisdiction allowed — Employee claimed she relied on negligent advice from employer in not submitting application for disability benefits in time — Employer had advised her she was not eligible under collective agreement — Collective agreement also provided for arbitration for such disputes, so court lacked jurisdiction.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Disposition without trial — Dismissal of action — Lack of jurisdiction — Application by employer to dismiss employee's action for lack of jurisdiction allowed — Employee claimed she relied on negligent advice from employer in not submitting application for disability benefits in time — Employer had advised her she was not eligible under collective agreement — Collective agreement also provided for arbitration for such disputes, so court lacked jurisdiction — British Columbia Rules of Court, Rule 18A.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Labour arbitration — The collective agreement — Application — Application by employer to dismiss employee's action for lack of jurisdiction allowed — Employee claimed she relied on negligent advice from employer in not submitting application for disability benefits in time — Employer had advised her she was not eligible under collective agreement — Collective agreement also provided for arbitration for such disputes, so court lacked jurisdiction — Labour Relations Code, ss. 84, 89.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Labour arbitration — Employee rights and benefits — Benefits — Disability — Entitlement — Employees on maternity or other leave — Application by employer to dismiss employee's action for lack of jurisdiction allowed — Employee claimed she relied on negligent advice from employer in not submitting application for disability benefits in time — Employer had advised her she was not eligible under collective agreement — Collective agreement also provided for arbitration for such disputes, so court lacked jurisdiction.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1" w:name="Case Summary_9"/>
            <w:bookmarkEnd w:id="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HYL to dismiss Peters' action for lack of jurisdiction. Peters was an employee of HYL and a union member. There was a collective agreement in force providing all disputes between employees and HYL were to be considered grievances and were to be dealt with through arbitration. Peters requested and went on a leave of absence. She was informed her medical and other benefits would cease during the period of the leave. Two days into the leave, she had vision problems. She was ultimately diagnosed with multiple sclerosis. She contacted HYL ten months later to inform it of the diagnosis. HYL advised her it would try to accommodate her condition, but because of the physical nature of her job and her concerns about her ability to perform it, HYL requested further medical information. Eight months later, HYL received a report indicating Peters would not be able to work in her old position. Peters requested a Record of Employment and an application for long-term disability. HYL advised her she was not eligible for disability benefits because she was diagnosed while on her leave. It advised her it was seeking an alternate position for her. HYL ultimately sent the benefit application form anyway, reiterating it did not consider her eligible for benefits. Peters did not submit the application until a year and a half later. The insurer, Co-operators, denied liability as the claim was filed out of time, and also noted she was not eligible for benefits as she was on leave when diagnosed. Peters commenced an action against Co-operators and HYL. She claimed she relied on negligent advice from HYL in failing to submit the application for benefits until a lawyer advised her otherwise.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2" w:name="Holdings of Court_8"/>
            <w:bookmarkEnd w:id="7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essential character of the dispute between Peters and HYL was whether HYL dealt properly with its obligation under the collective agreement with respect to Peter's claim for disability benefits. Peters entitlement to benefits was governed by the collective agreement, not the employer's insurance policy. This was a workplace matter that fell within the ambit of the collective agreement and was therefore subject to arbitration.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3" w:name="Legislation Cited_6"/>
      <w:bookmarkEnd w:id="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Act, RSBC 1996, CHAPTER 226,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hyperlink r:id="rId211" w:history="1">
        <w:r>
          <w:rPr>
            <w:rFonts w:ascii="arial" w:eastAsia="arial" w:hAnsi="arial" w:cs="arial"/>
            <w:i/>
            <w:color w:val="0077CC"/>
            <w:sz w:val="20"/>
            <w:u w:val="single"/>
            <w:shd w:val="clear" w:color="auto" w:fill="FFFFFF"/>
            <w:lang w:val="en-US" w:eastAsia="en-US" w:bidi="ar-SA"/>
          </w:rPr>
          <w:t>RSBC 1996, CHAPTER 244, s. 84</w:t>
        </w:r>
      </w:hyperlink>
      <w:r>
        <w:rPr>
          <w:rFonts w:ascii="arial" w:eastAsia="arial" w:hAnsi="arial" w:cs="arial"/>
          <w:color w:val="000000"/>
          <w:sz w:val="20"/>
          <w:lang w:val="en-US" w:eastAsia="en-US" w:bidi="ar-SA"/>
        </w:rPr>
        <w:t>, s. 89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4" w:name="Counsel_9"/>
      <w:bookmarkEnd w:id="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F.E. Hayman.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Co-Operators Life Insurance Company, Co-Operators Compagnie D'Assurance-Vie: B.A. Laughton,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H.Y. Louie Co. Ltd.: T.A. Sigurdson.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5" w:name="Judgment_9"/>
      <w:bookmarkEnd w:id="75"/>
      <w:r>
        <w:pict>
          <v:line id="_x0000_s1077" style="position:absolute;z-index:2518210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November 17, 2008; the correction has been made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6" w:name="J.K. BRACKEN J."/>
            <w:bookmarkEnd w:id="76"/>
            <w:r>
              <w:rPr>
                <w:rFonts w:ascii="arial" w:eastAsia="arial" w:hAnsi="arial" w:cs="arial"/>
                <w:b/>
                <w:color w:val="000000"/>
                <w:sz w:val="30"/>
                <w:lang w:val="en-US" w:eastAsia="en-US" w:bidi="ar-SA"/>
              </w:rPr>
              <w:t>J.K. BRACKEN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The defendant H.Y. Louie Co. Ltd. ("HYL") applies pursuant to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to dismiss the plaintiff's action against it on the ground that the court is without jurisdiction to hear the matter as it is properly a matter for arbitration pursuant to the collective agreement made between the Teamsters Union Local 213 ("the Union") and HYL. The plaintiff says that the court has jurisdiction as the difference or dispute between the parties is, in its essential character, a matter that is independent of the collective agreement and thus within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The plaintiff is an employee of HYL in its warehouse operations in Burnaby, British Columbia. She is also a member of the Union and the Union is certified as the bargaining agent for HYL's Burnaby warehouse. HYL and the Union negotiated a collective agreement that was in place at all relevant times. Article 12.01 of the collective agreement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complaint, disagreement or difference of opinion between the Employer, the Union or the employees covered by this Agreement, which concerns the interpretation or application of the terms and provisions of the Agreement, shall be considered a grievance.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Until November 30, 2001, the plaintiff worked as a loader/order picker and she at all times performed her job well. In November 2001, she requested in writing, and was granted a leave of absence for one year pursuant to Article 5.05 of the collective agreement that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employee desires a leave of absence for reasons other than medical, he must obtain permission in writing, for the same from the Employer. Leave of absence shall be granted at the discretion of the Employer. No leave of absence shall be for a period of longer than one (1) year except as authorized by the Employer and the Union. No legitimate and reasonable request for a leave of absence will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HYL approved the plaintiff's request for a leave of absence and she commenced her leave on December 1, 2001 in accordance with her request. In its letter to the plaintiff granting her request for a leave of absence, HYL advised her that in accordance with the terms of Article 5.05 of the collective agreement, any medical or other benefits provided under the collective agreement were terminated for the duration of the leave of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On December 2, 2001, the second day of her leave of absence, the plaintiff experienced a sudden decrease in vision in her left eye. She went to her family doctor who immediately referred her to a specialist who suspected that the plaintiff suffered from "relapsing remitting multiple sclerosis". Her specialist, in turn, referred her to a second specialist, and in June 2002 the diagnosis of multiple sclerosis was confirmed. She contacted her union steward who advised her that she had to deal with HYL for any medical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She contacted HYL in late August 2002 and advised them that she had been diagnosed with multiple sclerosis. By letter dated September 25, 2002, HYL advised the plaintiff that it would try and accommodate her return to work on December 2, 2002, but as she had expressed concerns about her ability to perform her old job due to its physical demands, HYL advised that it may require further medical information to assess whether she could return to work in that position. In April 2003 HYL received a report from an Occupational Health Physician indicating that the plaintiff was not able to return to work in her old position as she was not able to meet the physical demands of the job because of her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In May 2003 the plaintiff asked HYL to send her a Record of Employment and an application for the long-term disability benefits that were in place pursuant to the collective agreement. HYL wrote to the plaintiff May 22, 2003, and advised her that as she was on a leave of absence at the time her illness was diagnosed, she was not eligible for any disability benefits. HYL stated in that letter that "As you are not eligible for Long-Term Disability coverage there is no reason to forward an application to you." HYL also advised that it was continuing to explore alternative employment positions for her and that if anything came available it would let her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On May 28, 2003, just a few days later, HYL sent the plaintiff another letter and enclosed the application forms for long-term disability benefits. Once again, HYL advised that "[We] would like to reiterate that it is our understanding that you are not eligible for benefits as you did not have long-term disability coverage when you became disabled from working." The letter contained an explanation of why HYL was of the opinion that the plaintiff did not have benefits at the time. Finally, the plaintiff was told how to complete and submit the forms if she chose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[9] The plaintiff did not submit the necessary forms to apply for disability benefits. In fact, she did not make any claim until November 2004 when, after seeking the advice of counsel, she completed and forwarded the forms to the defendant Co-Operators Life Insurance ("Co-Operators"). Co-Operators denied any liability as the claim was filed out of time and, in any event, the plaintiff was on a leave of absence at the time of disability. In this action, the plaintiff says that she relied on HYL's statements in the letters it sent to her in May 2003 that she was not entitled to benefits and she claims that those statements constitute negligent advice. She also claims on the policy of insurance against Co-Operators, relying, in part, on the relief from forfeiture provisions contained in s. 10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[10] In addition to the parties' agreement to submit disputes to arbitration under the collective agreement, HYL says that the legislative scheme in British Columbia provides for the adjudication of disputes that arise under a collective agreement in the </w:t>
      </w:r>
      <w:r>
        <w:rPr>
          <w:rFonts w:ascii="arial" w:eastAsia="arial" w:hAnsi="arial" w:cs="arial"/>
          <w:b/>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84(2) Every collective agreement must contain a provision for final and conclusive settlement without stoppage of work, by arbitration or another method agreed to by the parties, of all disputes between the persons bound by the agreement respecting its interpretation, application, operation or alleged violation, including a question as to whether a matter is arbitrable.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[11] The </w:t>
      </w:r>
      <w:r>
        <w:rPr>
          <w:rFonts w:ascii="arial" w:eastAsia="arial" w:hAnsi="arial" w:cs="arial"/>
          <w:b/>
          <w:i/>
          <w:color w:val="000000"/>
          <w:sz w:val="20"/>
          <w:lang w:val="en-US" w:eastAsia="en-US" w:bidi="ar-SA"/>
        </w:rPr>
        <w:t>Labour Relations Code</w:t>
      </w:r>
      <w:r>
        <w:rPr>
          <w:rFonts w:ascii="arial" w:eastAsia="arial" w:hAnsi="arial" w:cs="arial"/>
          <w:color w:val="000000"/>
          <w:sz w:val="20"/>
          <w:lang w:val="en-US" w:eastAsia="en-US" w:bidi="ar-SA"/>
        </w:rPr>
        <w:t xml:space="preserve"> also provides by s. 89 that an arbitrator has authority to set the monetary value of any injury or loss as a result of the contravention of the collective agreement and to relieve against breaches of time limitations or breaches of procedural requirements set out in the collective agreement. Thus, HYL submits that an arbitrator under the collective agreement has the power to provide any remedy that the plaintiff might be entitled to if she is successful in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HYL's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HYL submits that the provisions of the collective agreement set out the requirements regarding the provision of health and welfare benefits by HYL. Section 30.01 of the collective agreement requires that all employees of HYL be covered by the health and welfare plan. The following provisions of the collective agreement are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30.03 It will be the responsibility of the Employer to ensure that all employees complete such forms as are required in the operation and administration of the Benefit Plans and ensuring coverage is maintained. Failure of the Employer to secure the necessary administration forms from employees, forward completed forms on the due date to the administrator, will cause the Employer to be liable for any claims arising as a result of such failure.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30.04 It shall be the Employer's responsibility to supply all necessary administration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HYL submits that the collective agreement provides a comprehensive scheme for the benefits coverage for employees, including disability benefits for employees who are unable to work due to illness. The collective agreement also sets out the responsibilities of HYL respecting the administration of the health and welfare benefits plan. Further, it provides for mandatory resolution of disputes between the parties. The collective agreement sets out a step-by-step process for the resolution of such disputes including the final resolution by an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It is argued by HYL that the collective agreement provides for all of the matters raised in the plaintiff's action to be dealt with under the grievance procedure of the collective agreement and the court is therefore without jurisdiction. HYL also points to Letter of Understanding No. 5, which is annexed to and forms part of the collective agreement. HYL says that letter further supports its position that the issue between it and the plaintiff is an arbitrable matter. The letter of understanding provides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for any reason, there is a disagreement between the Union and the Company on the application of any benefit, the matter is subject to the Grievance Procedure, Article 12,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argues that the letter of understanding deals solely with issues respecting the general application of the benefits to be provided by HYL, and that it is not a provision intended to deal with disputes between employees and the Employer. I tend to agree with the plaintiff's position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The plaintiff submits that the dispute or difference between her and HYL is, in its essential character, whether she has long-term disability coverage and whether she is eligible for benefits under the policy of insurance. She argues that the policy of insurance is a separate contract and the alleged negligent misrepresentation does not relate to a dispute between her and HYL about an issue arising under the collective agreement, but rather it raises the issue of what coverage she has under the policy of insurance. She argues that it is a dispute or difference arising out of the interpretation and application of the insurance policy and not the collective agreement. She says that the matter is an action on the independent tort of negligent misrepresentation respecting benefits under the insurance policy and that her claim is therefore subject to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[16] The plaintiff stresses that the factual context of the matter is important. She says that by providing the health and welfare plan and providing the necessary forms as required by the collective agreement, HYL can argue that it has fully complied with all of the express terms of the collective agreement. The plaintiff says that the dispute therefore does not concern HYL's actions in response to its obligations under the collective agreement. She submits that this case is similar to </w:t>
      </w:r>
      <w:r>
        <w:rPr>
          <w:rFonts w:ascii="arial" w:eastAsia="arial" w:hAnsi="arial" w:cs="arial"/>
          <w:b/>
          <w:i/>
          <w:color w:val="000000"/>
          <w:sz w:val="20"/>
          <w:lang w:val="en-US" w:eastAsia="en-US" w:bidi="ar-SA"/>
        </w:rPr>
        <w:t>Bisaillon v. Concordia University</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[2006] S.C.J. No. 19</w:t>
        </w:r>
      </w:hyperlink>
      <w:r>
        <w:rPr>
          <w:rFonts w:ascii="arial" w:eastAsia="arial" w:hAnsi="arial" w:cs="arial"/>
          <w:color w:val="000000"/>
          <w:sz w:val="20"/>
          <w:lang w:val="en-US" w:eastAsia="en-US" w:bidi="ar-SA"/>
        </w:rPr>
        <w:t>, where the court held that the subject matter of a dispute between the plaintiff and the University was the pension plan that had been established pursuant to the collective agreement. However, in that case the court found that the University had control over the pension plan and had, at least implicitly, committed itself to respect and fulfill the various rights and obligations provided by the plan (paragraph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[17] The plaintiff submits that there is an essential distinction between the collective agreement and the policy of insurance, and that the subject matter of this dispute is, in its essential character, a dispute involving the insurance policy and not the collective agreement. She argues on the authority of </w:t>
      </w:r>
      <w:r>
        <w:rPr>
          <w:rFonts w:ascii="arial" w:eastAsia="arial" w:hAnsi="arial" w:cs="arial"/>
          <w:b/>
          <w:i/>
          <w:color w:val="000000"/>
          <w:sz w:val="20"/>
          <w:lang w:val="en-US" w:eastAsia="en-US" w:bidi="ar-SA"/>
        </w:rPr>
        <w:t>Hospital Employees' Union v. Children and Women's Health Centre,</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2000 BCCA 170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London Life Insurance v. I.W.A. Canada, Local 2693</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(2000), 190 D.L.R. (4th) 428</w:t>
        </w:r>
      </w:hyperlink>
      <w:r>
        <w:rPr>
          <w:rFonts w:ascii="arial" w:eastAsia="arial" w:hAnsi="arial" w:cs="arial"/>
          <w:color w:val="000000"/>
          <w:sz w:val="20"/>
          <w:lang w:val="en-US" w:eastAsia="en-US" w:bidi="ar-SA"/>
        </w:rPr>
        <w:t xml:space="preserve"> (Ont. C.A.), leave to appeal dismissed, </w:t>
      </w:r>
      <w:hyperlink r:id="rId216" w:history="1">
        <w:r>
          <w:rPr>
            <w:rFonts w:ascii="arial" w:eastAsia="arial" w:hAnsi="arial" w:cs="arial"/>
            <w:i/>
            <w:color w:val="0077CC"/>
            <w:sz w:val="20"/>
            <w:u w:val="single"/>
            <w:shd w:val="clear" w:color="auto" w:fill="FFFFFF"/>
            <w:lang w:val="en-US" w:eastAsia="en-US" w:bidi="ar-SA"/>
          </w:rPr>
          <w:t>[2000] S.C.C.A. No. 496</w:t>
        </w:r>
      </w:hyperlink>
      <w:r>
        <w:rPr>
          <w:rFonts w:ascii="arial" w:eastAsia="arial" w:hAnsi="arial" w:cs="arial"/>
          <w:color w:val="000000"/>
          <w:sz w:val="20"/>
          <w:lang w:val="en-US" w:eastAsia="en-US" w:bidi="ar-SA"/>
        </w:rPr>
        <w:t xml:space="preserve">, that a dispute between an employee and an insurer is a matter for the courts, not arbitration under the collective agreement as an arbitrator has no jurisdiction over a third party insurer. However, in my view, that argument can succeed only if the subject matter of the dispute is based upon the policy of the insurance and the parties to the dispute are the employee and the third party insurer. That is what happened in </w:t>
      </w:r>
      <w:r>
        <w:rPr>
          <w:rFonts w:ascii="arial" w:eastAsia="arial" w:hAnsi="arial" w:cs="arial"/>
          <w:b/>
          <w:i/>
          <w:color w:val="000000"/>
          <w:sz w:val="20"/>
          <w:lang w:val="en-US" w:eastAsia="en-US" w:bidi="ar-SA"/>
        </w:rPr>
        <w:t>Elkview Coal Corp. v. United Steelworkers of America, Local Union No. 9346,</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2001 BCCA 488</w:t>
        </w:r>
      </w:hyperlink>
      <w:r>
        <w:rPr>
          <w:rFonts w:ascii="arial" w:eastAsia="arial" w:hAnsi="arial" w:cs="arial"/>
          <w:color w:val="000000"/>
          <w:sz w:val="20"/>
          <w:lang w:val="en-US" w:eastAsia="en-US" w:bidi="ar-SA"/>
        </w:rPr>
        <w:t>, where the court held that the issue was the proper interpretation of the definition of the word "spouse" in the policy of insurance and therefore a matter for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[16] The plaintiff also argues that other authorities support the jurisdiction of the courts over an arbitrator. In particular, reference was made to </w:t>
      </w:r>
      <w:r>
        <w:rPr>
          <w:rFonts w:ascii="arial" w:eastAsia="arial" w:hAnsi="arial" w:cs="arial"/>
          <w:b/>
          <w:i/>
          <w:color w:val="000000"/>
          <w:sz w:val="20"/>
          <w:lang w:val="en-US" w:eastAsia="en-US" w:bidi="ar-SA"/>
        </w:rPr>
        <w:t>Regina Police Assn. Inc. v. Regina (City) Board of Police Commissioners</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[2000] 1 S.C.R. 360</w:t>
        </w:r>
      </w:hyperlink>
      <w:r>
        <w:rPr>
          <w:rFonts w:ascii="arial" w:eastAsia="arial" w:hAnsi="arial" w:cs="arial"/>
          <w:color w:val="000000"/>
          <w:sz w:val="20"/>
          <w:lang w:val="en-US" w:eastAsia="en-US" w:bidi="ar-SA"/>
        </w:rPr>
        <w:t xml:space="preserve">, where the court held that the subject matter of the dispute was discipline and that it was therefore subject to court jurisdiction pursuant to the established legislative scheme and that it did not arise out of the collective agreement. Similarly, in </w:t>
      </w:r>
      <w:r>
        <w:rPr>
          <w:rFonts w:ascii="arial" w:eastAsia="arial" w:hAnsi="arial" w:cs="arial"/>
          <w:b/>
          <w:i/>
          <w:color w:val="000000"/>
          <w:sz w:val="20"/>
          <w:lang w:val="en-US" w:eastAsia="en-US" w:bidi="ar-SA"/>
        </w:rPr>
        <w:t>Quebec (Commission des droits de la personne et de draits de la jeunesse) v. Quebec (Attorney General)</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[2004] 2 S.C.R. 185</w:t>
        </w:r>
      </w:hyperlink>
      <w:r>
        <w:rPr>
          <w:rFonts w:ascii="arial" w:eastAsia="arial" w:hAnsi="arial" w:cs="arial"/>
          <w:color w:val="000000"/>
          <w:sz w:val="20"/>
          <w:lang w:val="en-US" w:eastAsia="en-US" w:bidi="ar-SA"/>
        </w:rPr>
        <w:t xml:space="preserve">, the court found the essential character of the dispute to be a matter within the jurisdiction of the Human Rights Tribunal. In </w:t>
      </w:r>
      <w:r>
        <w:rPr>
          <w:rFonts w:ascii="arial" w:eastAsia="arial" w:hAnsi="arial" w:cs="arial"/>
          <w:b/>
          <w:i/>
          <w:color w:val="000000"/>
          <w:sz w:val="20"/>
          <w:lang w:val="en-US" w:eastAsia="en-US" w:bidi="ar-SA"/>
        </w:rPr>
        <w:t>Piko v. Hudson's Bay Co.</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[1998] O.J. No. 4714</w:t>
        </w:r>
      </w:hyperlink>
      <w:r>
        <w:rPr>
          <w:rFonts w:ascii="arial" w:eastAsia="arial" w:hAnsi="arial" w:cs="arial"/>
          <w:color w:val="000000"/>
          <w:sz w:val="20"/>
          <w:lang w:val="en-US" w:eastAsia="en-US" w:bidi="ar-SA"/>
        </w:rPr>
        <w:t xml:space="preserve"> (Ont. C.A.), it was held that the court had jurisdiction as the defendant employer had itself chosen to go outside of the terms of the collective agreement to commence a criminal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[17] The plaintiff says that prior to the start of her leave of absence she was experiencing lapses of concentration, constant fatigue, pain in her shoulders, neck and back. She also had numbness in her fingers, left leg and torso and a "funny feeling" in her right leg making it somewhat difficult to walk. While those facts may be more relevant to the claim against Co-Operators, I note that there was no evidence that any of that information was provided to the employer prior to the commencement of the leave of absence. The only evidence respecting the plaintiff's reasons for requesting the leave of absence is contained in the affidavit of Kim Collinge, of HYL's human resources department. That affidavit states that HYL had received information that the leave of absence was as a result of the plaintiff and her partner receiving an inheritance and she wanted to take some time off. No source of that information was provided in the affidavit and it is, in any event, not relevant to the issue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[18] </w:t>
      </w:r>
      <w:r>
        <w:rPr>
          <w:rFonts w:ascii="arial" w:eastAsia="arial" w:hAnsi="arial" w:cs="arial"/>
          <w:b/>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was a case that involved an employee of Ontario Hydro who was off work and receiving sick leave benefits. Ontario Hydro believed that the employee was malingering and hired a private investigator who, under a pretext, gained access to the employee's home. As a result of the investigation, Ontario Hydro cut off all benefits to the employee. He sued alleging the torts of trespass, nuisance, deceit, and an invasion of privacy. Ontario Hydro claimed the matter was within the exclusive jurisdiction of an arbitrator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[19] The court agreed with Ontario Hydro, noting the legislative scheme that governed the matter and the court's earlier decision in </w:t>
      </w:r>
      <w:r>
        <w:rPr>
          <w:rFonts w:ascii="arial" w:eastAsia="arial" w:hAnsi="arial" w:cs="arial"/>
          <w:b/>
          <w:i/>
          <w:color w:val="000000"/>
          <w:sz w:val="20"/>
          <w:lang w:val="en-US" w:eastAsia="en-US" w:bidi="ar-SA"/>
        </w:rPr>
        <w:t>St. Anne Nackawic Pulp and Paper Co. v. Canadian Paper Workers Union, Local 219</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which established that labour relations legislation operates as a code covering all aspects of labour relations and that it would "... offend the legislative scheme to permit the parties to a collective agreement or the employees on whose behalf it was negotiated, to have recourse to the ordinary courts which are in the circumstances a duplicative forum to which the legislature has not assigned these tasks." (paragraph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[19] In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McLachlin J., as she then was, set out the proper analytical approach at paragraph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the dispute, the decision-maker must attempt to define its "essential character", to use the phrase of La Forest J.A. in </w:t>
      </w:r>
      <w:r>
        <w:rPr>
          <w:rFonts w:ascii="arial" w:eastAsia="arial" w:hAnsi="arial" w:cs="arial"/>
          <w:b/>
          <w:i/>
          <w:color w:val="000000"/>
          <w:sz w:val="20"/>
          <w:lang w:val="en-US" w:eastAsia="en-US" w:bidi="ar-SA"/>
        </w:rPr>
        <w:t>Energy &amp; Chemical Workers Union, Local 691 v. Irving Oil Ltd.</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(1983), 148 D.L.R. (3d) 398</w:t>
        </w:r>
      </w:hyperlink>
      <w:r>
        <w:rPr>
          <w:rFonts w:ascii="arial" w:eastAsia="arial" w:hAnsi="arial" w:cs="arial"/>
          <w:color w:val="000000"/>
          <w:sz w:val="20"/>
          <w:lang w:val="en-US" w:eastAsia="en-US" w:bidi="ar-SA"/>
        </w:rPr>
        <w:t xml:space="preserve"> (N.B.C.A.). The fact that the parties are employer and employee may not be determinative. Similarly, the place of the conduct giving rise to the dispute may not be conclusive; matters arising from the collective agreement may occur off the workplace and conversely, not everything that happens on the workplace may arise from the collective agreement: </w:t>
      </w:r>
      <w:r>
        <w:rPr>
          <w:rFonts w:ascii="arial" w:eastAsia="arial" w:hAnsi="arial" w:cs="arial"/>
          <w:b/>
          <w:i/>
          <w:color w:val="000000"/>
          <w:sz w:val="20"/>
          <w:lang w:val="en-US" w:eastAsia="en-US" w:bidi="ar-SA"/>
        </w:rPr>
        <w:t>Energy &amp; Chemical Workers Union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per La Forest J.A. Sometimes the time when the claim originated may be important, as in </w:t>
      </w:r>
      <w:r>
        <w:rPr>
          <w:rFonts w:ascii="arial" w:eastAsia="arial" w:hAnsi="arial" w:cs="arial"/>
          <w:b/>
          <w:i/>
          <w:color w:val="000000"/>
          <w:sz w:val="20"/>
          <w:lang w:val="en-US" w:eastAsia="en-US" w:bidi="ar-SA"/>
        </w:rPr>
        <w:t>Wainwright v. Vancouver Shipyards Co</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(1987), 38 D.L.R. (4th) 760</w:t>
        </w:r>
      </w:hyperlink>
      <w:r>
        <w:rPr>
          <w:rFonts w:ascii="arial" w:eastAsia="arial" w:hAnsi="arial" w:cs="arial"/>
          <w:color w:val="000000"/>
          <w:sz w:val="20"/>
          <w:lang w:val="en-US" w:eastAsia="en-US" w:bidi="ar-SA"/>
        </w:rPr>
        <w:t xml:space="preserve"> (B.C.C.A.), where it was held that the court had jurisdiction over contracts pre-dating the collective agreement. See also </w:t>
      </w:r>
      <w:r>
        <w:rPr>
          <w:rFonts w:ascii="arial" w:eastAsia="arial" w:hAnsi="arial" w:cs="arial"/>
          <w:b/>
          <w:i/>
          <w:color w:val="000000"/>
          <w:sz w:val="20"/>
          <w:lang w:val="en-US" w:eastAsia="en-US" w:bidi="ar-SA"/>
        </w:rPr>
        <w:t>Johnston v. Dresser Industries Canada Ltd.</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(1990), 75 O.R. (2d) 609</w:t>
        </w:r>
      </w:hyperlink>
      <w:r>
        <w:rPr>
          <w:rFonts w:ascii="arial" w:eastAsia="arial" w:hAnsi="arial" w:cs="arial"/>
          <w:color w:val="000000"/>
          <w:sz w:val="20"/>
          <w:lang w:val="en-US" w:eastAsia="en-US" w:bidi="ar-SA"/>
        </w:rPr>
        <w:t xml:space="preserve"> (C.A.). In the majority of cases the nature of the dispute will be clear; either it had to do with the collective agreement or it did not. Some cases, however, may be less than obvious. The question in each case is whether the dispute, in its essential character arises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[20] In deciding that the matter was within the exclusive jurisdiction of an arbitrator McLachlin J. made it clear that describing a dispute as a tort does not necessarily define it as being outside of the jurisdiction of an arbitrator. The question is whether the essential character of the dispute arises expressly or inferentially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[21] </w:t>
      </w:r>
      <w:r>
        <w:rPr>
          <w:rFonts w:ascii="arial" w:eastAsia="arial" w:hAnsi="arial" w:cs="arial"/>
          <w:b/>
          <w:i/>
          <w:color w:val="000000"/>
          <w:sz w:val="20"/>
          <w:lang w:val="en-US" w:eastAsia="en-US" w:bidi="ar-SA"/>
        </w:rPr>
        <w:t>New Brunswick v. O'Leary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xml:space="preserve">, was a companion decision to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The defendant in that case worked for the New Brunswick government and in the course of his work damaged a vehicle that the government had leased from a third party. The government sued him seeking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held, relying on its decision in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that even though the issue of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expressly dealt with in the collective agreement,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employee impliedly fell under it. A similar result occurred in </w:t>
      </w:r>
      <w:r>
        <w:rPr>
          <w:rFonts w:ascii="arial" w:eastAsia="arial" w:hAnsi="arial" w:cs="arial"/>
          <w:b/>
          <w:i/>
          <w:color w:val="000000"/>
          <w:sz w:val="20"/>
          <w:lang w:val="en-US" w:eastAsia="en-US" w:bidi="ar-SA"/>
        </w:rPr>
        <w:t>Ferreira v. Richmond (City)</w:t>
      </w:r>
      <w:r>
        <w:rPr>
          <w:rFonts w:ascii="arial" w:eastAsia="arial" w:hAnsi="arial" w:cs="arial"/>
          <w:color w:val="000000"/>
          <w:sz w:val="20"/>
          <w:lang w:val="en-US" w:eastAsia="en-US" w:bidi="ar-SA"/>
        </w:rPr>
        <w:t>, [2007] B.C.C.A. 131, where the court held that the dispute between the parties was about how the plaintiff had been treated at work and not harassment by City employees that caused him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[22] The essential character of the dispute in this case is whether HYL dealt properly with its obligations under the collective agreement with respect to the plaintiff's claim for disability benefits. I agree with HYL that this is a workplace matter in that the collective agreement provides for the long-term disability benefits that the plaintiff seeks; that is, that HYL has the obligation to ensure that all employees are enrolled in the benefits plan and that all completed forms and documents are forwarded to Co-Operators. On the facts of this case, the obligation upon HYL to provide proper forms and to perform the administrative functions respecting the health and welfare benefits carries with it an implied obligation not to do so in a negligent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[23] The plaintiff was on a non-medical leave of absence when her illness was diagnosed and the benefit coverage was discontinued in accordance with the terms of the collective agreement. In my view, the plaintiff's status on leave of absence governs her entitlement to benefits by the express terms of Article 5.05 of the collective agreement. Presumably, had she been at work and not on leave when she became disabled, she would have qualified for disability benefits. HYL was required by the terms of the collective agreement to provide the necessary forms to the plaintiff so that she could make application to Co-Operators for benefits and it did so. I find that any information that HYL provided to the plaintiff was given in the context of performing its obligations under the collective agreement and that all of the matters surrounding the issue of long-term disability benefits are inextricably linked with the provisions of the collective agreement and its administrative functions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[24] I am not in agreement with the plaintiff's submission that the alleged negligent misrepresentation in this case relates to the terms of disability insurance coverage that should have been available to her under the collective agreement. Nor do I accept that it is an independent tort, unconnected with the obligations of HYL under the collective agreement and therefore within the jurisdiction of the court. While the plaintiff argues that the collective agreement does not cover misrepresentations or negligent advice but rather her entitlement to benefits under the policy of insurance, there is no issue that requires the interpretation of the content of the insurance policy. The plaintiff's entitlement to benefits is governed by the collective agreement and not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[25] The plaintiff argued that if her claim were dismissed, she would be deprived of an ultimate remedy regarding the actions of HYL that fall outside the ambit of the collective agreement. The plaintiff relies on </w:t>
      </w:r>
      <w:r>
        <w:rPr>
          <w:rFonts w:ascii="arial" w:eastAsia="arial" w:hAnsi="arial" w:cs="arial"/>
          <w:b/>
          <w:i/>
          <w:color w:val="000000"/>
          <w:sz w:val="20"/>
          <w:lang w:val="en-US" w:eastAsia="en-US" w:bidi="ar-SA"/>
        </w:rPr>
        <w:t>Ancheta v. Joe</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[2003] B.C.J. No. 112</w:t>
        </w:r>
      </w:hyperlink>
      <w:r>
        <w:rPr>
          <w:rFonts w:ascii="arial" w:eastAsia="arial" w:hAnsi="arial" w:cs="arial"/>
          <w:color w:val="000000"/>
          <w:sz w:val="20"/>
          <w:lang w:val="en-US" w:eastAsia="en-US" w:bidi="ar-SA"/>
        </w:rPr>
        <w:t xml:space="preserve"> (S.C.), for this submission; however, in that case the court clearly held that the allegations of defamation made by the plaintiff were factually related to allegations of malicious prosecution and that those issues did not arise out of the collective agreement (paragraph 88). However, other claims made by the plaintiff in that case related to the termination of his employment, the manner in which certain allegations were investigated and allegations that he was illegally detained and questioned by the defendants were held to be labour disputes arising under the collective agreement (paragraph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[26] I find that the collective agreement required HYL to provide health and welfare benefits, including long-term disability insurance for its employees. Under the collective agreement HYL was obligated to ensure that each of its employees was enrolled in the program of benefits provided. It had the additional administrative obligation to provide appropriate application forms to any employee and it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[27] The only connection that HYL has to the plaintiff's claim is pursuant to its obligations under the collective agreement. The plaintiff's status on leave of absence pursuant to the terms of the collective agreement is said to be determinative of her entitlement to benefits. On the authority of </w:t>
      </w:r>
      <w:r>
        <w:rPr>
          <w:rFonts w:ascii="arial" w:eastAsia="arial" w:hAnsi="arial" w:cs="arial"/>
          <w:b/>
          <w:i/>
          <w:color w:val="000000"/>
          <w:sz w:val="20"/>
          <w:lang w:val="en-US" w:eastAsia="en-US" w:bidi="ar-SA"/>
        </w:rPr>
        <w:t>O'Leary</w:t>
      </w:r>
      <w:r>
        <w:rPr>
          <w:rFonts w:ascii="arial" w:eastAsia="arial" w:hAnsi="arial" w:cs="arial"/>
          <w:color w:val="000000"/>
          <w:sz w:val="20"/>
          <w:lang w:val="en-US" w:eastAsia="en-US" w:bidi="ar-SA"/>
        </w:rPr>
        <w:t>, an obligation upon HYL to provide accurate information to employees respecting claims for benefits can be implied into the obligations of HYL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[28] On all of these facts, I therefore conclude that the essential character of the dispute or difference between the parties concerns the "</w:t>
      </w:r>
      <w:r>
        <w:rPr>
          <w:rFonts w:ascii="arial" w:eastAsia="arial" w:hAnsi="arial" w:cs="arial"/>
          <w:i/>
          <w:color w:val="000000"/>
          <w:sz w:val="20"/>
          <w:lang w:val="en-US" w:eastAsia="en-US" w:bidi="ar-SA"/>
        </w:rPr>
        <w:t>interpretation or application of the terms and provisions of the Agreement"</w:t>
      </w:r>
      <w:r>
        <w:rPr>
          <w:rFonts w:ascii="arial" w:eastAsia="arial" w:hAnsi="arial" w:cs="arial"/>
          <w:color w:val="000000"/>
          <w:sz w:val="20"/>
          <w:lang w:val="en-US" w:eastAsia="en-US" w:bidi="ar-SA"/>
        </w:rPr>
        <w:t xml:space="preserve"> in accordance with Article 12.01, and that it is therefore within the exclusive jurisdiction of an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[29] I therefore grant the application for a Declaration that the plaintiff's claim against HYL is within the exclusive jurisdiction of an arbitrator under the collective agreement and that the court is without jurisdiction to hear it. The plaintiff's claim against the defendant HYL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[28] Unless the parties have further submissions, HYL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J.K. BRACKEN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17,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J.K. Bracken dated October 27, 2008 have been edited.</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page 15, the last paragraph of the Reasons for Judgment indicated as "paragragh </w:t>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should read "paragraph </w:t>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R. v. Becker, [2002] B.C.J. No. 330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Smithers Registry No. 16462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M.V.R. (4th) 166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53 W.C.B. (2d) 146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Eric Roger Becker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9"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7" w:name="Keywords_10"/>
      <w:bookmarkEnd w:id="77"/>
      <w:r>
        <w:rPr>
          <w:rFonts w:ascii="arial" w:eastAsia="arial" w:hAnsi="arial" w:cs="arial"/>
          <w:b/>
          <w:color w:val="000000"/>
          <w:sz w:val="20"/>
          <w:lang w:val="en-US" w:eastAsia="en-US" w:bidi="ar-SA"/>
        </w:rPr>
        <w:t>Criminal law — Offences against person and reputation — Motor vehicle — Dangerous driving — Elements of — Evidence and proof — Appeals, indictable offences — Appeal from conviction.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8" w:name="Case Summary_10"/>
            <w:bookmarkEnd w:id="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appeal by Becker from a conviction for dangerous driving. Becker was driving his vehicle with a motorcycle one- car length behind him when he suddenly braked to a stop. The motorcycle struck the rear of Becker's vehicle and its driver rolled into the other lane. After the accident, Becker offered no explanation for his sudden stop. However, at trial, he testified that he had seen a deer and was trying to avoid a potential collision. The trial judge rejected this testimony and Becker was convicted. On appeal, Becker argued that it had not been established that a reasonable person would have been aware of the risks in his conduct.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9" w:name="Holdings of Court_9"/>
            <w:bookmarkEnd w:id="79"/>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ample evidence to support the trial judge's conclusion that Becker's driving amounted to a marked departure from the standard of care that a reasonable person would observe. The finding that Becker had not seen a deer was one of credibility and the court could only set aside a verdict on questions of fact where the verdict was unreasonable or could not have been supported by the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0" w:name="Legislation Cited_7"/>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0"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249(1)(a).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1" w:name="Counsel_10"/>
      <w:bookmarkEnd w:id="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Fell, for the Crown. M. Burger, for the accused.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0"/>
      <w:bookmarkEnd w:id="82"/>
      <w:r>
        <w:pict>
          <v:line id="_x0000_s1082"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SLADE J."/>
            <w:bookmarkEnd w:id="83"/>
            <w:r>
              <w:rPr>
                <w:rFonts w:ascii="arial" w:eastAsia="arial" w:hAnsi="arial" w:cs="arial"/>
                <w:b/>
                <w:color w:val="000000"/>
                <w:sz w:val="30"/>
                <w:lang w:val="en-US" w:eastAsia="en-US" w:bidi="ar-SA"/>
              </w:rPr>
              <w:t>SLADE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AND SUMMARY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conviction on the offence of dangerous driving, s. 249(1)(a) Criminal Code of Canada. The trial was before The Honourable Judge W.R. Jack at Smithers, British Columbia in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incident that resulted in this charge occurred early in the afternoon on June 23, 2000. The appellant was driving eastbound on Highway 16. A motorcycle was travelling behind him, and behind the motorcycle, 50 metres behind the appellant, was a pick-up truck. All three vehicles were travelling well below the posted speed limit of 90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motorcyclist was preparing to pass the appellant and, to the appellant's knowledge was approximately one car length behind him. The appellant's vehicle suddenly braked to a stop in the centre of its lane. The stop was so abrupt that the driver of the pick-up truck, travelling 50 metres behind the appellant's vehicle, had to "stand on the brakes"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appellant's vehicle did not leave skid marks. It was equipped with an anti-lock braking system. The motorcycle skidded under hard braking, and struck the rear of the appellant's vehicle. The rider came off the motorcycle, and rolled into the westbound lane. The driver of the pick-up went to his aid. The motorcyclist got to his feet and angrily approached the appellant, who had exited his vehicle and was standing by the concrete abutment at the outer edge of the eastbound lane. The appellant offered no explanation for his abrupt stop, and told the motorcyclist that the collision was his fault for following too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appellant testified at trial. He said that he had seen a deer at the edge of the bushes on the outside of the westbound lane, and braked to avoid a potential collision if the deer crossed the road. In his reasons, the learned trial judge stated in his conclusion that there was no deer as claimed by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judge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has proven its case beyond any reasonable doubt. The conduct of Mr. Becker in operating his motor vehicle on Highway 16 that June day last year, having regard to all of the circumstances, including the nature, condition, and use of the highway, was a marked departure from the standard of care that a reasonable person would observe in Mr. Becker's situation. Therefore, I find Mr. Becker guilty as charged ...</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appellant submits that the learned trial judge erred:</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concluding that there was no deer;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concluding that a reasonable doubt as to the presence of a deer had not been raised, in circumstances in which, on sentencing, the learned judge commented favourably on the appellant's credibility;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relying on the appellant's post collision behaviour as evidence going to his guilt;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OFFENCE OF DANGEROUS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Section 249.(1)(a)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one commits an offence who operates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in a manner that is dangerous to the public, having regard to all the circumstances, including the nature, condition and use of the place at which the motor vehicle is being operated and the amount of traffic that at the time is or might reasonably be expected to be at that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R. v. Hundal </w:t>
      </w:r>
      <w:hyperlink r:id="rId235" w:history="1">
        <w:r>
          <w:rPr>
            <w:rFonts w:ascii="arial" w:eastAsia="arial" w:hAnsi="arial" w:cs="arial"/>
            <w:i/>
            <w:color w:val="0077CC"/>
            <w:sz w:val="20"/>
            <w:u w:val="single"/>
            <w:shd w:val="clear" w:color="auto" w:fill="FFFFFF"/>
            <w:lang w:val="en-US" w:eastAsia="en-US" w:bidi="ar-SA"/>
          </w:rPr>
          <w:t>(1993), 79 C.C.C. (3d) 97</w:t>
        </w:r>
      </w:hyperlink>
      <w:r>
        <w:rPr>
          <w:rFonts w:ascii="arial" w:eastAsia="arial" w:hAnsi="arial" w:cs="arial"/>
          <w:color w:val="000000"/>
          <w:sz w:val="20"/>
          <w:lang w:val="en-US" w:eastAsia="en-US" w:bidi="ar-SA"/>
        </w:rPr>
        <w:t xml:space="preserve"> (S.C.C.), Cory J. for the majority, said (p. 106-107):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it is clear that the basis of liability for dangerous driving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question to be asked is not what the accused subjectively intended but rather whether, viewed objectively, the accused exercised the appropriate standard of care. It is not overly difficult to determine when a driver has fallen markedly below the acceptable standard of care. There can be no doubt that the concept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well understood and readily recognized by most Canadians. Negligent driving can be thought of as a continuum that progresses, or regresses, from momentary lack of attention giving rise to civil responsibility through careless driving under a provincial Highway Traffic Act to dangerous driving under the Criminal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an objective test must be applied to the offence of dangerous driving, it will remain open to the accused to raise a reasonable doubt that a reasonable person would have been aware of the risks in the accused's conduct. The test must be applied with some measure of flexibility. That is to say the objective test should not be applied in a vacuum but rather in the context of the events surrounding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appellant does not directly challenge the conclusion that his driving was objectively dangerous. The defence, and this appeal, focus on the question whether the appellant's evidence that he braked to avoid a potential collision with a deer, raised a reasonable doubt in the sense discussed in the above paragraph from R. v. Hundal,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appellant argues that, in the context of the events surrounding the incident, there is a reasonable doubt that a reasonable person would have been aware of the risks in his conduct. To advance this argument, he submits:</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trial judge expressed the belief that the appellant had, in fact, seen a deer, and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before him uncontroverted evidence from the appellant that there was a deer, and a reasonable explanation as to why the other witnesses did not see a deer, the learned trial judge was in error in concluding there was no deer.</w:t>
      </w:r>
    </w:p>
    <w:p>
      <w:pPr>
        <w:numPr>
          <w:numId w:val="1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appellant's post-accident behaviour is circumstantial evidence, and is consistent with many things other than an intentional act to harm the motorcyclist.</w:t>
      </w:r>
    </w:p>
    <w:p>
      <w:pPr>
        <w:numPr>
          <w:numId w:val="1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DANGEROUS DRIVING AND MENS 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Crown is not required to prove a positive intention to drive dangerously. In Hundal, Cory J. puts the proposition in these terms (at p.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mens rea or element of fault can be satisfied by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whereby the conduct of the accused is measured on the basis of an objective standard without establishing the subjective mental state of the particular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learned trial judge plainly addressed the question whether, in all the circumstances, the appellant operated a motor vehicle in a manner dangerous to the public. His reasons reveal that he considered whether the appellant's driving amounted to "a marked departure from the standard of care that a reasonable person would observe in the accused's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ample evidence to support the trial judge's conclusion that the appellant's driving crossed this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dangerous driving was the abrupt braking at a speed of approximately 70 kilometres per hour, with the knowledge that a motorcyclist was within a car length behind, and manoeuvring to pass.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ASSERTED BASIS FOR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If there was in fact a deer by the side of the road it is possible that the driving of the appellant might, though it presented a risk to others on the road, not have been sufficiently negligent to warrant a conviction. The presence of a deer would be considered along with all other relevant facts to determine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if the explanation offered by the appellant for his braking was not believed, it could not establish or contribute to a basis for finding reasonable doubt. The trial judge found that there was no deer. His finding on the question whether there was in fact a deer is, in its essence, a finding on credibility. He did not believe the appellant's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This court is not in a position to substitute its findings on credibility for those of the trial judge. This court may set aside a verdict on questions of fact only where it is unreasonable or cannot be supported by the evidence (R. v. Century 21 Ramos Realty Inc. and Ramos </w:t>
      </w:r>
      <w:hyperlink r:id="rId236" w:history="1">
        <w:r>
          <w:rPr>
            <w:rFonts w:ascii="arial" w:eastAsia="arial" w:hAnsi="arial" w:cs="arial"/>
            <w:i/>
            <w:color w:val="0077CC"/>
            <w:sz w:val="20"/>
            <w:u w:val="single"/>
            <w:shd w:val="clear" w:color="auto" w:fill="FFFFFF"/>
            <w:lang w:val="en-US" w:eastAsia="en-US" w:bidi="ar-SA"/>
          </w:rPr>
          <w:t>(1987), 32 C.C.C. (3d) 353</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trial judge concluded that the appellant had not seen a deer. He stated that he did not believe that there had been a deer. This finding was supported by the evidence, as:</w:t>
      </w:r>
      <w:r>
        <w:rPr>
          <w:rFonts w:ascii="arial" w:eastAsia="arial" w:hAnsi="arial" w:cs="arial"/>
          <w:sz w:val="20"/>
          <w:lang w:val="en-US" w:eastAsia="en-US" w:bidi="ar-SA"/>
        </w:rPr>
        <w:cr/>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motorcyclist, the driver of the following pick-up truck, nor the driver or passenger of a vehicle travelling at the scene in the opposite direction, all of whom testified, saw a deer, and</w:t>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appellant's demeanour, and the absence of a contemporaneous statement to the motorcyclist that he had braked to avoid a deer, was inconsistent with his claim that he saw a deer.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trial judge made a comment to the effect that the appellant had spoken honestly when asked, in the course of sentencing, whether he had something to say. This was a response to an expression of remorse from the appellant. It had nothing to do with whether or not the trial judge believed that the appellant had seen a deer.</w:t>
      </w:r>
      <w:r>
        <w:rPr>
          <w:rFonts w:ascii="arial" w:eastAsia="arial" w:hAnsi="arial" w:cs="arial"/>
          <w:sz w:val="20"/>
          <w:lang w:val="en-US" w:eastAsia="en-US" w:bidi="ar-SA"/>
        </w:rPr>
        <w:cr/>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appellant submits that the trial judge erred in finding that he was guilty of dangerous driving even if there was a deer present as claimed. This finding is supported by the evidence and is not unreasonable. If there was a deer, it was a sufficient distance away that, in circumstances in which a motorcycle was one car length back, sudden braking was plainly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appellant says also that he was denied the opportunity to argue to rebut the Crown's argument in relation to an exhibit put in evidence by defence counsel which charted deer/motor vehicle collisions at part of Highway 16 over a five year period. It is clear that the trial judge considered the contents of this exhibit, along with all of the evidence. The argument that defence counsel wished to make in rebuttal would not have enhanced the probative value of the exhibit in question as to the presence or absence of a deer. Even if it did, the finding of the trial judge on the alternate ground is supported by the evidence, and a conviction would have been entered in any event.</w:t>
      </w:r>
      <w:r>
        <w:rPr>
          <w:rFonts w:ascii="arial" w:eastAsia="arial" w:hAnsi="arial" w:cs="arial"/>
          <w:sz w:val="20"/>
          <w:lang w:val="en-US" w:eastAsia="en-US" w:bidi="ar-SA"/>
        </w:rPr>
        <w:cr/>
      </w:r>
    </w:p>
    <w:p>
      <w:pPr>
        <w:numPr>
          <w:numId w:val="1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Semenoff Estate v. Bridgeman, [2014] B.C.J. No. 2459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S. Nielsen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18 and September 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9044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Rossland</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2459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1845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Semenoff Executor of the Estate of Bill Semenoff, Plaintiff, and Lewis J Bridgeman, Defendant, and Mike Semenoff and Marion Demosky,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4" w:name="Keywords_11"/>
      <w:bookmarkEnd w:id="84"/>
      <w:r>
        <w:rPr>
          <w:rFonts w:ascii="arial" w:eastAsia="arial" w:hAnsi="arial" w:cs="arial"/>
          <w:b/>
          <w:color w:val="000000"/>
          <w:sz w:val="20"/>
          <w:lang w:val="en-US" w:eastAsia="en-US" w:bidi="ar-SA"/>
        </w:rPr>
        <w:t>Civil litigation — Civil procedure — Costs — Assessment of fixing of costs — Tariffs — Particular orders — Special orders — For reprehensible or inefficient conduct — Particular items — Counsel fees — Disbursements — Assessment of costs following nine-day trial in which plaintiff's claim was dismissed — Defendant had been awarded costs, with double costs from December 3, 2012 to February 3, 2014 — Plaintiff purported to pursue litigation against defendant counsel as executor of father's estate but was found personally liable for costs — Plaintiff filed prolix pleadings, was pre-occupied with conspiracy theories and was later found vexatious litigant — Plaintiff's conduct drove up costs, but some units and disbursements claimed by defendant were excessive — Defendant awarded 479 units at $110 per unit, plus tax and disbursements for total of $73,979.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5" w:name="Case Summary_11"/>
            <w:bookmarkEnd w:id="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costs following a nine-day trial in which the plaintiff's claim was dismissed. The defendant had been awarded costs following the dismissal and double costs from December 3, 2012 to February 3, 2014. The plaintiff purported to pursue litigation as executor of his father's estate, but was found personally liable for costs. The plaintiff alleged the defendant lawyer was negligent in providing legal services to the deceased and in preparation of his will, thus depriving the plaintiff of his alleged inheritance. The plaintiff filed four sets of prolix pleadings, causing unnecessary complication. The trial judge described the plaintiff as pre-occupied with conspiracy theories. The plaintiff pursued his claims relentlessly and an order was eventually made prohibiting him from bringing further proceedings without leave.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6" w:name="Holdings of Court_10"/>
            <w:bookmarkEnd w:id="86"/>
            <w:r>
              <w:rPr>
                <w:rFonts w:ascii="arial" w:eastAsia="arial" w:hAnsi="arial" w:cs="arial"/>
                <w:color w:val="000000"/>
                <w:sz w:val="20"/>
                <w:lang w:val="en-US" w:eastAsia="en-US" w:bidi="ar-SA"/>
              </w:rPr>
              <w:t>HELD: Costs and disbursements claimed by the defendant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claimed 25 units under tariff item two. Given the plaintiff's difficult conduct, the higher end of the scale was justified, and 24 units were awarded. The litigation was contentious and included punitive damages claims. The defendant was awarded nine of 10 units claimed for tariff seven. The defendant's third party proceedings were proper and reasonable when commenced and he was awarded five units claimed under tariff eight. There was extensive document production and the defendant was awarded eight and six units under tariffs 10 and 11. One unit under tariff 13 was awarded for four interrogatories. The defendant delivered five notices to admit and claimed 12 units under tariff 14. The tariff envisioned multiple notices so only four units were awarded. The defendant issued two subpoenas and was entitled to double costs during that period, so awarded four units. The defendant was awarded 9.5 units under tariff 19 and 18.5 under tariff 20 for examinations. The defendant made three applications, all opposed by the plaintiff, and was awarded 7.5 units under tariff 21 and 12.5 under 22. The defendant was awarded three units under tariff 23 for two short leave applications. The defendant was awarded eight units under tariff 29 and 16 under tariff 30 for taxation of his bill of costs. Case planning and trial management conferences took place for which the defendant was awarded seven units for tariff 31 and 11 for 32. The defendant's trial preparation was reasonable and he was awarded 90 units under item 34 and 180 under unit 35. One unit under tariff 40 was awarded for setting the matter down. The defendant was awarded 13 units under tariff 41 and 42 units under tariff 48 for travel. The defendant's claimed disbursements were reduced for undocumented research and duplication. The defendant was awarded a total of 479 units at $110 per unit, plus tax and disbursements for a total of $73,979.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7" w:name="Legislation Cited_8"/>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Courts Act, s.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14-1(2)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8" w:name="Counsel_11"/>
      <w:bookmarkEnd w:id="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C.E. Selby.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9" w:name="Judgment_11"/>
      <w:bookmarkEnd w:id="89"/>
      <w:r>
        <w:pict>
          <v:line id="_x0000_s1087"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0" w:name="DISTRICT REGISTRAR S. NIELSEN"/>
            <w:bookmarkEnd w:id="90"/>
            <w:r>
              <w:rPr>
                <w:rFonts w:ascii="arial" w:eastAsia="arial" w:hAnsi="arial" w:cs="arial"/>
                <w:b/>
                <w:color w:val="000000"/>
                <w:sz w:val="30"/>
                <w:lang w:val="en-US" w:eastAsia="en-US" w:bidi="ar-SA"/>
              </w:rPr>
              <w:t>DISTRICT REGISTRAR S. NIELSEN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costs following a nine-day trial in which the plaintiff's claim was dismissed (</w:t>
      </w:r>
      <w:r>
        <w:rPr>
          <w:rFonts w:ascii="arial" w:eastAsia="arial" w:hAnsi="arial" w:cs="arial"/>
          <w:i/>
          <w:color w:val="000000"/>
          <w:sz w:val="20"/>
          <w:lang w:val="en-US" w:eastAsia="en-US" w:bidi="ar-SA"/>
        </w:rPr>
        <w:t>Semenoff Estate v. Bridgeman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2013 BCSC 1022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was awarded costs following the dismissal of the action and double costs for the period December 3, 2012 through trial by court order dated February 3, 2014 (</w:t>
      </w:r>
      <w:r>
        <w:rPr>
          <w:rFonts w:ascii="arial" w:eastAsia="arial" w:hAnsi="arial" w:cs="arial"/>
          <w:i/>
          <w:color w:val="000000"/>
          <w:sz w:val="20"/>
          <w:lang w:val="en-US" w:eastAsia="en-US" w:bidi="ar-SA"/>
        </w:rPr>
        <w:t>Semenoff Estate v. Bridgeman</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2014 BCSC 174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the plaintiff was pursuing the litigation as executor of the estate of his late father, Bill Semenoff ("Bill"), he has been held to be personally liable for the costs of the defendant. The plaintiff was self-represented throughout the entire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the son of Bill and the executor of Bill's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is a lawyer who acted for Bill in preparing an agreement concerning property held in joint tenancy by Bill and his three siblings. The defendant also prepared Bill's will in the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action arose from events surrounding the estate of the plaintiff's deceased father, Bill. Essentially, the plaintiff alleged that the defendant, a lawyer, was negligent in providing legal services to Bill in 1987 concerning an agreement entered into by Bill and his three siblings, involving the ownership of acreage near Castlegar, which they had inherited from their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action also took issue with the defendant's preparation of Bill's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cause of action alleged that the defendant was negligent in allowing the property owned by Bill to pass to his siblings, thereby depriving the plaintiff of his alleged inheritance. Despite the underlying simplicity of the case, the plaintiff filed four sets of pleadings: the first on October 30, 2007; the second on November 4, 2011; the third on March 23, 2012 and; the last on February 6, 2013. In describing the pleadings, in </w:t>
      </w:r>
      <w:r>
        <w:rPr>
          <w:rFonts w:ascii="arial" w:eastAsia="arial" w:hAnsi="arial" w:cs="arial"/>
          <w:i/>
          <w:color w:val="000000"/>
          <w:sz w:val="20"/>
          <w:lang w:val="en-US" w:eastAsia="en-US" w:bidi="ar-SA"/>
        </w:rPr>
        <w:t>Semenoff Estate v. Bridgeman,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2013 BCSC 1022</w:t>
        </w:r>
      </w:hyperlink>
      <w:r>
        <w:rPr>
          <w:rFonts w:ascii="arial" w:eastAsia="arial" w:hAnsi="arial" w:cs="arial"/>
          <w:color w:val="000000"/>
          <w:sz w:val="20"/>
          <w:lang w:val="en-US" w:eastAsia="en-US" w:bidi="ar-SA"/>
        </w:rPr>
        <w:t>, Mr. Justice McKinnon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plaintiff's pleadings go on for pages making all sorts of claims, including claims in contract. The trial management judge described them as "prolix". I agree and go further to label them, for the most part, incomprehensible, vexatious and frivolous.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plaintiff seems incapable of making simple claims which would be appropriate to his perceived view of the facts. When one wades through the prolix pleadings and considers the evidence proffered, the essence of his complaint is the failure of Mr. Bridgeman to investigate the state of title which, if done, ought to have prompted him to sever the joint tenancy and thereby protect the "estate" of Bill Semenoff. If that had been done, on Bill's death, his interest would have passed to his estate whose heirs are Robert and his brother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trial had been scheduled for four days but ended up taking nine days, almost all of which was entirely devoted to the plaintiff's case. The trial judge characterized the plaintiff as being "preoccupied with conspiracy theories" (</w:t>
      </w:r>
      <w:r>
        <w:rPr>
          <w:rFonts w:ascii="arial" w:eastAsia="arial" w:hAnsi="arial" w:cs="arial"/>
          <w:i/>
          <w:color w:val="000000"/>
          <w:sz w:val="20"/>
          <w:lang w:val="en-US" w:eastAsia="en-US" w:bidi="ar-SA"/>
        </w:rPr>
        <w:t>Semenoff Estate v. Bridgeman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2013 BCSC 1022</w:t>
        </w:r>
      </w:hyperlink>
      <w:r>
        <w:rPr>
          <w:rFonts w:ascii="arial" w:eastAsia="arial" w:hAnsi="arial" w:cs="arial"/>
          <w:color w:val="000000"/>
          <w:sz w:val="20"/>
          <w:lang w:val="en-US" w:eastAsia="en-US" w:bidi="ar-SA"/>
        </w:rPr>
        <w:t xml:space="preserve"> at para. 37) and included requests from the plaintiff to "examine all the defendant's closed files for the past 30 or 40 years to see if he could find instances where he could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Semenoff Estate v. Bridgeman,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2013 BCSC 1022</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trial judge dismissed the plaintiff's case, finding that "the plaintiff has utterly failed to establish any of the many claims he has made" (</w:t>
      </w:r>
      <w:r>
        <w:rPr>
          <w:rFonts w:ascii="arial" w:eastAsia="arial" w:hAnsi="arial" w:cs="arial"/>
          <w:i/>
          <w:color w:val="000000"/>
          <w:sz w:val="20"/>
          <w:lang w:val="en-US" w:eastAsia="en-US" w:bidi="ar-SA"/>
        </w:rPr>
        <w:t>Semenoff Estate v. Bridgeman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2013 BCSC 1022</w:t>
        </w:r>
      </w:hyperlink>
      <w:r>
        <w:rPr>
          <w:rFonts w:ascii="arial" w:eastAsia="arial" w:hAnsi="arial" w:cs="arial"/>
          <w:color w:val="000000"/>
          <w:sz w:val="20"/>
          <w:lang w:val="en-US" w:eastAsia="en-US" w:bidi="ar-SA"/>
        </w:rPr>
        <w:t xml:space="preserve"> at para. 60). The plaintiff not only failed to establish his many claims against the defendant, he also refused an offer to settle made prior to trial, which represented 100% indemnity for the estate's losses. In </w:t>
      </w:r>
      <w:r>
        <w:rPr>
          <w:rFonts w:ascii="arial" w:eastAsia="arial" w:hAnsi="arial" w:cs="arial"/>
          <w:i/>
          <w:color w:val="000000"/>
          <w:sz w:val="20"/>
          <w:lang w:val="en-US" w:eastAsia="en-US" w:bidi="ar-SA"/>
        </w:rPr>
        <w:t>Semenoff Estate v. Bridgeman</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2014 BCSC 174</w:t>
        </w:r>
      </w:hyperlink>
      <w:r>
        <w:rPr>
          <w:rFonts w:ascii="arial" w:eastAsia="arial" w:hAnsi="arial" w:cs="arial"/>
          <w:color w:val="000000"/>
          <w:sz w:val="20"/>
          <w:lang w:val="en-US" w:eastAsia="en-US" w:bidi="ar-SA"/>
        </w:rPr>
        <w:t>, Mr. Justice McKinnon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An appraisal of the lot was done by a professional appraiser on April 7, 2007 who set its value at $425,000. If, as claimed by the plaintiff, the defendant was negligent in failing to sever the joint tenancy prior to Bill Semenoff's death, then his one-quarter interest had a value of $106,250. This was the amount which the defendant offered to the plaintiff to settle the lawsuit.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Thus the offer represented 100% of the best case scenario for the plaintiff had he been successful at trial. In my view this was a reasonable offer, not a "nuisance" offer, as the plaintiff argued, and it was one that he "ought reasonably to have accepted".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offer, if accepted, would have indemnified the plaintiff estate for the entirety of its alleged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road which ultimately led to trial and this assessment of costs consisted of many twists, potholes and roadblocks, which resulted in a considerable investment of time and energy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Justice McEwan characterized the plaintiff's leave no stone unturned approach, in oral reasons for judgment issued February 1, 2013, following a trial management conference wherein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 Mr. Semenoff, has obviously done an extensive amount of work or put a great deal of effort into trying to apprehend every conceivable way in which this case could be described and every conceivable delict he could imagine any of the defendants might be responsible for. He has attempted to join parties that have no business being joined in this matter and he has raised claims that in my view either should not be raised in this proceeding or have absolutely no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Eventually, an order was issued against the plaintiff,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prohibiting him from "commencing any proceeding in the Supreme Court of British Columbia related to, connected with, or arising out of the facts and matters alleged herein or in </w:t>
      </w:r>
      <w:r>
        <w:rPr>
          <w:rFonts w:ascii="arial" w:eastAsia="arial" w:hAnsi="arial" w:cs="arial"/>
          <w:i/>
          <w:color w:val="000000"/>
          <w:sz w:val="20"/>
          <w:lang w:val="en-US" w:eastAsia="en-US" w:bidi="ar-SA"/>
        </w:rPr>
        <w:t>Semenoff v. Bridgeman</w:t>
      </w:r>
      <w:r>
        <w:rPr>
          <w:rFonts w:ascii="arial" w:eastAsia="arial" w:hAnsi="arial" w:cs="arial"/>
          <w:color w:val="000000"/>
          <w:sz w:val="20"/>
          <w:lang w:val="en-US" w:eastAsia="en-US" w:bidi="ar-SA"/>
        </w:rPr>
        <w:t>, SCBC No. 9044, Rossland Registry, without leave of a justice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principles regarding tariff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essential to canvass the events leading to the assessment of costs, as they are directly relevant to the award of tariff items under Schedule B. Registrars must have regard to the particular circumstances of the proceeding in which costs are claimed when deciding how many units within the prescribed range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Supreme Court Civil Rule 14-1(2)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party and party costs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assessment of party and party costs under Appendix B, a registrar must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those fees under Appendix B that were proper or reasonably necessary to conduct the proceeding,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Rule 1-3 and any case plan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approaching the issue of whether work for which costs are claimed and claimed outlays should be allowed, an objective standard is to be applied. A step or expense was "necessary" if it was indispensable to the conduct of the proceeding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2003 BCSC 138</w:t>
        </w:r>
      </w:hyperlink>
      <w:r>
        <w:rPr>
          <w:rFonts w:ascii="arial" w:eastAsia="arial" w:hAnsi="arial" w:cs="arial"/>
          <w:color w:val="000000"/>
          <w:sz w:val="20"/>
          <w:lang w:val="en-US" w:eastAsia="en-US" w:bidi="ar-SA"/>
        </w:rPr>
        <w:t xml:space="preserve">) (Registrar);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(1983), 56 B.C.L.R. 178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 step was "proper" if it was not necessary but was nevertheless reasonably taken or incurred for the purpose of the proceeding: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McKenna v. Anderson</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2005 BCSC 84</w:t>
        </w:r>
      </w:hyperlink>
      <w:r>
        <w:rPr>
          <w:rFonts w:ascii="arial" w:eastAsia="arial" w:hAnsi="arial" w:cs="arial"/>
          <w:color w:val="000000"/>
          <w:sz w:val="20"/>
          <w:lang w:val="en-US" w:eastAsia="en-US" w:bidi="ar-SA"/>
        </w:rPr>
        <w:t xml:space="preserv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Registrars are to disallow costs proved to have been incurred or increased through extravagance,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or by reason of the payment of unjustified charges or expenses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1981, 32 B.C.L.R. 322</w:t>
        </w:r>
      </w:hyperlink>
      <w:r>
        <w:rPr>
          <w:rFonts w:ascii="arial" w:eastAsia="arial" w:hAnsi="arial" w:cs="arial"/>
          <w:color w:val="000000"/>
          <w:sz w:val="20"/>
          <w:lang w:val="en-US" w:eastAsia="en-US" w:bidi="ar-SA"/>
        </w:rPr>
        <w:t xml:space="preserve"> (BCSC)). The defendant alleges the proceeding was unnecessarily and unreasonably lengthened and complicated by the actions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 relies upon </w:t>
      </w:r>
      <w:r>
        <w:rPr>
          <w:rFonts w:ascii="arial" w:eastAsia="arial" w:hAnsi="arial" w:cs="arial"/>
          <w:i/>
          <w:color w:val="000000"/>
          <w:sz w:val="20"/>
          <w:lang w:val="en-US" w:eastAsia="en-US" w:bidi="ar-SA"/>
        </w:rPr>
        <w:t>Kent v. Wittenberg</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2001 BCSC 273</w:t>
        </w:r>
      </w:hyperlink>
      <w:r>
        <w:rPr>
          <w:rFonts w:ascii="arial" w:eastAsia="arial" w:hAnsi="arial" w:cs="arial"/>
          <w:color w:val="000000"/>
          <w:sz w:val="20"/>
          <w:lang w:val="en-US" w:eastAsia="en-US" w:bidi="ar-SA"/>
        </w:rPr>
        <w:t xml:space="preserve"> at para. 9, wherein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A sense of fairness and understanding granted to unrepresented parties ought never to extend to the degree where courts do not give effect to the existing law, or where the issue of fairness to an unrepresented litigant is permitted to override the rights of a defendant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these principles in mind, what follows is an assessment of the tariff items claimed.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argues for 25 units under tariff item 2. The defendant emphasizes the duration of the litigation, spanning over six years, and the behaviour of the plaintiff, which increased the time and effort involved in the proceeding. The defendant alleges the plaintiff had intended to bankrupt him with legal proceedings and turned what was essentially a straightforward case into a vendetta.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denies this, emphasizing that a bankrupt defendant would be of no benefit to him. However, the fact that the defendant had advanced an offer to settle in an amount meant to represent "full indemnity" of the plaintiff's share of his father's interest in the property, and the plaintiff's refusal of that offer, if not indicative of a vendetta, is at the very least, indicative of the difficulty of attempting to reason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Defence counsel refers to a number of factors and incidents in support of the claim for units under tariff item 2, including: 300 e-mails received from the plaintiff; the plaintiff contacting the defendant directly; the plaintiff's request for legal advice during the course of the proceeding on over 23 occasions and; the offer of the defendant to fund independent legal advice for the plaintiff with respect to his pleadings, which was met with the assertion that counsel for the defendant should withdraw from the case due to a conflict and followed by an application brought by the plaintiff to add defence counsel, her law firm, and the Law Society as defendants in the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defendant also refers to the plaintiff's conspiracy theories and constant barrage of requests for documents and files which did not exist, or were otherwise completely irrelevant. Defence counsel cites as an example of the difficulty in dealing with the plaintiff, the simple matter of setting the case for trial became an ordeal. This assertion is borne out by the observations of Mr. Justice McEwan in oral reasons for judgment issued February 1, 2013, wherein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COURT: Mr. Semenoff, despite an order I have made at an earlier point in these trial management proceedings, has brought extensive modifications to his Notice of Civil Claim before the court and has urged the court that he will require an adjournment in order to explore further some of the matters that he has raised.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 fully accept that Mr. Semenoff has been indulged by counsel in the preparation of this matter and in his review of the documents; and although he may not appreciate it, Mr. Semenoff has been radically indulged by the court in sitting through hours of this kind of discussion while he considers ingenious new ways to avoid going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 will suggest that the direction be brought to the attention of the trial judge and any other remarks I have made today, because this matter has been managed by this court. Mr. Semenoff has been given every opportunity to improve his case or to deal with it as he saw fit. Mr. Semenoff has been indulged in many respects and he has been reminded on many occasions that this matter has to go to trial as a matter of fairness to the other parties involved and not simply in relation to what he requires or what he wishes, or frankly in indulging what appears now very clearly to be a real lack of desire on his part to ever see this file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observations of both Mr. Justice McEwan prior to trial and Mr. Justice McKinnon after trial are a reflection of the difficulties faced by the defendant in dealing with the plaintiff in all aspects of the case. In the circumstances, an award of units at the higher end of the scale is justified and 24 units are awarded under tariff item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litigation was contentious and there was a claim for punitive damages. Within the statement of claim was an allegation that the defendant had assaulted the plaintiff. This allegation was eventually struck out by Mr. Justice McEwan in a case planning conference on March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separate legal action had been commenced against Bill's siblings by the plaintiff. The plaintiff stated he was going to join the two actions but took no steps to do so. Eventually, this legal action was struck but the plaintiff was granted leave to commence a new proceeding and registered a certificate of pending litigation against the newly subdivided parcel of property on which Bill's former residence was situated.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the plaintiff was purporting to be acting as the executor of Bill's estate but had not been granted letters of probate. Eventually, this was achieved on May 14,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From July 2011 to February 1, 2013, the plaintiff took various steps to adjust and modify his pleadings, which included a discussion concerning whether the Director of Vital Statistics ought to be joined as a defendant as part of a broader conspiracy and whether the Law Society, defence counsel's law firm, and defence counsel herself ought to be joined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1, 2013, the plaintiff was permitted to further amend 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claims the full 10 units for this tariff item. The process involving the proceedings was protracted and complicated. It spanned six years between October 2007 and February 2013 and warrants an award at the upper end of the scale. A total of 9 units are awarded under this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Third party proceedings were commenced by the defendant against Bill's siblings, alleging that the joint tenancy had been severed by the written agreement, or the subsequent actions of the parties. Further, the defendant alleged that the plaintiff's damages, if any, flowed from the actions of the third parties in subdividing, selling, and keeping the proceeds of sale to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opposes the defendant being awarded any units relating to the third party proceedings on the basis that the trial judge found no liability with respect to the third parties. In </w:t>
      </w:r>
      <w:r>
        <w:rPr>
          <w:rFonts w:ascii="arial" w:eastAsia="arial" w:hAnsi="arial" w:cs="arial"/>
          <w:i/>
          <w:color w:val="000000"/>
          <w:sz w:val="20"/>
          <w:lang w:val="en-US" w:eastAsia="en-US" w:bidi="ar-SA"/>
        </w:rPr>
        <w:t>Semenoff Estate v. Bridgeman,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2013 BCSC 1022</w:t>
        </w:r>
      </w:hyperlink>
      <w:r>
        <w:rPr>
          <w:rFonts w:ascii="arial" w:eastAsia="arial" w:hAnsi="arial" w:cs="arial"/>
          <w:color w:val="000000"/>
          <w:sz w:val="20"/>
          <w:lang w:val="en-US" w:eastAsia="en-US" w:bidi="ar-SA"/>
        </w:rPr>
        <w:t>, paras. 60 to 62, Mr. Justice McKinnon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The plaintiff has utterly failed to establish any of the many claims he has made. He failed to establish the nature and extent of the retainer between Bill and the defendant Bridgeman. He led no expert evidence as to the duty that might be owed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evidence that he did proffer, leads me to conclude that Mr. Bridgeman was engaged to put in letter form that which the siblings had agreed upon. I also accept that Mr. Bridgeman was not aware at any relevant time just how ownership was recorded in the land titles office, nor, given the evidence that his retainer was limited in the manner I have set out, was he obliged to investigate the state of title. In any event, the plaintiff led no evidence as to the standard of care one should expect from a solicitor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The inferences available to me from the evidence at trial is that the siblings, including Bill, knew the property was registered in joint tenancy, knew what a joint tenancy meant and were content to have it remain that way, at least until subdivision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relies upon "further written submissions of the third parties" wherein they state: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from day one on this file considered that the letter agreement severed the tenancy and that Bill's estate was entitled to an interest in the property; see, for example, the rationale in the offer to settle -- Affidavit #1 of E. Peitzsche, exhibit 2. This analysis of the case led to the inexorable view that the third parties had to be brought into the litigation. However, as determined by the trial judge, the parties in their 1987 letter agreement expressly contracted for the title to stay as it was until subdivision could be achieved. This is a finding that is entirely contrary to an implied severance or severance of the tenancy by operation of law. See, Reasons, paragraph 62, reproduced here for convenience: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[62] The inferences available to me from the evidence at trial is that the siblings, including Bill, knew the property was registered in joint tenancy, knew what a joint tenancy meant and were content to have it remain that way, at least until subdivision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the trial judge found that the inferences available at trial were contrary to the theory of the defendant's case, that theory was never put forward by the defendant. The plaintiff's claim was struck following the close of its case on a motion by the third parties. The propriety and reasonableness of the defendant's commencing the third party proceedings have to be judged in light of counsel's obligation to prepare their client's case thoroughly and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Further, the propriety and reasonableness of the third party proceedings have to be evaluated at the time they were commenced, not with the benefit of hindsight (as per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the defendant's theory was proved correct, and the agreement did sever the joint tenancy, or the subsequent actions of the third parties severed that tenancy, the defendant would have been absolved of liability for damages. In the circumstances, the third party proceedings were proper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claims 5 units under tariff item 8 and 5 units are awarded.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Items 10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Extensive amounts of documents were amassed during the course of the legal action as a consequence of the plaintiff's creative legal theories. Large packages of documents were obtained from the Agricultural Land Commission, the Ministry of Transport, and the Regional District of the Central Kootenay relating to the subdivision of the property in question. Further documents were obtained from the Interior Health Authority relating to Bill's medical condition. In addition, steps were taken by the plaintiff to attempt to review all legal files in the defendant's possession, with a view to ascertaining whether any other alleged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have been committed by the defendant, so that they could be joined to the plaintiff's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provided five lists of documents. The first list (undated) consisted of eight documents. The second list dated November 14, 2011, contained 289 documents. Two further lists of documents dated April 30, 2012, and January 18, 2013, were produced. A final list of documents dated February 9, 2013, was provided to the defendant three days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provided four lists of documents dated November 16, 2007, April 25, 2012, September 18, 2012, and November 27,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encountered difficulties in providing documents to the plaintiff, which included the plaintiff's insistence on examining the original documents so that they could allegedly be forensically examined by an expert. The plaintiff spent hours at the defendant's offices inspecting the original documents and photographing them using a high-powered lamp and camera. The plaintiff also insisted that staple holes in the documents needed to be counted as part of a conspiracy theory he was alleging.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the plaintiff alleged documents provided by the defendant on disks were not "scanned properly" and some documents were being "withheld and concealed".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Throughout the process the plaintiff made requests for access to all the of the defendant's legal files for the past 30 and 40 years -- which was refused -- and threatened the defendant with various applications if his requests were not met. The defendant alleges this increased the costs of the litigation and the time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claims 10 units under tariff item 10, and 6 units under tariff item 11. I award 8 units under tariff item 10, and 6 units under tariff item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February 21, 2008, the defendant answered four questions in interrogatories served by the plaintiff. The interrogatories involved the defendant identifying himself and providing answers to three questions. One unit is awarded under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prepared and delivered a total of five notices to admit. Three notices to admit were directed to the plaintiff and one notice to admit was directed to two of the third parties, Mike Semenoff, Bill's brother, and Marion Demosky, Bill's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notice to admit directed to the plaintiff requested 88 factual admissions and the admission of 83 documents. The notice to admit directed to Mike Semenoff requested 130 admissions and the admission of 87 documents. The notice to admit directed at Marion Demosky requested 15 admissions and the admission of seven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notices to admit directed to the third parties canvassed the issues pertaining to the severance of the joint tenancy. Ultimately, no admissions were made but the process was nevertheless proper and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claims 12 units under this tariff item on the basis that a separate award can be made for each notice to admit. I disagree. Tariff item 14 pertains to the "process for serving notices to admit" and envisions multiple notices to admit within a tariff range of 1 to 5 units. Four units are awarded under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January 18, 2013, the defendant issued two subpoenas to the third parties Mike Semenoff and Marion Demosky. The defendant alleges it was essential to their case that they be in attendance to prove the severance of the joint tenancy. Two units are awarded for this tariff item, which are doubled pursuant to the court order of February 3, 2014, for a total of 4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Items 19 and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Examinations for discovery took place in Trail, British Columbia. The plaintiff was examined for a full day, for which 4 units are mandated for the preparation under tariff item 19(a) and 8 units are mandated under tariff item 20(a). Mike Semenoff and Marion Demosky were examined by the defendant during a half day each, for a total of 4 units for preparation under 19(a), and 8 units under tariff item 20(a).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Finally, the defendant was examined for discovery over the course of a half day, for which 1.5 units are mandated under item 19(b), and 2.5 units are mandated under item 20(b). The total units awarded for item 19 are 9.5, and the total units awarded for item 20 are 18.5.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Items 21 and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claims for three applications made during the course of the proceeding, all of which were opposed.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November 24, 2012, the defendant advised the plaintiff they were applying to set the trial management conference for December 18, 2012, as the trial was scheduled to commence on February 12, 2013, and inquired as to the plaintiff's availability. The plaintiff advised that his Autoplan would expire on December 13, 2012, and that he intended to go home prior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also advised he was preparing an application for a separate trial on another issue. As a result, the defendant brought a short leave application on November 30, 2012, to have the defendant's application heard before the plaintiff left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application took a half day and, although opposed by the plaintiff,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is entitled to 1.5 units for the preparation of the application under tariff item 21(b), and a further 2.5 units for the application itself under item 22(b).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January 18, 2013, the plaintiff delivered an unfiled notice of application seeking 15 orders which included adding defence counsel, defence counsel's law firm, and the Law Society as defendants in the proceeding. It was accompanied by an unfiled affidavit, 100 pages in length plus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application was heard on January 25, 2013 and dismissed in its entirety. The hearing took a half day. The defendant is entitled to 1.5 units for preparation under tariff item 21(b), doubled pursuant to the court order of February 3, 2014, for a total of 3 units. The defendant is entitled to 2.5 units for the application pursuant to tariff item 22(b), again doubled pursuant to the court order of February 3, 2014, for a total of 5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February 1, 2013, an application brought by the plaintiff was heard. The plaintiff was granted leave to file a further amended notice of civil claim and the balance of his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hearing of this application took a half day. The defendant is entitled to 1.5 units pursuant to tariff item 21(b), doubled pursuant to the court order of February 3, 2014, for a total of 3 units. The defendant is entitled to 2.5 units pursuant to tariff item 22(b), doubled pursuant to the court order of February 3, 2014, for a total of 5 units. The defendant is therefore entitled to a total of 7.5 units under tariff item 21 and a total of 12.5 units under tariff item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claims units under tariff item 23 with respect to two short leave applications by requisition. The first on November 30, 2012, setting down the trial management conference and the second on January 24, 2013, to have issues raised by the Plaintiff concerning joining defences counsel, her law firm and the Law Society as defendants in the action. One unit is awarded for both these applications by requisition. The latter is doubled pursuant to the court order of February 3, 2014, for a total of 3 units under tariff item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Items 29 and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taxation of the bill of costs took two full days. The defendants are entitled to 4 units under tariff item 29 and 8 units under tariff item 30, which are both doubled pursuant to the court order of February 3, 2014, for a total of 8 units for item 29 and 16 units for item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Items 31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Two case planning conferences and a trial management conference took place during the course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first case planning conference took place on March 26, 2012 and resulted in a five-page case plan. The defendant attended by telephone. Due to the difficulties encountered with communication, all further case planning conferences and trial management conferences were ordered to be personally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second case planning conference took place on June 7, 2012, in Rossland, British Columbia. With the exception of the plaintiff, all parties attended in person as previously ordered. The plaintiff did not attend as he did not want the trial to proceed as scheduled. The plaintiff also refused to provide a telephone number where he could be contacted. The case planning conference resulted in a further amended and more comprehensive case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trial management conference took place on December 11, 2012, via video conference. Applications by the plaintiff to adjourn the trial and to further amend his pleadings were dismissed and the trial date of February 12, 2013 was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An award of 1.5 units under tariff item 31 and an award of 2.5 units under tariff item 32 are granted for each of the two case planning conferences for a total award of 8 units for the two case planning conferences. An award of 2 units under tariff item 31 and an award of 3 units under tariff item 32 are granted for the trial management conference of December 11, 2012. This award is doubled pursuant to the court order of February 3, 2014, for a total of 10 units awarded for the case management conference. Therefore, a total of 7units are awarded for tariff item 31 and a total of 11 units are awarded for tariff item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Items 34 and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made extensive submissions regarding the units to be awarded for the preparation for and attendance at trial. The gist of his submission was that the defendant ought to have known that the plaintiff's case would fail. Particularly, as defence counsel was a lawyer and the plaintiff did not lead any expert evidence concerning the standard of care required, the hopelessness of the plaintiff's case ought to have been obvious. Therefore, according to the plaintiff it follows that there was no need for the defendant to prepare for, or appear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Preparing for and appearing at trial was "proper and reasonable" to say the least. Although registrars may disallow fees for claimed tariff items if they are extravagant and unjustified, as per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they cannot, when fixing fees, allow less than the minimum or more than the maximum units for which provision is made by the Tariff (as per </w:t>
      </w:r>
      <w:r>
        <w:rPr>
          <w:rFonts w:ascii="arial" w:eastAsia="arial" w:hAnsi="arial" w:cs="arial"/>
          <w:i/>
          <w:color w:val="000000"/>
          <w:sz w:val="20"/>
          <w:lang w:val="en-US" w:eastAsia="en-US" w:bidi="ar-SA"/>
        </w:rPr>
        <w:t>Silvicon Services Inc. v. Millar</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2005 BCSC 1753</w:t>
        </w:r>
      </w:hyperlink>
      <w:r>
        <w:rPr>
          <w:rFonts w:ascii="arial" w:eastAsia="arial" w:hAnsi="arial" w:cs="arial"/>
          <w:color w:val="000000"/>
          <w:sz w:val="20"/>
          <w:lang w:val="en-US" w:eastAsia="en-US" w:bidi="ar-SA"/>
        </w:rPr>
        <w:t xml:space="preserve"> (Master)), nor can they deviate from the flat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trial of the action took nine days. The defendant is entitled to 45 units for trial preparation and 19 units for attendance at trial. Both of these awards of units are doubled pursuant to the court order of February 3, 2014, for a total of 90 units under item 34 and 180 units under item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 is awarded 1 unit for the process of setting the matter down for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is awarded 3 units for the process relating to the entry of the case planning orders of March 26, 2012 and June 7, 2012, and the order made after application of November 30, 2012, setting down the trial management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is awarded a further 5 units for the orders made after the trial management conference of December 11, 2012; the order made after application of June 25, 2013; the order made after February 1, 2013; the order made after trial on June 7, 2013; and, the order made after costs on February 3, 2014. The award of 5 units is doubled pursuant to the court order of February 3, 2014, for a total of 10 units. Therefore, a total of 13 units are awarded for tariff item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the defendant travelled to Rossland, British Columbia, to attend the case planning conference of June 7, 2012, and 2 units are awarded under tariff item 48 for this travel. Counsel for the defendant travelled to Trail British Columbia on May 30 and 31, 2012, for the examination for discoveries of the plaintiff, Mike Semenoff and Marion Demosky. A further 4 units are awarded for this travel. Finally, counsel for the defendant travelled to Trial British Columbia to attend the trial which lasted 9 days. A further 18 units are awarded for this travel which is doubled pursuant to the order of February 3, 2014, for a total of 36 units. Therefore, a total of 42 units are awarded for tariff item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Disbursements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Applicable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applicable legal principles which must be applied with respect to disbursements are summarized in </w:t>
      </w:r>
      <w:r>
        <w:rPr>
          <w:rFonts w:ascii="arial" w:eastAsia="arial" w:hAnsi="arial" w:cs="arial"/>
          <w:i/>
          <w:color w:val="000000"/>
          <w:sz w:val="20"/>
          <w:lang w:val="en-US" w:eastAsia="en-US" w:bidi="ar-SA"/>
        </w:rPr>
        <w:t>Turner v. Whittaker</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2013 BCSC 712</w:t>
        </w:r>
      </w:hyperlink>
      <w:r>
        <w:rPr>
          <w:rFonts w:ascii="arial" w:eastAsia="arial" w:hAnsi="arial" w:cs="arial"/>
          <w:color w:val="000000"/>
          <w:sz w:val="20"/>
          <w:lang w:val="en-US" w:eastAsia="en-US" w:bidi="ar-SA"/>
        </w:rPr>
        <w:t xml:space="preserve"> at para. 5, wherein Master MacNaughton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Counsel were also able to agree on the following legal principles which are applicable on an assessment of disbursements: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14-1(5) requires an assessing officer to determine which disbursements were necessarily or properly incurred in the conduct of a proceeding and to allow a reasonable amount for those disbursements.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consideration of whether a disbursement was necessarily or properly incurred is case-and circumstance-specific and must take into account proportionality under Rule 1-3. (</w:t>
      </w:r>
      <w:r>
        <w:rPr>
          <w:rFonts w:ascii="arial" w:eastAsia="arial" w:hAnsi="arial" w:cs="arial"/>
          <w:i/>
          <w:color w:val="000000"/>
          <w:sz w:val="20"/>
          <w:lang w:val="en-US" w:eastAsia="en-US" w:bidi="ar-SA"/>
        </w:rPr>
        <w:t>Fairchild v. British Columbia (Vancouver Coastal Health Authority)</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2012 BCSC 1207</w:t>
        </w:r>
      </w:hyperlink>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for assessing whether a disbursement was necessarily or properly incurred is when the disbursement was incurred not with the benefit of hindsight.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56 B.C.L.R. 176</w:t>
        </w:r>
      </w:hyperlink>
      <w:r>
        <w:rPr>
          <w:rFonts w:ascii="arial" w:eastAsia="arial" w:hAnsi="arial" w:cs="arial"/>
          <w:color w:val="000000"/>
          <w:sz w:val="20"/>
          <w:lang w:val="en-US" w:eastAsia="en-US" w:bidi="ar-SA"/>
        </w:rPr>
        <w:t xml:space="preserve"> (SC) rev'd </w:t>
      </w:r>
      <w:hyperlink r:id="rId247" w:history="1">
        <w:r>
          <w:rPr>
            <w:rFonts w:ascii="arial" w:eastAsia="arial" w:hAnsi="arial" w:cs="arial"/>
            <w:i/>
            <w:color w:val="0077CC"/>
            <w:sz w:val="20"/>
            <w:u w:val="single"/>
            <w:shd w:val="clear" w:color="auto" w:fill="FFFFFF"/>
            <w:lang w:val="en-US" w:eastAsia="en-US" w:bidi="ar-SA"/>
          </w:rPr>
          <w:t>56 B.C.L.R. 178</w:t>
        </w:r>
      </w:hyperlink>
      <w:r>
        <w:rPr>
          <w:rFonts w:ascii="arial" w:eastAsia="arial" w:hAnsi="arial" w:cs="arial"/>
          <w:color w:val="000000"/>
          <w:sz w:val="20"/>
          <w:lang w:val="en-US" w:eastAsia="en-US" w:bidi="ar-SA"/>
        </w:rPr>
        <w:t xml:space="preserve"> at para. 4 (CA))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necessary disbursement is one which is essential to conduct litigation; a proper one is one which is not necessary but is reasonably incurred for the purposes of the proceeding.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2003 BCSC 138</w:t>
        </w:r>
      </w:hyperlink>
      <w:r>
        <w:rPr>
          <w:rFonts w:ascii="arial" w:eastAsia="arial" w:hAnsi="arial" w:cs="arial"/>
          <w:color w:val="000000"/>
          <w:sz w:val="20"/>
          <w:lang w:val="en-US" w:eastAsia="en-US" w:bidi="ar-SA"/>
        </w:rPr>
        <w:t>, para. 17-18)</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role of an assessing officer is not to second guess a competent counsel doing a competent job solely because other counsel might have handled the matter differently.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2003 BCSC 138</w:t>
        </w:r>
      </w:hyperlink>
      <w:r>
        <w:rPr>
          <w:rFonts w:ascii="arial" w:eastAsia="arial" w:hAnsi="arial" w:cs="arial"/>
          <w:color w:val="000000"/>
          <w:sz w:val="20"/>
          <w:lang w:val="en-US" w:eastAsia="en-US" w:bidi="ar-SA"/>
        </w:rPr>
        <w: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did not specifically address any of the disbursements claimed; however, they have been reviewed in light of the applicable principles quoted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Counsel for the defendant provided a detailed breakdown of the disbursements claimed in a chart containing references to the applicable affidavits, together with page and exhibit references. That chart was marked as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claim for non-taxable disbursements totals $4,911.94 consisting of: filing fees; registry fees; BC Online fees; a historical assessment of the property; hearing fees; witness fees and; conduct money. The non-taxable disbursements were necessarily and properly incurred and are allowed at $4,911.94.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claim for taxable disbursements, GST only, totals $240.69 consisting of: court reporter costs; registry agent fees and; Quicklaw searches. The claim for taxable disbursements, GST only, is allowed at $179.78.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disbursement for Quicklaw is disallowed. Defence counsel advised that Quicklaw is only used where the free services such as CanLii were not sufficient, however, the defendant could not say with any precision what the research on Quicklaw was for or whether it was part of a flat rate payable by the law firm which is generally considered as law firm overheard as per </w:t>
      </w:r>
      <w:r>
        <w:rPr>
          <w:rFonts w:ascii="arial" w:eastAsia="arial" w:hAnsi="arial" w:cs="arial"/>
          <w:i/>
          <w:color w:val="000000"/>
          <w:sz w:val="20"/>
          <w:lang w:val="en-US" w:eastAsia="en-US" w:bidi="ar-SA"/>
        </w:rPr>
        <w:t>Stapleton v. Charambidis</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2010 BCSC 1642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claim for taxable disbursements, HST only, totals $12,317.17, consisting of: court reporter costs; travel expenses; photocopies; registry agent fees; agent fees; courthouse library; search fees; process server costs; courier costs; Quicklaw research; OnPoint legal research law; and Westlaw searches. The taxable disbursements, HST only, are allowed at $8,928.85. The items claimed are allowed with the following exceptions: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photocopy charges: a total of $304.75 was claimed with respect to photocopying. That amount represents 1,219 photocopies at 25 cents per copy. As explained in </w:t>
      </w:r>
      <w:r>
        <w:rPr>
          <w:rFonts w:ascii="arial" w:eastAsia="arial" w:hAnsi="arial" w:cs="arial"/>
          <w:i/>
          <w:color w:val="000000"/>
          <w:sz w:val="20"/>
          <w:lang w:val="en-US" w:eastAsia="en-US" w:bidi="ar-SA"/>
        </w:rPr>
        <w:t>Sovani v. Gin</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2006 BCSC 855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Gill v. Widjaja</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2011 BCSC 1822</w:t>
        </w:r>
      </w:hyperlink>
      <w:r>
        <w:rPr>
          <w:rFonts w:ascii="arial" w:eastAsia="arial" w:hAnsi="arial" w:cs="arial"/>
          <w:color w:val="000000"/>
          <w:sz w:val="20"/>
          <w:lang w:val="en-US" w:eastAsia="en-US" w:bidi="ar-SA"/>
        </w:rPr>
        <w:t>, the assessment of the reasonableness of photocopying charges is not an arithmetical exercise, but rather requires consideration of what is reasonable in the circumstances of the action. In other cases, this has been described as a "rough and ready calculation". It is inevitable that documents will be copied when unnecessary or that duplication will occur. In the circumstances, a global award of $250 is allowed with respect to photocopying.</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Quicklaw, Westlaw and online research: the Quicklaw disbursement of $253.32, the Westlaw disbursements of $140 and $32.08, and the online research disbursement in the amount of $155 are disallowed. The defendant was unable to provide any details with respect to what research was conducted or why. In these circumstances, it could not be demonstrated that the use of such services was necessary or reasonable within the proceeding. Further, there was insufficient evidence to determine whether the charges were notional in relation to a flat monthly fee paid by the law firm which has been held to be overhead, as per </w:t>
      </w:r>
      <w:r>
        <w:rPr>
          <w:rFonts w:ascii="arial" w:eastAsia="arial" w:hAnsi="arial" w:cs="arial"/>
          <w:i/>
          <w:color w:val="000000"/>
          <w:sz w:val="20"/>
          <w:lang w:val="en-US" w:eastAsia="en-US" w:bidi="ar-SA"/>
        </w:rPr>
        <w:t>Stapleton v. Charambidis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OnPoint research: Counsel for the defendant, due to the amount of time this case was consuming, brought in a lawyer from OnPoint legal research law to assist with the case. It was a matter of needing assistance, as defence counsel had to invest more of her time in the within action. The disbursement represents the cost of a lawyer doing research under defence counsel's direction. Defence counsel advised that normally this sort of expense would not be incurred; however, being a small firm and finding herself in court regularly on short notice, there was a need for another lawyer to assist with the various aspects of trial preparation. Essentially, this disbursement boils down to a cost for legal fees. This is not a recoverable disbursement within the context of Schedule B party and party costs as per </w:t>
      </w:r>
      <w:r>
        <w:rPr>
          <w:rFonts w:ascii="arial" w:eastAsia="arial" w:hAnsi="arial" w:cs="arial"/>
          <w:i/>
          <w:color w:val="000000"/>
          <w:sz w:val="20"/>
          <w:lang w:val="en-US" w:eastAsia="en-US" w:bidi="ar-SA"/>
        </w:rPr>
        <w:t>Baiden v Vancouver</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2010 BCCA 375</w:t>
        </w:r>
      </w:hyperlink>
      <w:r>
        <w:rPr>
          <w:rFonts w:ascii="arial" w:eastAsia="arial" w:hAnsi="arial" w:cs="arial"/>
          <w:color w:val="000000"/>
          <w:sz w:val="20"/>
          <w:lang w:val="en-US" w:eastAsia="en-US" w:bidi="ar-SA"/>
        </w:rPr>
        <w:t xml:space="preserve">. For disbursements of this sort to be recoverable, an award of special costs would be required, or some sort of exceptional circumstances as per </w:t>
      </w:r>
      <w:r>
        <w:rPr>
          <w:rFonts w:ascii="arial" w:eastAsia="arial" w:hAnsi="arial" w:cs="arial"/>
          <w:i/>
          <w:color w:val="000000"/>
          <w:sz w:val="20"/>
          <w:lang w:val="en-US" w:eastAsia="en-US" w:bidi="ar-SA"/>
        </w:rPr>
        <w:t>Fairhurst v Anglo America PLC</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2013 BCSC 1937</w:t>
        </w:r>
      </w:hyperlink>
      <w:r>
        <w:rPr>
          <w:rFonts w:ascii="arial" w:eastAsia="arial" w:hAnsi="arial" w:cs="arial"/>
          <w:color w:val="000000"/>
          <w:sz w:val="20"/>
          <w:lang w:val="en-US" w:eastAsia="en-US" w:bidi="ar-SA"/>
        </w:rPr>
        <w:t xml:space="preserve"> [Registrar], affirmed </w:t>
      </w:r>
      <w:hyperlink r:id="rId260" w:history="1">
        <w:r>
          <w:rPr>
            <w:rFonts w:ascii="arial" w:eastAsia="arial" w:hAnsi="arial" w:cs="arial"/>
            <w:i/>
            <w:color w:val="0077CC"/>
            <w:sz w:val="20"/>
            <w:u w:val="single"/>
            <w:shd w:val="clear" w:color="auto" w:fill="FFFFFF"/>
            <w:lang w:val="en-US" w:eastAsia="en-US" w:bidi="ar-SA"/>
          </w:rPr>
          <w:t>2014 BCSC 827</w:t>
        </w:r>
      </w:hyperlink>
      <w:r>
        <w:rPr>
          <w:rFonts w:ascii="arial" w:eastAsia="arial" w:hAnsi="arial" w:cs="arial"/>
          <w:color w:val="000000"/>
          <w:sz w:val="20"/>
          <w:lang w:val="en-US" w:eastAsia="en-US" w:bidi="ar-SA"/>
        </w:rPr>
        <w:t xml:space="preserve">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Finally, the defendant has requested non-taxable disbursements in the amount of $216, and agent fees in the amount of $96, associated with the assessment of the bill of costs which are particularized in the affidavit of Vilma Castillo #7 at para. 19. These disbursements totalling $312, inclusive of taxes,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is awarded a total of 479 units at $110 per unit, for a subtotal of $52,690 plus GST, and PST at 12% in the amount of $6,322.80, for a total of $59,012.80.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addition, the defendant is awarded non-taxable disbursements in the amount of $4,911.94; and taxable disbursements, GST only, at $179.78 plus $8.99 in GST, for a total of $188.77. Taxable disbursements, HST only, are awarded at $8,928.85, plus 7% HST in the amount of $625.02 for a total of $9,553.87. Finally, the defendant is entitled to the disbursements, both taxable and non-taxable, relating to this assessment of costs, which total $312.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total of costs, disbursements, and taxes awarded is $73,979.38.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If a certificate of costs is required, one can be submitted to the Registry for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DISTRICT REGISTRAR S. NIELSEN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Strata Plan BCS 1165 v. National Home Warranty Group Inc., [2015] B.C.J. No. 1380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S115538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1122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BCS 1165, Plaintiff, and National Home Warranty Group Inc., Royal &amp; Sun Alliance Insurance Company of Canada, and in French Royal &amp; Sun Alliance du Canada, Societe D'Assurances, Travelers Guarantee Company of Canada/La Compagnie Travelers Garantie du Canada, Onni Imperial Landing Development Limited Partnership, Onni Development (Imperial Landing) Corp. Onni Project Management Services Ltd., KMBR Architects Planners Inc., D. Greenwood Brown, Eric Stacey, BC Building Science Partnership, BC Building Science &amp; Engineering Ltd., SRC Engineering Consultants Ltd., 0599202 B.C. Ltd., 0649813 B.C. Ltd., Universal Polymers Inc., Pacific Polymers International Inc., Soprema Inc., GSI Holdings Inc., GBP Holdings Inc., Almetco Building Products Ltd., 3090723 Nova Scotia Limited 0113426 B.C. Ltd., VFS Waterproofing Ltd., Allstar Mechanical Ltd., D.M.S. Mechanical Ltd. and City of Richmond, Defendants, and C.M.J. Heating Ltd., Summit Sheet Metal Ltd., Goertzen Enterprises Ltd., Sid Aluminum Building Products Ltd., Nightingale Electrical Ltd., Weatherguard Gutters Inc., Inline Drywall Systems Inc., East and West Alum Craft Ltd., Astra Concrete Pumping 1998 Ltd., Burrard Glass Ltd., Reno Mauro, James Kapitza, Edward Goertzen, Jagdish S. Sidhu, Douglas Nightingale, Russell McCann, Dan Shoemay and Rick Kennett,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1" w:name="Keywords_12"/>
      <w:bookmarkEnd w:id="91"/>
      <w:r>
        <w:rPr>
          <w:rFonts w:ascii="arial" w:eastAsia="arial" w:hAnsi="arial" w:cs="arial"/>
          <w:b/>
          <w:color w:val="000000"/>
          <w:sz w:val="20"/>
          <w:lang w:val="en-US" w:eastAsia="en-US" w:bidi="ar-SA"/>
        </w:rPr>
        <w:t>Civil litigation — Civil procedure — Applications and motions — Application for directions — Trials — Severance of issues or parties — Summary trials — Application by plaintiff strata corporation seeking preliminary opinion of the Court, in form of "directions", concerning its proposed summary trial to determine whether alleged defects in its condominium parkade fell within coverage of warranties provided by defendants National, Royal and Travelers allowed — Plaintiff intended to seek declaration that waterproofing of its parkade had defects that were covered by the warranties and an order requiring warranty provider defendants to remediate the parkade — Proposed summary trial application was unlikely to succeed — Lengthy, complex and expensive summary trial would do little to promote efficient resolution of disputes — Supreme Court Civil Rules, Rule 9-7.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2" w:name="Case Summary_12"/>
            <w:bookmarkEnd w:id="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seeking directions concerning its proposed summary trial to determine whether certain of the alleged defects in its condominium complex fell within the coverage of the warranties provided by the defendants National, Royal and Travelers. The plaintiff strata corporation claimed against several defendants involved in the construction of its condominium complex. It intended to seek a declaration on its summary trial that the waterproofing of its parkade had defects that were covered by the warranties and an order requiring the warranty provider defendants to remediate the parkade.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3" w:name="Holdings of Court_11"/>
            <w:bookmarkEnd w:id="9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summary trial application was unlikely to succeed. The tort defendants and third parties might be materially affected by findings at the summary trial. Determination of the proposed issues would likely impact any subsequent consideration of which tort defendants were responsible as well as the quantum of the claims against them. A lengthy, complex and expensive summary trial would do little to promote the efficient resolution of disputes. Severing the warranty claims was unlikely to result in significant savings in time or expense.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4" w:name="Legislation Cited_9"/>
      <w:bookmarkEnd w:id="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Homeowner Protection Act, </w:t>
      </w:r>
      <w:r>
        <w:rPr>
          <w:rFonts w:ascii="arial" w:eastAsia="arial" w:hAnsi="arial" w:cs="arial"/>
          <w:i/>
          <w:color w:val="000000"/>
          <w:sz w:val="20"/>
          <w:lang w:val="en-US" w:eastAsia="en-US" w:bidi="ar-SA"/>
        </w:rPr>
        <w:t>SBC 1998, CHAPTER 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Homeowner Protection Regulation, </w:t>
      </w:r>
      <w:hyperlink r:id="rId268" w:history="1">
        <w:r>
          <w:rPr>
            <w:rFonts w:ascii="arial" w:eastAsia="arial" w:hAnsi="arial" w:cs="arial"/>
            <w:i/>
            <w:color w:val="0077CC"/>
            <w:sz w:val="20"/>
            <w:u w:val="single"/>
            <w:shd w:val="clear" w:color="auto" w:fill="FFFFFF"/>
            <w:lang w:val="en-US" w:eastAsia="en-US" w:bidi="ar-SA"/>
          </w:rPr>
          <w:t>B.C. Reg. 29/99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5-3</w:t>
      </w:r>
      <w:r>
        <w:rPr>
          <w:rFonts w:ascii="arial" w:eastAsia="arial" w:hAnsi="arial" w:cs="arial"/>
          <w:color w:val="000000"/>
          <w:sz w:val="20"/>
          <w:lang w:val="en-US" w:eastAsia="en-US" w:bidi="ar-SA"/>
        </w:rPr>
        <w:t>, Rule 5-3(1)(p), Rule 5-3(1)(v), Rule 9-7, Rule 9-7(2), Rule 9-7(11), Rule 9-7(11)(a), Rule 9-7(11)(b), Rule 9-7(12), Rule 9-7(12) (b), Rule 9-7(15), Rule 9-7(15)(a)(i), Rule 9-7(15)(a)(ii), Rule 12-2(9)(h), Rule 12-5(67)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5" w:name="Counsel_12"/>
      <w:bookmarkEnd w:id="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J.G. Mendes, N. Rozenberg.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Travelers Guarantee Company of Canada: D. Laudan.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KMBR Architects Planners Inc., Eric Stacey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Greenwood Brown: A. Hobkirk.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Soprema Inc.: S.S. Deol.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Onni Project Management Services Ltd, Onni Imperial Landing Development Limited Partnership and Onni Development (Imperial Landing) Corp.: B. Allard, S. Marescaux.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Royal &amp; Sun Alliance Company of Canada and National Home Warranty Group Inc.: A. Maltas.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Defendant/Third Party, GSI Holdings Inc.: J.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Defendant/Third Party, GBP Holdings Inc.: J.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Defendant/Third Party, D.M.S. Mechanical Ltd. and Reno Mauro.: S.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Defendant/Third Party, City of Richmond: S. Haakonson.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Defendant/Third Party, BC Building Science &amp; Engineering Ltd: S. Wheeldon.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Defendant/Third Party, Allstar Mechanical Ltd.: M. Van Nostrand.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Sid Aluminum Building Products Ltd.: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Rick Kennett, and Burrard Glass Ltd.: Y. Pappas-Acreman.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Astra Concrete Pumping 1998 Ltd.: M. Barbero.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6" w:name="Judgment_12"/>
      <w:bookmarkEnd w:id="96"/>
      <w:r>
        <w:pict>
          <v:line id="_x0000_s1092" style="position:absolute;z-index:251824128" from="0,12pt" to="512pt,12pt" strokecolor="#009ddb" strokeweight="1.5pt">
            <v:stroke linestyle="single"/>
          </v:line>
        </w:pic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Application for Directions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is brought in the context of large, multi-party litigation involving alleged defects in the construction of a condominium complex located in Richmond, British Columbia (the "Complex"). The members of the plaintiff strata corporation are owners of strata lots in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Included in the long list of defendants are the developer of the Complex, the general contractor, the architects, the building envelope consultants and various other professionals and contractors who were involved in the design and construction of the Complex. Numerous third party claims have also been issued against various other parties involved in the construction of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Also named as defendants are National Home Warranty Group Inc. ("National"), Royal &amp; Sun Alliance Insurance Company of Canada, and in French, Royal &amp; Sun Alliance Du Canada, Societe D'Assurances ("Royal") and Travelers Guarantee Company of Canada/La Compagnie Travelers Garantie du Canada ("Travelers").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National, Royal and Travelers (collectively the "Warranty Providers") issued common property warranties (the "Warranties") for the Complex pursuant to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Homeowner Protection Act Regulation,</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B.C. Reg. 29/99</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HPA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wishes to bring a summary trial application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to determine whether certain of the alleged defects fall within the coverage provided by the Warranties (the "Warranty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brought the current application seeking directions concerning its proposed summary trial. In its notice of application, it seeks the following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applies for directions concerning a summary trial seeking the following relief:</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waterproofing of the Plaintiff's parkade has: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defects in its materials and labour,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envelope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these terms are defined in the common property warranty certificates issued by Travellers and National (collectively the "Warranty Providers");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order that the Warranty Providers remediate the parkade waterproofing defects in accordance with the scope of work recommended by Warren Knowles, P. Eng. of RDH Engineering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judgment against the Warranty Providers for the cost of remediating the parkade waterproofing defects in accordance with the recommended scope of work of Mr. Knowles.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goes on in its notice of application to set out a proposed schedule for the exchange of summary trial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alternative, the plaintiff applies for an order pursuant to Rules 5-3(1)(p) and 12-5(67) that the trial be heard in two phases, with the trial of the issues identified above proceeding first and all other issues to be tried at a later date. The plaintiff seeks a further order pursuant to Rule 12-2(9)(h) that the evidence-in-chief in both phases of the trial be given by way of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noted, the plaintiff has not brought a summary trial application but rather seeks directions with respect to a proposed summary trial on the Warranty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Rule 9-7 deals with summary trials. It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under this rule, either on an issue or generally...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Adjournment or dismissal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summary trial application, or</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Preliminary orders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the hearing of a summary trial application, the court may order that</w:t>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file and serve, within a fixed time, any of the following on which the party intends to rely in support of the application:</w:t>
      </w:r>
    </w:p>
    <w:p>
      <w:pPr>
        <w:numPr>
          <w:numId w:val="13"/>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 affidavit;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referred to in subrule (9),</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swore or affirmed an affidavit, or an expert whose report is relied on, attend for cross-examination, either before the court or before another person as the court directs,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cross-examinations on affidavits be completed within a fixed time,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further evidence be tendered on the application after a fixed time, or</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file and serve a brief, with such contents as the court may order, within a fixed time.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Judgment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2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can be seen, under rule 9-7(2), a party may apply for judgment either on one or more issues or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9-7(11) contemplates the court making a preliminary determination of whether the issues raised are suitable for summary determination or whether the summary trial application will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practice, it is rare for the court to make a preliminary determination of suitability, rather the court will generally prefer to hear the summary trial application and then determine the question of suitability on the basis of the entire record. The practical reason for doing so is that it is difficult to determine suitability in the absence of the complete summary trial application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(Minister of Forests) v. Chief Ron M. Derrickson,</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2000 BCSC 719</w:t>
        </w:r>
      </w:hyperlink>
      <w:r>
        <w:rPr>
          <w:rFonts w:ascii="arial" w:eastAsia="arial" w:hAnsi="arial" w:cs="arial"/>
          <w:color w:val="000000"/>
          <w:sz w:val="20"/>
          <w:lang w:val="en-US" w:eastAsia="en-US" w:bidi="ar-SA"/>
        </w:rPr>
        <w:t>, the respondents brought an application seeking a preliminary determination of whether they could bring a constitutional challenge by way of a summary trial. They said that if they were successful in the preliminary application, they would then marshall the evidence for the summary trial. Mr. Justice Sigurdson questioned whether the court has jurisdiction to make a preliminary ruling as to the suitability of a summary trial without the evidence to be relied on at such an application and ultimately he dismissed the application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Rule 9-7(15) sets out the options available for the court on the actual hearing of the summary trial application, including dismissing the application where the court cannot determine the necessary facts or where it would be unjust to decide the matter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When considered as part of the summary trial application, the factors set out in Rule 9-7(11)(a) and (b) and Rule 9-7(15)(a)(i) and (ii) are often conflated into what is generally termed the suitability analysis. As noted by Madam Justice Gropper in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2012 BCSC 1799</w:t>
        </w:r>
      </w:hyperlink>
      <w:r>
        <w:rPr>
          <w:rFonts w:ascii="arial" w:eastAsia="arial" w:hAnsi="arial" w:cs="arial"/>
          <w:color w:val="000000"/>
          <w:sz w:val="20"/>
          <w:lang w:val="en-US" w:eastAsia="en-US" w:bidi="ar-SA"/>
        </w:rPr>
        <w:t xml:space="preserve"> at para. 93, the judge hearing a summary trial application has the discretion to determine if the matter is suitable for summary trial, and must make that determination even if the parties themselves agree that the matter is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 question of suitability arises in every summary trial application, it takes on particular significance when a party seeks judgment by way of summary trial on only one or some of the issues in the proceeding, leaving the balance of the issues or claims to proceed to a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This situation was recently considered in </w:t>
      </w:r>
      <w:r>
        <w:rPr>
          <w:rFonts w:ascii="arial" w:eastAsia="arial" w:hAnsi="arial" w:cs="arial"/>
          <w:i/>
          <w:color w:val="000000"/>
          <w:sz w:val="20"/>
          <w:lang w:val="en-US" w:eastAsia="en-US" w:bidi="ar-SA"/>
        </w:rPr>
        <w:t>Greater Vancouver Water District v. Bilfinger Berger AG</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2015 BCSC 485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GVRD</w:t>
      </w:r>
      <w:r>
        <w:rPr>
          <w:rFonts w:ascii="arial" w:eastAsia="arial" w:hAnsi="arial" w:cs="arial"/>
          <w:color w:val="000000"/>
          <w:sz w:val="20"/>
          <w:lang w:val="en-US" w:eastAsia="en-US" w:bidi="ar-SA"/>
        </w:rPr>
        <w:t xml:space="preserve">]. There, Madam Justice Griffin reviewed the history and evolution of the summary trial rule in British Columbia as well as the principles governing summary trial applications emanating from the still leading case of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She also considered the Supreme Court of Canada's decision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where the Court spoke in favour of the concept of proportionality in litigation and a more robust approach to Ontario's summary judgment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Based on her review of the relevant authorities, Madam Justice Griffin summarized the factors to be considered on a summary trial application brought in respect of only a portion of a case (at para. 110):</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can find the facts necessary to decide the issues of fact or law;</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would be unjust to decide the issues by way of summary trial, considering amongst other things:</w:t>
      </w:r>
    </w:p>
    <w:p>
      <w:pPr>
        <w:numPr>
          <w:numId w:val="2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implications of determining only some of the issues in the litigation, which requires consideration of such things as:</w:t>
      </w:r>
    </w:p>
    <w:p>
      <w:pPr>
        <w:numPr>
          <w:numId w:val="2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duplication or inconsistent findings, which relates to whether the issues are intertwined with issues remaining for trial;</w:t>
      </w:r>
    </w:p>
    <w:p>
      <w:pPr>
        <w:numPr>
          <w:numId w:val="2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multiple appeals; and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novelty of the issues to be determined;</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its urgency;</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likely to arise by reason of delay; and</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 conventional trial in relation to the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terms of the plaintiff's application for directions, Rule 9-7(12) provides that the court may make a number of different preliminary orders concerning the conduct of the summary trial application but, as I read the sub-rule, it is concerned primarily with procedural aspects of the application and does not authorize the court to make an advance determination of suitability, nor does it contemplate the court issuing general directions concerning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Rule 5-3, which deals with case planning orders, does give the court broad discretion to make a variety of orders concerning the conduct of an action, including, pursuant to Rule 5-3(1)(p), orders authorizing or directing the parties of record to try one or more issues in the action independently of others and, pursuant to Rule 5-3(1)(v), any order that the court considers will further the object of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set out in the plaintiff's notice of application, Rule 12-5(67) also authorizes the court to order that one or more questions of fact or law arising in an action be tried before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Whether a party seeks to bring a summary trial application on some but not all issues in a proceeding, pursuant to Rule 9-7(2), or applies for severance of one or more issues under Rule 12-5(67), the analysis is similar. In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Madam Justice Allan provided the following succinct summary of the principles governing severance of one or more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There is ample authority for the proposition that an applicant must establish that there exist extraordinary, exceptional or compelling reasons for severance, and not merely that it would be just and convenient to order severance: </w:t>
      </w:r>
      <w:r>
        <w:rPr>
          <w:rFonts w:ascii="arial" w:eastAsia="arial" w:hAnsi="arial" w:cs="arial"/>
          <w:b/>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2008 BCSC 1064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Hynes v. Westfair Foods Ltd.</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2008 BCSC 637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Westwick v. Culbert</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[1992] B.C.J. No. 2121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It is true that some recent cases have held that a judge's discretion to sever an issue or issues is not restricted to "extraordinary or exceptional circumstances": </w:t>
      </w:r>
      <w:r>
        <w:rPr>
          <w:rFonts w:ascii="arial" w:eastAsia="arial" w:hAnsi="arial" w:cs="arial"/>
          <w:b/>
          <w:i/>
          <w:color w:val="000000"/>
          <w:sz w:val="20"/>
          <w:lang w:val="en-US" w:eastAsia="en-US" w:bidi="ar-SA"/>
        </w:rPr>
        <w:t>Nguyen v. Bains</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Enterprising Minds Technology Inc. v. Lululemon Athletica Inc.</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2006 BCSC 1168</w:t>
        </w:r>
      </w:hyperlink>
      <w:r>
        <w:rPr>
          <w:rFonts w:ascii="arial" w:eastAsia="arial" w:hAnsi="arial" w:cs="arial"/>
          <w:color w:val="000000"/>
          <w:sz w:val="20"/>
          <w:lang w:val="en-US" w:eastAsia="en-US" w:bidi="ar-SA"/>
        </w:rPr>
        <w:t>. However, there must be some compelling reasons to order severance, such as a real likelihood of a significant savings in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as well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Ultimately, whether the issue arises by way of an application to sever under Rule 12-5(67) or a summary trial application brought with respect to only one or some of the issues raised, the court must determine whether it is in the interests of justice to proceed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Pan Pacific and The Q Home Warranty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referred me to two previous decisions in which summary trial applications were brought, and rejected, in similar home warranty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Owners, Strata Plan BCS 1348 v. Travelers Guarantee Company of Canada,</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2014 BCSC 1468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the plaintiff, by way of a summary trial application, sought declarations that certain portions of a strata development located in Whistler, B.C. fell within the definition of "new home" in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HPA Regulation</w:t>
      </w:r>
      <w:r>
        <w:rPr>
          <w:rFonts w:ascii="arial" w:eastAsia="arial" w:hAnsi="arial" w:cs="arial"/>
          <w:color w:val="000000"/>
          <w:sz w:val="20"/>
          <w:lang w:val="en-US" w:eastAsia="en-US" w:bidi="ar-SA"/>
        </w:rPr>
        <w:t xml:space="preserve"> and the warranty in issue and a further declaration concerning the interpretation of a particular exclusion provision contained in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dismissing the summary trial application, Mr. Justice Cohen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 In some circumstances, trying an issue via a summary trial proceeding will be appropriate, but in other circumstances, for example where there are multiple parties or where the factual matrix is incomplete, the conclusion may be that the issue cannot be resolved expeditiously without a full conventional trial with the latter outcome being the most just and proportional option.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In the present case, I am entirely persuaded by Travelers' argument that the plaintiff's application is not appropriate for summary trial disposition.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In my view, this case is the very kind of case that the authorities suggest would not be a suitable candidate for a summary trial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I find that the issues raised in the plaintiff's application interrelate with the issues that will be dealt with at the full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As Travelers submits, the plaintiff must establish that the allegations made by it are in fact "defects". Travelers points out that a defect, under the statutory definition, requires either a breach of the building code or a requirement for repair or replacement because of WVC's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person for whom WVC is legally responsible. As Travelers noted, this determination is a similar question to the one that the plaintiff seeks to resolve in this application. If the whole of the South Wing is WVC's responsibility, in particular on the basis that its failure to undertake repairs of the South Wing might be blameworthy, then this determination tends to prejudge an issue that is not before the Court, namely whether the alleged problems in the South Wing are in fact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I agree with Travelers' point that such findings would tend to tie the hands of the trial judge at the full trial, or, at the very least, they would give rise to potentially inconsistent results based on different evidence being reviewed at the summary and full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summary trial application was also dismissed in </w:t>
      </w:r>
      <w:r>
        <w:rPr>
          <w:rFonts w:ascii="arial" w:eastAsia="arial" w:hAnsi="arial" w:cs="arial"/>
          <w:i/>
          <w:color w:val="000000"/>
          <w:sz w:val="20"/>
          <w:lang w:val="en-US" w:eastAsia="en-US" w:bidi="ar-SA"/>
        </w:rPr>
        <w:t>The Owners, Strata Plan LMS 4443 v. Travelers Guarantee Company of Canada,</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2013 BCSC 296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Q</w:t>
      </w:r>
      <w:r>
        <w:rPr>
          <w:rFonts w:ascii="arial" w:eastAsia="arial" w:hAnsi="arial" w:cs="arial"/>
          <w:color w:val="000000"/>
          <w:sz w:val="20"/>
          <w:lang w:val="en-US" w:eastAsia="en-US" w:bidi="ar-SA"/>
        </w:rPr>
        <w:t>"). In that case, the plaintiff sought a declaration that coverage under the warranty in issue was not conditional on proof of water penetration through the building envelope of the subject condominium complex. In dismissing the application, Mr. Justice Pearlman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Here, the Owners apply for a declaration that would provide a partial interpretation of the Warranty. The relief sought will not resolve the litigation, nor will it determine Travelers' liability to the plaintiff. By embarking upon a partial determination of one aspect of coverage, the court would be "litigating in slices". The issue raised on this application is intertwined with the interpretation and application of the Warranty as a whole, including its notice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The Court should not be asked to make a determination regarding coverage under the Warranty in the absence of all of the facts relating to the application of the Warranty to the specific claims made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The determination of the narrow issue raised on this application is unlikely to materially reduce the time required for the trial of this action. Regardless of the result, the Owners will still be required to present their expert and lay evidence relating to the condition of the building envelope, its alleged defects, proof of material damage, the interpretation and application of the Warranty, the damages they claim from Travelers and their claims against all of the other defendants in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In my view, the Court should have the benefit of the full factual matrix of the specific claims advanced by the plaintiffs, the nature of the alleged defects, and a full understanding of the extent to which the interpretation of the Warranty and its application are intertwined with the plaintiffs' claims against other defendants, and the third party claims, before deciding the issue raised on this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The summary determination of the issue raised on this application will not assist in the efficient resolution of this litigation. It is unlikely to shorten the trial. The plaintiff must still lead evidence to prove that its claims meet the conditions of the Warranty, and that it has satisfied the reporting requirements under the Warranty. Further, the plaintiff also has multiple claims against the defendants other than Travelers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against all of the defendants, including Travelers, for breach of a duty to warn. A summary determination of the question of whether the plaintiff must establish water penetration into or through the building envelope within the five year term of the Warranty will almost certainly be appealed, resulting in the loss of the current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here submits that its proposed application is distinguishable from the summary trial applications rejected in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The Q.</w:t>
      </w:r>
      <w:r>
        <w:rPr>
          <w:rFonts w:ascii="arial" w:eastAsia="arial" w:hAnsi="arial" w:cs="arial"/>
          <w:color w:val="000000"/>
          <w:sz w:val="20"/>
          <w:lang w:val="en-US" w:eastAsia="en-US" w:bidi="ar-SA"/>
        </w:rPr>
        <w:t xml:space="preserve"> It says that its application would determine its entire claim under the Warranties in relation to the parkade, as distinct from only a portion of its claim, and that a finding on whether the parkade waterproofing was defective would substantially narrow the remaining issues to be dealt with in a subsequent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acknowledges that the issues it seeks to address in its summary trial application are intertwined with other issues raised in the litigation, specifically the various tort claims. However, the plaintiff submits that the defendants and third parties who might be impacted by findings made in the summary trial will have an opportunity to submit evidence and participate fully in the summary trial. Thus they will not be prejudiced by any findings made at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noted, the plaintiff is not seeking an advance ruling that it's proposed application is suitable for summary trial as such a determination cannot be made in the absence of the full summary trial materials, in particular the evidence to be relied on by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the plaintiff has requested what is in effect a preliminary opinion of the court, in the form of "directions," about the likely success of its proposed application. I understand this request to be borne out of a well-founded concern on the part of the plaintiff that it not embark on a complex and expensive summary trial process if that process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unusual, I am prepared in the circumstances of this case to provide my preliminary views on the plaintiff's proposed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Based on the relief that the plaintiff says it would seek on its summary trial application, as set out in its current application for directions, it is my view that the proposed application is unlikely to succeed. I base this view on a number of factors:</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 acknowledge that the plaintiff's proposed application differs in a number of respects from the applications rejected in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The Q</w:t>
      </w:r>
      <w:r>
        <w:rPr>
          <w:rFonts w:ascii="arial" w:eastAsia="arial" w:hAnsi="arial" w:cs="arial"/>
          <w:color w:val="000000"/>
          <w:sz w:val="20"/>
          <w:lang w:val="en-US" w:eastAsia="en-US" w:bidi="ar-SA"/>
        </w:rPr>
        <w:t>, many of the concerns expressed by Justices Cohen and Pearlman in those cases nonetheless exist in this case as well, in particular the interrelationship of the issues that arise under the Warranty claims and those that arise in the tort claims;</w:t>
      </w:r>
    </w:p>
    <w:p>
      <w:pPr>
        <w:numPr>
          <w:numId w:val="3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its proposed application, the plaintiff seeks a declaration that the waterproofing in the parkade has defects in its materials and labour as well as building envelope defects. "Defect" is defined in the Warranties to mean "any design or construction that is contrary to the Building code or that requires repair or replacement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Builder or person for whom the Builder is responsible at law." This definition requires a determination of who and/or what caused the water ingress into the parkade which will also be a central issue in the tort claims. Thus, the tort defendants and third parties may be materially affected by findings at the summary trial;</w:t>
      </w:r>
    </w:p>
    <w:p>
      <w:pPr>
        <w:numPr>
          <w:numId w:val="3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the plaintiff seeks specific orders concerning remedial measures. Determination of these issues will likely impact any subsequent consideration of which tort defendants are responsible as well as the quantum of the claims against them; and</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response to this concern, that those parties may lead evidence and participate in the summary trial, raises the spectre of a lengthy, complex and expensive summary trial that will do little to promote the underlying objective of Rule 9-7 of the efficient resolution of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short, it is my view, for reasons similar to those articulated in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The Q,</w:t>
      </w:r>
      <w:r>
        <w:rPr>
          <w:rFonts w:ascii="arial" w:eastAsia="arial" w:hAnsi="arial" w:cs="arial"/>
          <w:color w:val="000000"/>
          <w:sz w:val="20"/>
          <w:lang w:val="en-US" w:eastAsia="en-US" w:bidi="ar-SA"/>
        </w:rPr>
        <w:t xml:space="preserve"> as well as in </w:t>
      </w:r>
      <w:r>
        <w:rPr>
          <w:rFonts w:ascii="arial" w:eastAsia="arial" w:hAnsi="arial" w:cs="arial"/>
          <w:i/>
          <w:color w:val="000000"/>
          <w:sz w:val="20"/>
          <w:lang w:val="en-US" w:eastAsia="en-US" w:bidi="ar-SA"/>
        </w:rPr>
        <w:t>GVRD</w:t>
      </w:r>
      <w:r>
        <w:rPr>
          <w:rFonts w:ascii="arial" w:eastAsia="arial" w:hAnsi="arial" w:cs="arial"/>
          <w:color w:val="000000"/>
          <w:sz w:val="20"/>
          <w:lang w:val="en-US" w:eastAsia="en-US" w:bidi="ar-SA"/>
        </w:rPr>
        <w:t>, that the plaintiff's proposed summary trial application would amount to "litigation in slices" in a manner that the courts have regularly warned against.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These same considerations weigh against the plaintiff's alternative application that the trial be split and that the Warranty claims be tried in advance of the remaining claims. As set out above, the test for severance requires extraordinary, exceptional or compelling reasons such as a real likelihood of a significant savings in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the reasons set out above, it is my view that severing the Warranty claims is unlikely to result in significant savings in time or expense and there are no compelling reasons why the Warranty claims should be tried separately. Indeed, there are compelling reasons why those claims should be tried together with the other claims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Before leaving this point, I want to address the plaintiff's submission that compelling it to engage in a lengthy trial process in order to obtain protection under the Warranties largely defeats the purpose of what was intended to be a statutory consumer protection remedy created by the </w:t>
      </w:r>
      <w:r>
        <w:rPr>
          <w:rFonts w:ascii="arial" w:eastAsia="arial" w:hAnsi="arial" w:cs="arial"/>
          <w:i/>
          <w:color w:val="000000"/>
          <w:sz w:val="20"/>
          <w:lang w:val="en-US" w:eastAsia="en-US" w:bidi="ar-SA"/>
        </w:rPr>
        <w:t>HPA.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While I have some sympathy for this position,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does not itself provide for a summary determination of the Warranty claims. Moreover, as noted above, it is the definition of "defect" within the Warranties themselves that engages the interests of the various other parties thus making a summary trial on only the Warranty issues impractical.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also note that a similar argument was made before Mr. Justice Cohen in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but that was not sufficient to persuade him that a summary trial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in Chief by Way of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proposes that evidence in chief at the trial be given by way of affidavits. It submits that such an order would result in a significant savings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noted by Madam Justice Griffin in </w:t>
      </w:r>
      <w:r>
        <w:rPr>
          <w:rFonts w:ascii="arial" w:eastAsia="arial" w:hAnsi="arial" w:cs="arial"/>
          <w:i/>
          <w:color w:val="000000"/>
          <w:sz w:val="20"/>
          <w:lang w:val="en-US" w:eastAsia="en-US" w:bidi="ar-SA"/>
        </w:rPr>
        <w:t>GVRD</w:t>
      </w:r>
      <w:r>
        <w:rPr>
          <w:rFonts w:ascii="arial" w:eastAsia="arial" w:hAnsi="arial" w:cs="arial"/>
          <w:color w:val="000000"/>
          <w:sz w:val="20"/>
          <w:lang w:val="en-US" w:eastAsia="en-US" w:bidi="ar-SA"/>
        </w:rPr>
        <w:t xml:space="preserve"> at para. 62, such "hybrid" trials are contemplated by Rule 9-7(12)(b) and were also envisioned in the leading case of </w:t>
      </w:r>
      <w:r>
        <w:rPr>
          <w:rFonts w:ascii="arial" w:eastAsia="arial" w:hAnsi="arial" w:cs="arial"/>
          <w:i/>
          <w:color w:val="000000"/>
          <w:sz w:val="20"/>
          <w:lang w:val="en-US" w:eastAsia="en-US" w:bidi="ar-SA"/>
        </w:rPr>
        <w:t>Inspiration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view, this is the type of case in which some form of hybrid process may well be appropriate. For example, I would anticipate that much of the key evidence will be in the form of written expert reports that will be exchanged in advance of trial in accordance with the Rules. It may be that other evidence can also be done in writing and exchanged in advance with a view to shortening what is currently scheduled as a 60 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it is premature at this stage to make a blanket order requiring all evidence in chief to be given by way of affidavits. Instead, the plaintiff should provide the other parties with a more concrete proposal as to which evidence it believes can properly be presented in affidavit form. It should also advise the other parties of those facts on which it seeks agreement as a detailed statement of agreed facts would also likely serve to shorten the proceeding. If the parties cannot agree, they can return for further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stated by Tim Dickson, in his article "A Few Thoughts on Hybrid Trials" (2014) 72 The Advocate 361 at 363: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key to making a hybrid trial successful is carefully considering the form in which evidence on particular issues is presented. An advantage of a hybrid trial is that it allows for more difficult evidentiary issues-such as contests of credibility-to be addressed orally, while allowing other issues to be presented in writing, thereby reducing hearing time and often producing a more complete and comprehensible written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would therefore decline to make the order sought at this time but I would encourage the parties to work together to better streamline the process. In this regard, I would also endorse Mr. Dickson's further comment at 367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forethought and co-operation by counsel and the approval of the case planning judge, many of the default procedures under the Supreme Court Civil rules can be modified to achieve more "proportionate, timely and affordable"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set out above, it is my view that the plaintiff's proposed summary trial application, as framed in its current application for directions, is unlikely to succeed. I would stress however, that this is merely a preliminary opinion based solely on the issues identified and without the benefit of a full summary trial record. It is not intended to preclude the plaintiff from bringing a summary trial application nor is it intended to bind the court on the hearing of any such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Strata Plan K855 v. Big White Mountain Mart Ltd., [2016] B.C.J. No. 998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24-28, August 31-September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2015; February 15-19 and 22-26,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S70713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998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862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267 A.C.W.S. (3d) 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61 C.L.R. (4th) 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1317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K855, Plaintiff, and Big White Mountain Mart Ltd. and Bank of Montreal, Defendants, and Global Surface Solutions Inc.,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7" w:name="Keywords_13"/>
      <w:bookmarkEnd w:id="97"/>
      <w:r>
        <w:rPr>
          <w:rFonts w:ascii="arial" w:eastAsia="arial" w:hAnsi="arial" w:cs="arial"/>
          <w:b/>
          <w:color w:val="000000"/>
          <w:sz w:val="20"/>
          <w:lang w:val="en-US" w:eastAsia="en-US" w:bidi="ar-SA"/>
        </w:rPr>
        <w:t>Construction law — Contracts — Breach — By owner — Delay — By contractor — Defective workmanship — Deviation from specifications — Action by plaintiff Strata plan for damages for deficient workmanship allowed in part — Counterclaim by defendant contractor for damages arising from contractual delay allowed — 2004 agreement contemplated defendant's usage of strata area for several commercial businesses following renovation and development undertaken by defendant — Following 2008 trial, parties disputed value and remedying of deficiencies and costs of delay arising from plaintiff's failure to obtain consents to transfer title of new lots to defendant — Plaintiff awarded $16,454 for proven deficiencies — Defendant awarded costs of financing arising from delay of $216,740.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8" w:name="Case Summary_13"/>
            <w:bookmarkEnd w:id="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Strata Plan K855, against the defendant, Big White Mountain Mart, with a counterclaim and third party claim against Global, for damages in respect strata construction and development. The plaintiff owned a strata at a ski resort. The defendant operated several commercial businesses within the development. The usage was governed by a 2004 agreement that led to litigation. In 2008, a trial addressed some of the parties' issues. The plaintiff's claims for damages arising from deficient construction work by the defendant was adjourned generally to permit remediation of the acknowledged deficiencies and allow the plaintiff to properly prove its losses. The defendant obtained an order for specific performance in respect of the subdivision of common property. However, some owners refused to consent to the subdivision and the defendant was unable to register title to the new strata lots it had created by renovation and new construction. The plaintiff sought damages for deficient work remaining after the first trial. The defendant sought damages for the delay in receiving title to the lots it created. Global was joined as a third party, as it remained owed $19,784 for work on a hot tub that remained at issue between the principal parties. The defendant claimed over against Global for full contribution to any damages suffered by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9" w:name="Holdings of Court_12"/>
            <w:bookmarkEnd w:id="99"/>
            <w:r>
              <w:rPr>
                <w:rFonts w:ascii="arial" w:eastAsia="arial" w:hAnsi="arial" w:cs="arial"/>
                <w:color w:val="000000"/>
                <w:sz w:val="20"/>
                <w:lang w:val="en-US" w:eastAsia="en-US" w:bidi="ar-SA"/>
              </w:rPr>
              <w:t>HELD: Action allowed in part; counterclaim allowed; third party claim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implied term required the defendant to perform its work in a good and workmanlike manner. The defendant was ordered to pay the plaintiff damages totaling $16,454 for deficient exterior wall base detailing, deficient window detailing, painting flashing, roof edge detailing, and failing to achieve the proper two per cent slope on the hot tub deck. No other deficiencies were proven. The plaintiff's losses related to the hot tub were limited to the slope deficiency, as it failed to act reasonably to mitigate its losses flowing from leakage caused by the lack of slope. Global was not contractually bound to create the hot tub slope. The failure in that respect was entirely the defendant's responsibility. The defendant was ordered to pay Global the amount claimed for breach of contract in respect of the hot tub construction. The plaintiff was ordered to pay damages of $216,740 reflecting financing charges incurred by the defendant arising from the delay in obtaining title to its lots in accordance with the 2008 trial judgment.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0" w:name="Legislation Cited_10"/>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Strata Property Act, </w:t>
      </w:r>
      <w:hyperlink r:id="rId290" w:history="1">
        <w:r>
          <w:rPr>
            <w:rFonts w:ascii="arial" w:eastAsia="arial" w:hAnsi="arial" w:cs="arial"/>
            <w:i/>
            <w:color w:val="0077CC"/>
            <w:sz w:val="20"/>
            <w:u w:val="single"/>
            <w:shd w:val="clear" w:color="auto" w:fill="FFFFFF"/>
            <w:lang w:val="en-US" w:eastAsia="en-US" w:bidi="ar-SA"/>
          </w:rPr>
          <w:t>S.B.C. 1998, c. 43, s. 66</w:t>
        </w:r>
      </w:hyperlink>
      <w:r>
        <w:rPr>
          <w:rFonts w:ascii="arial" w:eastAsia="arial" w:hAnsi="arial" w:cs="arial"/>
          <w:color w:val="000000"/>
          <w:sz w:val="20"/>
          <w:lang w:val="en-US" w:eastAsia="en-US" w:bidi="ar-SA"/>
        </w:rPr>
        <w:t>, s. 163, s. 171, s. 171(2)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1" w:name="Counsel_13"/>
      <w:bookmarkEnd w:id="1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6"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Burke.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Big White Mountain Mart Ltd.: J.M. Hogg,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Bank of Montreal: No one 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Global Surface Solutions Inc.: C.K. Wendell.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2" w:name="Judgment_13"/>
      <w:bookmarkEnd w:id="102"/>
      <w:r>
        <w:pict>
          <v:line id="_x0000_s1097"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3" w:name="R. JOHNSTON J."/>
            <w:bookmarkEnd w:id="103"/>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resumption of a trial that began in 2008. The action arises out of an agreement reached in 2004 between the plaintiff, The Owners, Strata Plan K855 ("K855"), and the defendant Big White Mountain Mart Ltd. ("Mountain Mart"). Many disputes arose out of that agreement, some of which are described in detail in reasons for judgment indexed under </w:t>
      </w:r>
      <w:hyperlink r:id="rId291" w:history="1">
        <w:r>
          <w:rPr>
            <w:rFonts w:ascii="arial" w:eastAsia="arial" w:hAnsi="arial" w:cs="arial"/>
            <w:i/>
            <w:color w:val="0077CC"/>
            <w:sz w:val="20"/>
            <w:u w:val="single"/>
            <w:shd w:val="clear" w:color="auto" w:fill="FFFFFF"/>
            <w:lang w:val="en-US" w:eastAsia="en-US" w:bidi="ar-SA"/>
          </w:rPr>
          <w:t>2008 BCSC 1587</w:t>
        </w:r>
      </w:hyperlink>
      <w:r>
        <w:rPr>
          <w:rFonts w:ascii="arial" w:eastAsia="arial" w:hAnsi="arial" w:cs="arial"/>
          <w:color w:val="000000"/>
          <w:sz w:val="20"/>
          <w:lang w:val="en-US" w:eastAsia="en-US" w:bidi="ar-SA"/>
        </w:rPr>
        <w:t>. The trial did not finalize all matters arising out of the contract between the parties: K855's claims for damages for deficient work done by Mountain Mart was adjourned generally, to allow Mountain Mart time to remedy deficiencies it acknowledged as its responsibility, and to allow K855 to properly prove its damages. Subsequently, it became apparent that Mountain Mart was not able to obtain the specific performance ordered in its favour, as some owners refused to provide consents necessary to achieve the subdivision of common property that was a necessary pre-condition to registering title to new strata lots it had created by renovation and new construction. The full flavour of the early disputes and the progress, or lack of progress, since then can be obtained from the reasons referred to, and from later reasons arising out of interlocutory skirmishes between the parties between the first hearing in 2008, and this, which resumed in the late summer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Bank of Montreal has never taken part in these proceedings, and should probably have had a discontinuance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a new party, however, in Global Surface Solutions Inc. ("Global"). Global contracted with Mountain Mart to provide a top surface to two outside decks being built by Mountain Mart as part of its project: Mountain Mart paid Global for the work it did on one deck, but refused to pay for work done on a hot tub deck that was and remains a bone of contention between K855 and Mountain Mart. Global's outstanding account from January 2005 was $19,784.30, and when it was not paid, Global sued Mountain Mart in Provincial Court. The Small Claims action was ordered transferred to this court by a judge of the Provincial Court on April 8, 2009, and Mountain Mart joined Global as a Third Party to this action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That Global entered this proceeding after eleven days of trial raises the question of what evidence from the first trial can be used for or against it, and for what purpose. K855 and Mountain Mart proceeded in this phase of the trial on the basis that at least the exhibits entered in 2008 were exhibits in this phase, and as well referred to at least some testimony from the 2008 trial. I will proceed on the basis that the testimony of witnesses heard at the first trial should be evidence for and against K855 and Mountain Mart in their trial, but not in proceedings involving Global, which had no opportunity to cross-examine, but that exhibits entered in the first trial may be used by and against all parties in all actions, there having been no objection from Global to reference exhibits entered before it became a party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presented almost as many issues for resolution in 2015-2016 as in 2008. K855 claims damages for Mountain Mart's breach of contract through deficient work that was not made good after the first trial as follows: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Exterior wall base detailing;</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Window detailing;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Waterproofing and detailing at stone columns;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Roof edge detailing and wall insulation;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Painting of balcony edge metal flashing;</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Substitution of wood siding for fibre cement siding;</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Hot tub nest;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Slope of hot tub deck; and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Elimination of a required fire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Mountain Mart claims damages from K855 for delay in getting title to the lots it created as part of its obligation under the contract, partially awarded in 2008, but continuing until it got title to its lots in December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Global claims damages from Mountain Mart based on its unpaid January 2005 invoice of $19,784.30. Mountain Mart resists on the ground that it was a term of its contract with Global that Global was to slope the hot tub deck 2% to drains in the deck, and to provide a waterproof coating, and it did neither. To the extent that K855 is claiming damages from Mountain Mart for these items, Mountain Mart claims over against Global for full contribution to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K855's argument that Mountain Mart breached its contract starts with an argument that it breached the applicable building bylaw by ignoring a stop work order, deviating from plans approved by the Regional District of Kootenay Boundary, and by occupying its newly created premises without an occupancy permit. It also complains that Mountain Mart allowed its development permit to lapse. K855 had pleaded these breaches, but withdrew those portions of its Amended Statement of Claim in which it raised allegations related to bylaw or permit issues when the trial resumed in August 2015, and agreed that no relief can flow from these sorts of things. It is also hard to see how K855 could have taken advantage of any bylaw infraction or Mountain Mart activity contrary to its permits; any such failures would be for the Regional District to enforce. Thus, K855 was wise to have abandoned those portions of its Amended Statement of Claim. In spite of having abandoned these pleadings, K855 maintains that it can rely on these apparent breaches of bylaws, permit violations, and stop work orders as indicative of Mountain Mart's cavalier approach to its obligations under its contract with K855.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have addressed the standard to which Mountain Mart's work should be held, with K855 urging that the law has long required a party in Mountain Mart's position to build in a good and workmanlike manner, while Mountain Mart argues that its obligation was to build to comply with the British Columbia Building Code. K855 complains that Building Code compliance merely ensures that the building is safe, that it will not fall down, a standard that is too low, while Mountain Mart points to the contract and asks where it promised to do more than to comply with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find that there was an implied term in the contract between K855 and Mountain Mart that Mountain Mart would do its work in a good and workmanlike manner, relying on the authority of </w:t>
      </w:r>
      <w:r>
        <w:rPr>
          <w:rFonts w:ascii="arial" w:eastAsia="arial" w:hAnsi="arial" w:cs="arial"/>
          <w:i/>
          <w:color w:val="000000"/>
          <w:sz w:val="20"/>
          <w:lang w:val="en-US" w:eastAsia="en-US" w:bidi="ar-SA"/>
        </w:rPr>
        <w:t>Hutchinson v. Mathias</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1943 CarswellBC 5</w:t>
        </w:r>
      </w:hyperlink>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[1943] 1 W.W.R. 451</w:t>
        </w:r>
      </w:hyperlink>
      <w:r>
        <w:rPr>
          <w:rFonts w:ascii="arial" w:eastAsia="arial" w:hAnsi="arial" w:cs="arial"/>
          <w:color w:val="000000"/>
          <w:sz w:val="20"/>
          <w:lang w:val="en-US" w:eastAsia="en-US" w:bidi="ar-SA"/>
        </w:rPr>
        <w:t xml:space="preserve"> (B.C.S.C.), where it said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doubt that there was an implied contract that the work should have been done in a good and workmanlike manner, in accordance with ordinary and reasonable standards. See </w:t>
      </w:r>
      <w:r>
        <w:rPr>
          <w:rFonts w:ascii="arial" w:eastAsia="arial" w:hAnsi="arial" w:cs="arial"/>
          <w:i/>
          <w:color w:val="000000"/>
          <w:sz w:val="20"/>
          <w:lang w:val="en-US" w:eastAsia="en-US" w:bidi="ar-SA"/>
        </w:rPr>
        <w:t>3 Halsbury</w:t>
      </w:r>
      <w:r>
        <w:rPr>
          <w:rFonts w:ascii="arial" w:eastAsia="arial" w:hAnsi="arial" w:cs="arial"/>
          <w:color w:val="000000"/>
          <w:sz w:val="20"/>
          <w:lang w:val="en-US" w:eastAsia="en-US" w:bidi="ar-SA"/>
        </w:rPr>
        <w:t xml:space="preserve">, p. 220. See also report of the reasons for judgment of the Supreme Court of Canada in </w:t>
      </w:r>
      <w:r>
        <w:rPr>
          <w:rFonts w:ascii="arial" w:eastAsia="arial" w:hAnsi="arial" w:cs="arial"/>
          <w:i/>
          <w:color w:val="000000"/>
          <w:sz w:val="20"/>
          <w:lang w:val="en-US" w:eastAsia="en-US" w:bidi="ar-SA"/>
        </w:rPr>
        <w:t>Modern Construction Co. v. Shaw</w:t>
      </w:r>
      <w:r>
        <w:rPr>
          <w:rFonts w:ascii="arial" w:eastAsia="arial" w:hAnsi="arial" w:cs="arial"/>
          <w:color w:val="000000"/>
          <w:sz w:val="20"/>
          <w:lang w:val="en-US" w:eastAsia="en-US" w:bidi="ar-SA"/>
        </w:rPr>
        <w:t xml:space="preserve"> (1923) 35 B.C.R. at 338n. (varying </w:t>
      </w:r>
      <w:hyperlink r:id="rId293" w:history="1">
        <w:r>
          <w:rPr>
            <w:rFonts w:ascii="arial" w:eastAsia="arial" w:hAnsi="arial" w:cs="arial"/>
            <w:i/>
            <w:color w:val="0077CC"/>
            <w:sz w:val="20"/>
            <w:u w:val="single"/>
            <w:shd w:val="clear" w:color="auto" w:fill="FFFFFF"/>
            <w:lang w:val="en-US" w:eastAsia="en-US" w:bidi="ar-SA"/>
          </w:rPr>
          <w:t>[1923] 3 W.W.R. 301</w:t>
        </w:r>
      </w:hyperlink>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35 B.C.R. 331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Deficiencies Conceded by Mountain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Some elements of K855's claims for damages for defective work are conceded by Mountain Mart, although not at the quantum sought by K855. Where these parties diverge on the cost to make a deficiency good, Mountain Mart relies on Mr. Cousins, an experienced contractor, whereas K855 relies on Mr. Vadeboncoeur, an engineer working at Levelton Engineering Solutions ("Levelton"), with experience in building envelope condition, assessment, and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dispose of these less contentious matters before turning to the more difficult questions. Before doing so, I will address the measure of damages for the various breaches of contract in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a general rule, damages for breach of contract will be measured by the difference in value between what an innocent party bargained for and what the offending party delivered: see </w:t>
      </w:r>
      <w:r>
        <w:rPr>
          <w:rFonts w:ascii="arial" w:eastAsia="arial" w:hAnsi="arial" w:cs="arial"/>
          <w:i/>
          <w:color w:val="000000"/>
          <w:sz w:val="20"/>
          <w:lang w:val="en-US" w:eastAsia="en-US" w:bidi="ar-SA"/>
        </w:rPr>
        <w:t>Cunningham v. Insinger</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[1924] S.C.R. 8</w:t>
        </w:r>
      </w:hyperlink>
      <w:r>
        <w:rPr>
          <w:rFonts w:ascii="arial" w:eastAsia="arial" w:hAnsi="arial" w:cs="arial"/>
          <w:color w:val="000000"/>
          <w:sz w:val="20"/>
          <w:lang w:val="en-US" w:eastAsia="en-US" w:bidi="ar-SA"/>
        </w:rPr>
        <w:t xml:space="preserve">. But that is not the only measure of damages, and in certain cases, the cost of making good defective work will be the appropriate measure: see </w:t>
      </w:r>
      <w:r>
        <w:rPr>
          <w:rFonts w:ascii="arial" w:eastAsia="arial" w:hAnsi="arial" w:cs="arial"/>
          <w:i/>
          <w:color w:val="000000"/>
          <w:sz w:val="20"/>
          <w:lang w:val="en-US" w:eastAsia="en-US" w:bidi="ar-SA"/>
        </w:rPr>
        <w:t>Sunshine Exploration Ltd. et al. v. Dolly Varden Mines Ltd. (N.P.L.)</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[1970] S.C.R. 2</w:t>
        </w:r>
      </w:hyperlink>
      <w:r>
        <w:rPr>
          <w:rFonts w:ascii="arial" w:eastAsia="arial" w:hAnsi="arial" w:cs="arial"/>
          <w:color w:val="000000"/>
          <w:sz w:val="20"/>
          <w:lang w:val="en-US" w:eastAsia="en-US" w:bidi="ar-SA"/>
        </w:rPr>
        <w:t>. K855 has not pleaded that the value of what Mountain Mart delivered pursuant to its obligations under the contract is worth less than it bargained for, nor has any party led evidence of, or argued, diminution of value of property that was the subject of any contract. Instead, the parties have approached the case on the basis that the proper measure of damages is the cost of making good any work found to have fallen below the good and workmanlike standard, as indicated by those Mountain Mart concessions just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approaching damages for deficiencies, I bear in mind what this court said in </w:t>
      </w:r>
      <w:r>
        <w:rPr>
          <w:rFonts w:ascii="arial" w:eastAsia="arial" w:hAnsi="arial" w:cs="arial"/>
          <w:i/>
          <w:color w:val="000000"/>
          <w:sz w:val="20"/>
          <w:lang w:val="en-US" w:eastAsia="en-US" w:bidi="ar-SA"/>
        </w:rPr>
        <w:t>McGarry v. Richards, Ackroyd &amp; Gall Ltd.</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[1954] 2 D.L.R. 367</w:t>
        </w:r>
      </w:hyperlink>
      <w:r>
        <w:rPr>
          <w:rFonts w:ascii="arial" w:eastAsia="arial" w:hAnsi="arial" w:cs="arial"/>
          <w:color w:val="000000"/>
          <w:sz w:val="20"/>
          <w:lang w:val="en-US" w:eastAsia="en-US" w:bidi="ar-SA"/>
        </w:rPr>
        <w:t xml:space="preserve"> (B.C.S.C.), at p. 387: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plaintiff cited </w:t>
      </w:r>
      <w:r>
        <w:rPr>
          <w:rFonts w:ascii="arial" w:eastAsia="arial" w:hAnsi="arial" w:cs="arial"/>
          <w:i/>
          <w:color w:val="000000"/>
          <w:sz w:val="20"/>
          <w:lang w:val="en-US" w:eastAsia="en-US" w:bidi="ar-SA"/>
        </w:rPr>
        <w:t>Dakin &amp; Co. v. Lee</w:t>
      </w:r>
      <w:r>
        <w:rPr>
          <w:rFonts w:ascii="arial" w:eastAsia="arial" w:hAnsi="arial" w:cs="arial"/>
          <w:color w:val="000000"/>
          <w:sz w:val="20"/>
          <w:lang w:val="en-US" w:eastAsia="en-US" w:bidi="ar-SA"/>
        </w:rPr>
        <w:t xml:space="preserve"> (1915), 84 L.J. K.B. 2013; </w:t>
      </w:r>
      <w:r>
        <w:rPr>
          <w:rFonts w:ascii="arial" w:eastAsia="arial" w:hAnsi="arial" w:cs="arial"/>
          <w:i/>
          <w:color w:val="000000"/>
          <w:sz w:val="20"/>
          <w:lang w:val="en-US" w:eastAsia="en-US" w:bidi="ar-SA"/>
        </w:rPr>
        <w:t>Holliston v. Zaliuski</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[1946] 4 D.L.R. 828</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63 B.C.R. 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Allen v. Pierce</w:t>
      </w:r>
      <w:r>
        <w:rPr>
          <w:rFonts w:ascii="arial" w:eastAsia="arial" w:hAnsi="arial" w:cs="arial"/>
          <w:color w:val="000000"/>
          <w:sz w:val="20"/>
          <w:lang w:val="en-US" w:eastAsia="en-US" w:bidi="ar-SA"/>
        </w:rPr>
        <w:t>, (1895), 3 Terr. L.R. 319, to support his submission that the measure of damages is the cost of making good the defective work. For reasons which I will develop, I do not think they apply where the owner does not intend to, or cannot rectify or complete the defective work, or where he would be acting unreasonably or oppressively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391: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likelihood of the plaintiff doing the work must always be considered before adopting the cost of remedying the default as the measure of damages, except where that measure is applied by way of mitigation of damages. Also, the reasonableness of doing the work must be judged not only by the effect of the default upon the amenities of the property, but by the relation between the cost of repairing the default and the diminution in the value of the premises caused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was adopted as a correct statement of the law by the Court of Appeal in </w:t>
      </w:r>
      <w:r>
        <w:rPr>
          <w:rFonts w:ascii="arial" w:eastAsia="arial" w:hAnsi="arial" w:cs="arial"/>
          <w:i/>
          <w:color w:val="000000"/>
          <w:sz w:val="20"/>
          <w:lang w:val="en-US" w:eastAsia="en-US" w:bidi="ar-SA"/>
        </w:rPr>
        <w:t>Strata Corporation NW1714 et al. v. Winkler</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(1987), 20 B.C.L.R. (2d) 16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K855 claims damages to improve deficiencies in the way Mountain Mart finished the base of exterior walls it built. This defect was noted by Levelton (it is not clear whether Mr. Vadeboncoeur personally did all of the Levelton inspections) in 2008, again in 2010, and yet again in 2012. Mountain Mart concedes that remedial work is needed. Mr. Vadeboncoeur estimates the cost to do the needed work at $5,000, on the basis that soil has to be removed, cladding removed, building paper and flashing installed, and the cladding and soil replaced. Mr. Cousins estimates $1,200: for digging out the existing decorative stones at the base of the wall, re-applying a brush-on waterproof material to the surface, and tucking a metal flashing up under existing building paper, then putting back the decorative 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Cousins' estimates have not factored in to them the cost of travel for workers, in time or expense, and that is something any contractor would consider in quoting this or other remedial work. He conceded in cross-examination that his costing had not factored in that the job site was on a ski hill, and he said that as a Kamloops-based contractor he would not do the work on Big White for the prices he quoted, although he then said he still believed his prices were reasonable estimates of what another contractor would charge overall, considering that some items might cost more, others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allow this item at $2,200 as Mr. Vadeboncoeur's recommendation seems more a counsel of perfection, at least as far as removing existing cladding is concerned, and has about $1,000 in contingencies and rounding up allowances.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Next, Mountain Mart concedes that the detailing around the windows was deficient. The window units are manufactured steel units set into concrete walls. Mr. Vadeboncoeur noted one instance where wood studs next to a window were not properly covered by building paper. According to Mountain Mart's architect, Mr. Neumann, during construction a window was installed in the wrong location, and when it was moved, wooden studs were put in to fill the gap left by the move, and frame it in its new location. Mr. Neumann agreed "Detailing at this location could be improved," but said that this only applied to the one window. Mr. Vadeboncoeur says that other windows were not properly finished so as to reduce or eliminate water penetration either into the wall around a window, or behind the siding beneath a window. Mr. Vadeboncoeur estimates the cost to repair at $8,000. Mr. Cousins confined his opinion to the one window where the wood blocking is inserted, where he would replace the wood filling the gap noted above, to caulk around all trims, and slope window sills to encourage water to run off. He estimates the cost at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this item, I prefer Mr. Vadeboncoeur's evidence, as he noted defects in the way more than one window was finished. I am satisfied that the work on several windows was deficient, as not meeting the good and workmanlike standard. Some of what Mr. Vadeboncoeur recommends would represent an upgrade, as I understand that the end-dams he recommends, and that are now required for flashing, were not required by the Building Code applicable when Mountain Mart originally did the work. I am not convinced that at the time the work was done, a good and workmanlike job would have included the end-dams. I also note that Mr. Vadeboncoeur's estimate includes an allowance of $720 to fix damage that might be done to the interior by the remediation work, as well as a contingency allowance of almost $1,000 and another $445 as a result of rounding up. In my view a reasonable allowance to remedy this deficiency is $5,500 and I order Mountain Mart to pay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K855 claims damages for deficient waterproofing and detailing at the points where decorative stone columns Mountain Mart built connect to the building. These columns run up the outside of the addition Mountain Mart built, and extend above a new flat roof Mountain Mart built over its expanded store. Mr. Vadeboncoeur recommends that the columns be fully waterproofed because they are buried in snow during the winter, and moisture will get in when the snow melts. Mr. Cousins says he looked inside at least one column and saw there was waterproofing present. There are stones missing in places, and some of these are where someone might be inclined to kick snow from their boots, or where it might be accidentally hit by snow clearing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Vadeboncoeur's opinion is that all the stone should be removed from the columns where they rise above the new roof, the columns be fully waterproofed, vents that now face in toward the new roof be moved to the outside so they cannot be blocked by snow, new flashing installed and the cladding reinstalled, for an estimated $25,000. As no small part of this recommendation is prompted by a dispute over who, if anyone, is responsible for dealing with snow accumulating on the new (mostly) flat roof, the question requires an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Chris Jaegli, a strata owner appointed by K855 to oversee Mountain Mart's construction, testified that snow accumulates on the new flat roof, and blocks vents intended to provide air circulation for the roof cavity; Mr. Vadeboncoeur says the same. The flat roof of the new addition butts up against the wall of the existing building, and was designed to permit air to circulate within the roof cavity by vents. The vents are along the wall on the inside of the new roof, and in the sides of decorative stone columns that run up the outside wall of the new addition, unfortunately on the inside, facing the new roof. Snow will often accumulate on the new roof at such depth that the vents are blocked on both sides. Mr. Chris Jaegli testified that K855 never intended to become saddled with the responsibility of clearing snow off the new roof area, and said that Mr. Hayashi, the manager of Big White Ski Corporation, discussed installing heating in the new roof to keep the snow melted. Mr. Hayashi did not testify, so Mr. Chris Jaegli's evidence of what he said is not admissible for its truth, and Mr. Mustacich denies ever agreeing to either heat the new roof over his expanded store, or take on the responsibility of shoveling snow off it. In 2008, Mr. Neumann testified that he designed that roof as a cold roof, expecting that snow would be removed to permit air to get into the roof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cannot be a surprise to K855 that Mountain Mart's new addition was to have a flat roof. The plans showing air vents in the wall and on the inside of the columns were available to K855 throughout. K855 did not bargain for a heated roof so as to avoid snow accumulation, nor did it bargain to have Mountain Mart responsible to remove snow from the new roof. While it seems obvious that if snow is allowed to accumulate to sufficient depth to cover the vents in either the wall or the columns, there will be an increased risk that moisture can get into either, that does not import onto Mountain Mart's side of contractual obligations a requirement to waterproof to minimize the damage, any more than to heat the roof or to shovel snow. There is no breach proved arising from lack of heating in the roof of the new addition, or from the ongoing need to shovel snow off the roof to keep vents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Mountain Mart is not obliged to pay damages to improve the waterproofing and detailing at the columns as pleaded. Stone may have fallen off the columns here and there, and if so, that is a matter of routine maintenance for K855, not a result of proven deficient workmanship on the part of Mountain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Mountain Mart concedes that metal flashing at the edge of the second level balcony should have been painted: that claim is allowed at the $500 estimated by Mr. Vadeboncoeur.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Mountain Mart concedes that damages are warranted for poor workmanship in the edge detail of one part of a roof it built, and that it should have sprayed foam insulation on the inside of the exterior wall underneath the hot tub. Mr. Vadeboncoeur says the former will cost an estimated $5,000 to make good, the latter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Cousins points out that Mr. Vadeboncoeur's $5,000 involves about $3,200 for labour and materials, and he says not all the work recommended by Mr. Vadeboncoeur is needed. Mr. Cousins estimates the cost to do a proper repair of roof edge detail at $1,200, again without allowance for getting workers to the site. I allow $2,000 for that item, as a reasonable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to the insulation of the hot tub nest, Mr. Cousins says it can be done for $1,600, when the hot tub is removed. This aspect of the claim requires me to decide whether I am persuaded that K855 intends to do any significant work to rectify deficiencies in the hot tub installation. I will deal with that question when I deal with the larger and more contentious hot tub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are other items of which Mr. Vadeboncoeur is critical of the work done or materials used by Mountain Mart. On many of these, Mountain Mart has tendered the evidence of Mr. Neumann to refute the criticisms. I do not intend to deal with them all: many of the disagreements between these two witnesses stem from whether the standard they apply is the building code (Neumann), or a higher standard (Vadeboncoeur). While I have concluded that the applicable standard is good and workmanlike, it is not necessary, in applying that standard, to deal with disagreements over workmanship in areas not pleaded by K855.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Mountain Mart installed vertical board and batten fir siding on its new construction. The contract in paragraph 4 of the addendum requires Mountain Mart to "complete the exterior of the building comprising the exterior walls of Strata Lots 178, 179, and 180 to the standards shown in the Site Plan ..." There are two plans labeled site plans, one at DP1 of the development permit plans, another at A1 of Mr. Neumann's architectural plans, submitted according to Mr. Neumann to obtain a building permit. Neither page shows exterior siding, but both are attached to additional pages, DP5 in the case of the development permit plans and A8 for the other plans. DP5 shows entrance elevations with a notation, "Horizontal fiber-cement siding-paint finish (typical)." DP5 also shows the south elevation of the building, with similar horizontal lines depicting siding drawn on, but no notation indicating what kind of siding. It is reasonable to infer, and I find, that the note referring to the exterior of the entrance also extended to the exterior south wall of the construction. While sheet A8 of the architectural plans shows the entrance elevation with the same notation just described, sheet A7 shows the south side of the new construction, including a portion of the new entrance, but with vertical rather than horizontal lines depicting siding. Sheet A2 sets out details for ten wall assemblies, some referring to parking areas, but one of them refers to vertical cement fibre siding on treated 1 x 2 horizontal strapping. Thus the architectural drawings may be open to interpretation whether whatever siding was applied, it was to run horizontally or vertically.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the development permit plans and the building permit plans were prepared by Mr. Neumann, with the development permit plans dated in January of 2003 and the building permit plans dated April 11 of that same year. It appears that K855 saw the April 11 site plan at least before it contracted with Mountain Mart, as that is referred to in paragraph 2 of the addendum to the contract between the parties. I conclude that the reference in the contract to the site plan includes all eight pages of architectural drawings prepared by Mr. Neumann for the building permit application. The references to "Site Plan" throughout the contract addendum, as indicating what Mountain Mart was contracting to build, persuade me that the site plan label was not intended to refer only to sheet A1, the sheet that bears the label, but was intended to include the entire set of drawings, sheets A1 to A8.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Mustacich says he worked with someone named Lynne, a design consultant, in selecting the fir siding and also worked with the Big White people and "ran it by" Mr. Chris Jaegli. Mr. Chris Jaegli denies this. I gather that by "Big White people," Mr. Mustacich meant representatives of Big White Ski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Mustacich testified in 2008 that he talked to a designer, Lynne, who he believed had some connection with K855. He also talked with Mr. Hayashi, the manager of Big White Ski Corporation and "we decided the building needed to look more rustic." On May 30, 2005, Mr. Siebring, who managed K855, wrote to Mr. Mustacich saying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 EXTERIOR FINISH AND COLOUR. All final finishes and exterior colour to be approved by the Strata Council with discussions with Jay (Hayashi) of Big White, Brian of Snowshoe Sam's, and Mountain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Snowshoe Sam's is another commercial tenant in the building, which was doing some of its own renovations at the same time as Mountain Mart was doing its construction. Mr. Mustacich testified that he spoke to Mr. Chris Jaegli after receiving this letter, and Mr. Jaegli said to run any change of siding by Lynne, from which he understood that Lynne had the final word on the exterior.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Mustacich expanded on this in cross-examination, to say that Lynne worked for Mountain Realty, and was delegated -- it was not clear by whom -- to coordinate the exterior of the building between Mountain Mart's expansion, and the renovations to Snowshoe Sam's. He said that Lynne was opposed to the use of fibre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Chris Jaegli testified in 2008 that someone named Lynne from Kelowna helped to pick colours in some other buildings, and if she discussed with Mountain Mart a change from fibre-cement to what is there now, she did so with no authority from K855. He also said there was some discussion of what was going to go on the south side of the building, and recalls some discussion about wanting to match new buildings nearby.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trial in 2008, Mr. McGill, a member of K855's strata council, testified that K855 had a designer, Lynn Archibald, coordinating colours. Also at the 2008 trial, Mr. Hardham, another strata council member, testified that Big White had a woman advising it on colours, he never met a woman named Lynne, and that K855 wanted to encourage all of K855, Big White Ski Corporation and the owner of Snowshoe Sam's to coordinate a proper colour scheme for all buildings. He said he had no knowledge that Mr. Mustacich changed the siding from hardi-plank (fibre cement board) to wood after discussions with Lynne.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Vadeboncoeur is a professional engineer working at Levelton. Levelton had done a Building Envelope Condition Assessment in June 2008, leading to a report that was not admitted into evidence at the first trial, although photographs taken as part of that inspection were put in evidence. Mr. Vadeboncoeur wrote an opinion, based on inspections in 2010, 2011 and 2012. He describes the exterior wall assembly as an insulated concrete form inner structure, on which horizontal plywood straps are fastened, then covered with vertical board and batten cladding. Mr. Vadeboncoeur is critical of the way in which the cladding is attached to the inner structure because drywall screws were used to fasten the plywood strapping to the insulated concrete form underneath, and drywall screws are not corrosion resistant. He points out that if moisture gets behind the outer layer, it will not drain properly because the horizontal strapping will block drainage. In his December 2013 revised report, Mr. Vadeboncoeur states that the deficiencies remaining in exterior walls "... include, but are not limited to, inadequate detailing between the cladding and the windows, the detailing at the columns, and exposed self-adhered membrane at the base of the wall." It appears from his report that these deficiencies assume greater importance because he believed that the horizontal strapping to which the vertical boards and battens are attached was continuous, and would block any water that got behind the cladding from draining downward. He does not comment on any difference between fiber-cement siding material referred to in plans and the fir actually used by Mountain Mart, nor on the direction in which the siding was applied. He also says that the boards and battens are fastened to the strapping with brad nails, and that "more suitable fasteners with corrosion resistant coatings are required in this style of cladding assembly." Mr. Vadeboncoeur has noted several missing battens, I understand in areas near stairs, walkways or doors where they are susceptible to being knocked by snowboards or skis, or where people might be tempted to kick snow off their feet before entering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Neumann disputes Mr. Vadeboncoeur's criticism about how his wall design handles drainage, saying the horizontal strapping is staggered so any water that might get behind the outer layer does have a way to get out. He also says that the wall structure is not at risk, as any deterioration due to moisture will affect only the exterior, or board and batten layer, not the insulated concrete structure beneath. In 2008, Mr. Neumann testified that the purpose of the exterior cladding was to protect the insulation layer beneath it from ultraviolet light, and the change from fibre cement to wood, which he understood was because Mountain Mart preferred the look of the latter, did not materially affect the performance of the exterior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Cousins has experience building in the central interior of British Columbia. In his opinion, the location of this building in a semi-arid geographical area leads him to disbelieve that there is significant risk that the horizontal strapping or fasteners will deteriorate to the point of premature failure. On his two inspections in the spring of 2013, he counted cracked or split boards, and said that by his estimate, about 7% required attention. Mr. Cousins recommended that the damaged boards and battens be replaced for aesthetic reasons. He viewed this as a maintenance item, as in his opinion there was no threat of water penetrating the insulated concrete forms beneath. He also suggested that flashing at the edge of the deck above the cladding should have blocking inserted behind it, so as to cause it to flare out, leading water to drain out and away from the cladding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Vadeboncoeur estimates a cost to replace the cladding at $35,000, which includes a contingency allowance of $4,000 and is rounded up by another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Mr. Cousins' opinion, to do the work recommended by Mr. Vadeboncoeur should cost $12,000 plus GST. He priced the cost of replacing the cracked or split boards and flaring the flashing at $3,000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Questions arising include:</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Mountain Mart breach its contract by substituting vertical board and batten cladding for fibre-cement boards referred to in the architect's plans, in whichever orientation the plans called for, and if it is in breach, what damages flow from that breach?</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cladding was approved by K855 or otherwise conforms to the contract, is the subsequent failure of some of the boards due to cracks and splits no more than routine maintenance an ordinary owner should expect?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cladding was on by the middle of 2006. It had to be patently obvious that it was not going on horizontally as called for in the plans. I cannot say that it was equally obvious that the cladding was lumber as opposed to the fibre-cement called for in the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behalf of K855, Mr. Chris Jaegli and Mr. Doug Hardham, both owners of strata lots, were appointed to oversee Mountain Mart's construction. If either noticed that vertical board and batten lumber was being substituted for horizontal fibre cement siding, they did not raise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no documented question or objection related to the material used in the cladding or its orientation on the building. To the contrary, the president of K855 sent an email to owners in September 2007 saying, among other things, "So far it looks fantastic!," and "We ... know you will all be pleased with the final result." To put that in context, the email refers to unsuccessful mediation of disputes with Mountain Mart, and is copied to Mr. Hardham and Mr. Chris Jaegli.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K855 sent at least one list of deficiencies to Mountain Mart, dated July 25, 2007, to which Mountain Mart responded on September 2, 2007. The list contains fourteen items, only one of which mentions siding, and then peripherally, in that K855 wanted Mountain Mart to extend a roof deck out over the siding and provide proper drip caps. The absence of any complaint early on might support Mr. Mustacich's contention that the substitution was approved by K855, or it could mean that no one had noticed that a different cladding material had been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Further, K855 went to trial in 2008 without referring to the siding in its pleadings. It was not until 2012 that it raised the substitution of the siding material as a breach of contract by amendment to its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I cannot find on the evidence that K855 appointed a person named Lynne as its agent with authority to approve a change in siding materials, I do find that Mr. Mustacich is more likely than Mr. Chris Jaegli to be correct that K855, through Mr. Chris Jaegli, expressly or impliedly agreed to the substitution. It appears that the complaint about siding substitution arose as the parties were digging into their litigation trenches, and K855 was casting about for more ammunition.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breach of contract arising from the substitution of lumber for fibre-cement, and K855 has not proven that the way in which the boards and battens are applied fails to meet a "good and proper workmanship"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agree with Mr. Cousins that the relatively small number of cracked or split boards is no more than was to be expected as part of routine maintenance, as is the occasional need to replace battens knocked loose by careless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Although Mr. Cousins suggested that the flashing at the top of the wall should have been blocked or flared so as to direct water away from the siding, it has not been shown that the failure to do so has led to any damage. No damages are awarded to K855 for the substituted horizontal siding, or for the damaged boards requiring repairs or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described in the original Reasons, before this project started, K855 had a hot tub located on common property inside the building, in an area into which Mountain Mart wanted to expand. The parties agreed that Mountain Mart would build a new outside deck as common property, on which it would install a new hot tub for K855. Immediately below this new hot tub deck, Mountain Mart built a second deck outside of and as part of its new expanded strata lot, referred to by the parties as the patio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hot tub deck and hot tub installation are subject to claims and cross-claims among K855, Mountain Mart, and Global, while the second patio deck is a bone of contention between Mountain Mart and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set out in the original reasons, K855's main concern in 2004 and 2005 was that there be no interruption in the availability of a functioning hot tub during the ski season, which runs from about mid-December through to March. Delays for which Mountain Mart was held responsible caused such an interruption in the 2005-2006 ski season, and Mountain Mart was ordered to pay the liquidated damages provided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2008 judgment did not deal with K855's claims for damages for Mountain Mart's poor workmanship on the hot tub installation, including the finishing of the deck on which the hot tub is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part of its construction, Mountain Mart built an outdoor platform or deck on which it would install the new hot tub in a raised enclosure variously referred to in evidence as the hot tub nest or vault ("nest" in these reasons). The hot tub nest is a two-tier structure that sits on the hot tub deck. The first tier, which is four steps above the hot tub deck, is wide enough to walk around the tub. I will refer to it as the upper hot tub deck from here on. There is a second tier one step higher than that, wide enough to sit on with feet and lower legs in the hot tub. I will refer to that as the seating area. The lip of the hot tub rests on this upper seating tier. The tiers themselves are framed on galvanized steel supports or studs that were required by Mountain Mart's structural engineer, Mr. Visscher, who was involved in structural aspects of the hot tub 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Mountain Mart hired a mechanical engineer, Mr. Torres, to design and certify the hot tub installation. Mr. Torres prepared plans that show the hot tub deck and supporting structure. In a hot tub plan dated June 2005, Mr. Neumann provided detailed drawings of the hot tub area to be built, as well as the patio deck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disputes between K855 and Mountain Mart concern the way in which water, whether rain water, melted snow, or water splashed from the hot tub, has been handled by the hot tub deck and nest for which Mountain Mart is responsible. K855 says the hot tub deck was not sloped properly as required by the plans, so water pooled on the deck, or ran under or around the door into the building. K855 claims that a drain Mountain Mart installed in the hot tub deck was not properly tied into the waterproof membrane in the deck, resulting in leaks around the drain. Finally, K855 claims that the way in which Mountain Mart, or those for whom Mountain Mart is responsible, set the hot tub in its nest was deficient, so that water gets under the lip of the hot tub, between the lip and the nest at the seating area level, and collects under the hot tub, causing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Rather than dispute these claims by K855, Mountain Mart attempts to shift the liability for any damages flowing from these deficiencies on to Global, which Mountain Mart says was contracted to provide the slope in the hot tub deck called for in the design, and to make the hot tub deck and nest waterproof.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to K855's damages caused by these alleged deficiencies, Mountain Mart says some could have been either avoided or reduced if K855 had acted prudently and reasonably to preserve its property, to which K855 responds by saying it was prevented from doing any significant work on the hot tub deck or nest because it feared being accused of spoliation.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the separate action begun by Global for its unpaid invoice, Mountain Mart has counterclaimed against Global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concerning Global's work on both the hot tub deck and the patio deck below it. Mountain Mart pleads the patio deck, for which it paid, is neither properly sloped nor waterproof, causing damages that it pleads at between $10,000 and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will deal briefly with Mountain Mart's alternate counterclaim that Global did its work negligently. While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can arise out of the same relationship, this is not such a situation. Mountain Mart and Global had a contract. Their respective rights and duties flow from their contractual relationship in this case, not from tort principles. That this is so is perhaps best indicated by the fact that no attempt was made in argument in this case to establish the existence of a duty of care in tort, or to suggest that damages in tort might somehow be different than damages flowing from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no tort liability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K855 seeks damages amounting to $114,521.35, representing the estimated cost to tear out the existing hot tub and hot tub deck and replace it with a completely new installation. This estimate is based on the evidence of Mr. Solmundson, who was qualified at trial to give opinion evidence on hot tub installation. On instructions from K855, Mr. Solmundson inspected the hot tub installation on February 28, 2013. In addition to his inspection, Mr. Solmundson was given a number of documents, including a statement of thirty-three factual assumptions that he attached to his written opinion. Mr. Solmundson summarized his opinions in eight points as follows (numbers added in these reasons):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situ</w:t>
      </w:r>
      <w:r>
        <w:rPr>
          <w:rFonts w:ascii="arial" w:eastAsia="arial" w:hAnsi="arial" w:cs="arial"/>
          <w:color w:val="000000"/>
          <w:sz w:val="20"/>
          <w:lang w:val="en-US" w:eastAsia="en-US" w:bidi="ar-SA"/>
        </w:rPr>
        <w:t xml:space="preserve"> of the hot tub deck drains do not have a positive drainage slope for relief of both rain/melting snow water and chlorinated water build up.</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Hot tub nesting and or vault was constructed post placement of the hot tub. The nesting vault is to be completed prior to the installation of the hot tub to ensure the contractor/installer has maximum maneuverability when assembling the nesting vault components.</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nesting floor vault has one drain present situated on a high point of the floor restricting any waste water or moisture discharge.</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venting, airflow and heating. These items do not exist in the nesting vault creating a substantial amount of mold and corrosion to the hot tub base and decking structure.</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Sub-standard materials were used to construct the nesting vault. Limited working space restricted the contractor/installer to uniformly space the support studs and seal off the top edge condition which is allowing waste water and moisture to continually enter the nesting vault.</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climatic conditions of the hot tub location incurs freezing on a regular basis. The hydraulic piping in the nesting vault and piping running back to the mechanical area has no insulation present. In order to avoid piping freeze up, all of the piping shall be insulated. The hot tubs are manufactured with insulation encapsulating the outer hot tub piping to retain heat and avoid freezing.</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existing mechanical room is congested with little to no airflow. The limited space restricts a person(s) to adequately perform routine operations and regular maintenance.</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entire hot tub installation is defective and unsafe. Infiltration of chlorinated water, rain and melting snow water are continuously seeping into the adjacent structures causing extensive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Slope -- Hot Tub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Mountain Mart built the deck on which it had the hot tub installed. Mountain Mart built the two-tier nest on top of that deck into which the hot tub was lowered, again by Mountain Mart or its trades. This work was set out in architectural plans prepared by Mr. Neumann and mechanical plans prepared by Mr. Torres, Mountain Mart's mechanical engineer. Mr. Visscher's contribution, as structural engineer, has already been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Torres' detailed mechanical engineering plans for the hot tub installation call for a drain in the hot tub deck, between the door from the change room and washroom area and the steps leading up to the upper hot tub deck, and for three drains in the upper hot tub deck. The plans call for non-slip decks sloped 2% toward the drains.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Mountain Mart had installed a drain in the hot tub deck in the framing stage, but had not installed any drains in the upper hot tub deck when it built the nest. Mountain Mart did not build any slope into either the hot tub deck or the upper hot tub deck. Mr. Mustacich asserts that it was part of Mountain Mart's contract with Global that Global was to provide the required slope using its products. For Global, Mr. Sean Jaegli says that Global did not contract to slope the decks, that he agreed verbally to install three drains as called for in the plans for the upper hot tub deck and he agreed to provide some sloping to the narrow seating area above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Mustacich believes that he gave Mr. Sean Jaegli a copy of the Torres mechanical plans showing the required 2% slope to drains on the hot tub and upper hot tub decks, before Global prepared its quote. He then suggests that as Global must have seen from the plans that a 2% slope was required, and that its inspection of the job site before quoting would have made clear that the slope had not been built into either the hot tub deck or upper hot tub deck, Mr. Sean Jaegli must have known that Global's job included achieving the specified slope. In the alternative, Mountain Mart says that when Global arrived on the site to apply its coating, it should have realized that the deck surfaces were flat, and refused to proceed until the responsibility for achieving the slope was cleared up. Mr. Sean Jaegli agrees he got a set of plans before he prepared Global's quote, but believes they were the development permit plans prepared by Mr. Neumann that showed the size of the hot tub area, but not the detail showing the required slope that appears in the Torres mechanical plans. He was not sure what stage construction had reached on the hot tub deck when he looked at the project in August 2005, before he prepared Global's quote.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Global says that the contract consists of its offer to do the work set out in a quote it sent to Mountain Mart by facsimile on August 31, 2005, followed by Mountain Mart's acceptance in the form of instructing it to do the work set out in the quote, which it did. Mountain Mart argues that the contract includes documents beyond the bare quote, which Global sent before or at the same time as the quote, plus some oral additions.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Global's quote is broken into four sections: the hot tub deck area, including the washroom and change area inside the building, the market patio, a skier's entry on P2, and post caps. Global did no work on the skier's entry, and there is no complaint arising from any work done on post caps so those portions of the contract can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portion of the quote related to the hot tub deck area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Bathroom flooring on plywood substrate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Shower walls &amp; ceiling on denseshield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floor on plywood (incl. concrete base pour)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Deck area on plywood over electrical heating wiring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Pony walls on plywood/hardibacker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Post caps -- 4 built in shop to replace existing wood caps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 31" x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Each of the items listed has a price, and those prices together total $17,840.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portion of the quote related to the market patio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Flashing, lathe, base coat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Fiberglass waterproofing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 texture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Color, acrylic seal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These items have a global price of $8,640.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Global worked on the lower, or market patio, deck first, apparently because the framing of the hot tub deck was not far enough along for it to work there. Global sent an invoice to Mountain Mart on November 23, 2005, for its work on the lower patio deck for $10,635.80, which Mountain Mart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Global turned its attention to the hot tub deck, it had been covered in cement board, and the drain between the nest and the door into the building had already been installed, all by Mountain Mart or its trades. In Mr. Sean Jaegli's view, Global's work on the hot tub deck and nest, and the bathroom and change area just inside the building off the deck, was finished by some time in January 2006, as Global sent its invoice dated January 5, 2006, for $19,784.30 to Mountain Mart for that work. Mountain Mart did not pay that invoice. Mr. Mustacich testified that almost immediately he saw water ponding on the hot tub deck and knew that Interior Health would not approve the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March 20, 2006, Mr. Torres certified to Interior Health that the hot tub had been constructed as shown on the plans and specifications that had been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April 5, 2006, Mountain Mart sent a facsimile to Global saying that it would be paid as soon as deficiencies were addressed; deficiencies that were said to include sloping of the lower patio deck and pooling and caulking problems on the hot tub deck. In Mr. Mustacich's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were aware that the substrate was not the final grade and all pitch was your company's responsibility. The upper deck has similar pooling issues as well as caulking that is failing, areas on the finished wall that are not complete. It has come to our attention that the application under the lip of the tub was not completed as we discussed. Water is still seeping threw [sic] your work and into my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Mustacich appears to differentiate between the lower or patio deck, for which Mountain Mart had paid in full, and where he mentions final grade and contends that all pitch was Global's responsibility on the one hand, and the hot tub deck, where he complains of pooling, without objecting that Global had not achieved a 2% slope to drains on that deck, before going on to complain about the poor seal between the lip of the hot tub and the nest. This message does not clearly support Mr. Mustacich's evidence that he immediately realized that Global had failed to create the required 2%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April 18, 2006, a Mr. Radomske, acting on behalf of Interior Health, inspected the hot tub installation, and on May 11 he wrote to Mr. Mustacich outlining six deficiencies, one of which was: "The pool deck was insufficiently sloped to the deck drains (section 17)." The letter concludes: "Please correct the above noted deficiencies as soon as possible. On completing the noted corrections, we are requesting the design engineer reissue a letter of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Mountain Mart re-sent its April 5 facsimile to Global on June 29, 2006, with this addition: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Update: received your phone message; however, our position has not changed regarding funds being released. The health department has rejected your work due to lack of adequate slope. A new contractor will be hired to remedy all deficiencies July 15th unless your company has made substantial progress. Please confirm as soon as possible, what your intentions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it was not until Interior Health pointed out that the 2% slope had not been achieved on the hot tub deck that Mr. Mustacich, at least as far as contemporaneous documents are concerned, began to turn that failure onto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mid-2006, therefore, the hot tub had not been approved for use by Interior Health. K855 was concerned that the 2006-2007 ski (and rental) season was looming, and as I found in my 2008 reasons at para. 23: "In July 2006, the parties agreed that K855 should take over completion of the hot tub and the sauna, and Mountain Mart would pay the cost of doing so." Some of those costs, such as payment to the hot tub supplier to complete the hot tub installation, or inspection of the hot tub, were ordered in 2008. Some were not dealt with, including money paid by K855 to Global when K855 hired Global to come back in August and September 2006, to add enough material to achieve sufficient slope to the drains so that the hot tub was eventually approved by Interior Health in November 2006. Global billed K855 $6,254.00 for this work, which K855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November 4, 2006, Ms. Nelson, on behalf of Interior Health, inspected the hot tub deck and installation and approved it for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Also, on November 4, Mr. Torres went back to inspect the hot tub installation, apparently at the request of K855. He sent a fax to K855 on November 9, noting that some of the deficiencies he had noted earlier had been addressed, but concluded with this fourth point:</w:t>
      </w:r>
      <w:r>
        <w:rPr>
          <w:rFonts w:ascii="arial" w:eastAsia="arial" w:hAnsi="arial" w:cs="arial"/>
          <w:sz w:val="20"/>
          <w:lang w:val="en-US" w:eastAsia="en-US" w:bidi="ar-SA"/>
        </w:rPr>
        <w:cr/>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a deck slope to the drains was provided, the slope on the outer edge of the deck seems to be sloped away from the hot tub, which may cause water from the deck to run over the outer edge of the deck possibly affecting runoff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appears common ground that K855 responded to Mr. Torres by having someone write in hand at the bottom of his facsimile: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accept the sloping deck surrounding the Hot [tub] as is, and accept resonsib [sic] of the deck. Per Strata Council.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send it back to Mr. Torres.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November 10, 2006, Mr. Chris Jaegli, for K855, faxed a typed document to Mr. Torres in similar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accept the slope on the outer edge of the deck by the Hot Tub as is; and will accept responsibility for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Mountain Mart made some attempt to argue that this acceptance had the effect of preventing K855 from pursuing damages for the sloping problem. I read both documents as saying no more than that K855 was prepared to live with the slope on the outside of the deck, and any runoff problems it might create below. It does not constitute acceptance of sloping problems generally, nor is it a waiver by K855 of claims for damages arising from poor workmanship related to sloping.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Neumann says in his report that the surface on which the hot tub was installed was designed to be built as a roof. When he testified in 2015, Mr. Neumann pointed out another error in his plans, one he had not noticed in 2008, and that is that the drawings of the hot tub deck incorrectly referred to the wrong deck detail, as did the patio deck below it. In effect the plans reversed what was to be built on each. In his 2015 evidence, Mr. Neumann said that the hot tub deck was to be built flat, with slope added later as the hot tub and its surrounds were added, in spite of his plans for the underlying deck structure to be sloped. Mr. Neumann testified that what was actually built at the time was what was supposed to be built, and not what was called for in his drawing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According to Mr. Cousins, roofs or decks are framed flat, with any needed slope added by later trades working on top of the flat base. That could be a roofer, or, in this case, the trade responsible for taking the flat roof to the finished hot tub deck with required 2% slope. He said that as a general contractor, knowing he would be ultimately responsible to ensure the 2% slope, he would work with the final surface sub-trade to achieve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Sean Jaegli testified that Global did not contract to slope either the hot tub or patio deck, and that was not usually the type of job Global did, as their product is not intended for that. He said that material such as cement would be needed to achieve a 2% slope to drain on the hot tub deck, and Mountain Mart's trades, whether roofers, framers, or carpenters, could have done it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Sean Jaegli testified that when Global arrived to start its work on the hot tub deck, the lower hot tub deck had been covered in two layers of cement board that had channels in it for heating wire. I infer that this work had been done by Mountain Mart. He understood that there was a waterproof membrane beneath the two layers of cement board, and assumed that the waterproof membrane had been properly tied in to the drain already installed in the hot tub deck. He said this drain was sitting flush with the top of the cement board when he arrived, and that Global put its finish coating on top of the cement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Neumann testified that he would have expected that when Global arrived to start work, the roof deck would have consisted of a waterproof membrane on a plywood surface. He did not mention two layers of cement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If Mountain Mart had a credible expectation that Global had contracted to ensure that the hot tub deck and nest had the required 2% slope to drains, I would have expected its contract with Global to at least mention that, and it did not. I do not accept that where Global's promotional materials refer to waterproofing, that somehow supports an inference that Global contracted to slope the hot tub deck area. That Mountain Mart had laid down layers of cement board over the plywood and membrane, instead of leaving the deck with a membrane over plywood, as Mr. Neumann expected, tends to diminish the probability that Mountain Mart expected Global to achieve the required slope. Finally, I note that when Global did achieve sufficient slope in its September 2006 return at the request of K855, it had to build up material at the perimeter of the hot tub deck so high that it left an unavoidable lip an inch higher than the sill of the door to the change area, further indicating that Mountain Mart had not left sufficient depth for Global to provide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find that Global was not contractually bound to create the 2% slope to drain called for in Mr. Torres' mechanical plans, and that any failure to achieve the 2% slope on the hot tub deck or portions of the nest was entirely the responsibility of Mountain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Waterproofing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earlier mentioned the drain between the stairs leading to the upper hot tub deck and the door into the change area that Mountain Mart installed in the hot tub deck during the framing stage. This drain leaked until 2011, when K855 again hired Global, this time to tear up the hot tub deck and re-build it. As part of that work the drain was replaced and that source of leakage and water damage ended. Global billed K855 $4,659.20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When Global took the hot tub deck apart, it found that the connection between the waterproof membrane in the hot tub deck and the deck drain had been improperly done, so that water running along the membrane could leak around, rather than be conducted into, the drain. K855 relies on this as evidence of Mountain Mart's deficient work. Mountain Mart says Global should have noticed this deficiency and either fixed it or brought it to Mountain Mart's attention when it did its original work in late 2005 and early 2006. In part, Mountain Mart relies here on what it says was Global's contractual obligation to provide a waterproof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Mountain Mart relies on the evidence of Mr. Cousins, who testified that, in the construction industry, it is well known that each trade called upon to work on a base created by an earlier trade is expected to review the work done before it, and if that work has not been properly done, and the new trade proceeds, it is taken to have accepted that the earlier work was done well enough that any problems the later trade experiences cannot be blamed on a deficient base left by the earlier trade. He gave as an example a painter who is expected to examine the surface to be painted to ensure that it has been properly prepared. If it has not, and the painter proceeds anyway, the painter is assuming the responsibility if the paint flakes off. Mr. Cousins later qualified this to say that a sub-trade does not become responsible for deficiencies in the work done by previous trades, and is not required to check all the work done before it arrives. I gather from this that Mr. Cousins' evidence of industry practice is that, if a trade does not inspect the surfaces on which it is expected to ply its trade, and if defects in the surfaces prevent the sub-trade from properly completing its own work, the sub-trade ought not to expect payment as if it had produced a satisfactory final result, although that is not completely clear on Mr. Cousins'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Mountain Mart argues that if it had not properly tied any waterproof membrane it put down to the drain it installed, when Global arrived to apply its waterproof coating on the lower deck, it was expected to ensure that the membrane and drain had been properly installed, as by starting to work it was assuming responsibility for any defects in that membrane/drain installation that would adversely affect its ability to provide a waterproof surface. Mr. Cousins said it should have been possible by looking down the drain to see whether the waterproof membrane had been properly tied to it, whereas Mr. Sean Jaegli disagreed, saying it would have been necessary to tear into the cement board lying on top of the waterproof membrane next to the drain in order to see if Mountain Mart had done its work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According to Mr. Sean Jaegli, Global applied its surface product to the hot tub deck, but could not put down its membrane because the drain had already been installed and Global could not tie its membrane into that drain. Global did install a peel and stick membrane to the upper hot tub deck because it could tie that into the drains it was also installing. As well, Mr. Sean Jaegli agreed to provide some slope to the topmost seating area because, he testified, the width was so narrow that it was possible to do with Global's surface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Global is to be held liable for failing to detect and/or correct Mountain Mart's failure to properly tie its waterproof membrane to the drain it had installed, it would require finding that Global was contractually bound to provide a waterproof surface coating as Mountain Mart alleges; if not, no breach would lie in Global's failure to discover that Mountain Mart had not properly tied the waterproof membrane it put down to the drain it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are two drawings from Mr. Neumann, both dated June 10, 2005: one calls for non-slip acrylic polymer topping on both decks, the other calls for non-slip ceramic tile on thinset. It is common ground between K855 and Mountain Mart that the original intent was to have the horizontal surfaces of the hot tub area and the change room and washroom inside the building surfaced in tile, and that was changed to acrylic polymer topping as a result of a discussion between Mr. Chris Jaegli and Mr. Mustacich.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Mustacich testified that Mr. Chris Jaegli told him he had researched a product that K855 wanted applied to the hot tub deck instead of tile, without mentioning that his son, Mr. Sean Jaegli, was a principal of Global, the supplier of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Chris Jaegli agreed that he had suggested to Mr. Mustacich that he consider his son's product. It is neither necessary nor particularly important whether Mr. Mustacich felt some pressure to contract with Global: the fact is that he did so, and that contractual relationship is treated no differently than any other in this action, in spite of any difficulties the parties may have in keeping the personal relationships separate.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influence of conversations between Mr. Chris Jaegli and Mr. Mustacich is largely irrelevant; Mr. Mustacich decided to change the surface of the hot tub deck, including a bathroom and change area just inside the building from the hot tub area, as well as the patio deck below, from a tile surface to a product sold and installed by Global. If there are deficiencies in the work Global did for Mountain Mart, Mountain Mart will be liable to K855 to make them good, and any Global liability to Mountain Mart can be sorted out in the third party proceedings and counterclaim. Mountain Mart cannot avoid its liability for any failings in the Global product or the way it was applied on the basis that it was K855's idea to contract with Global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Mountain Mart argues that its contract with Global also incorporates as terms the contents of other documents Global sent by facsimile, which included specifications for Global's products, along with three pages setting out its company overview, a description of the features and limitations of its surface coatings, and a page describing the advantages of its product. By separate facsimile, Global also sent another four pages related to the clear sealer top coat it intended to use. While Mr. Mustacich was fairly certain that he had specifications on the Global product before he received its quote, he was uncertain whether that was as a result of having asked Mr. Chris Jaegli to provide them. Mr. Mustacich testified that Mr. Chris Jaegli had made it clear that K855 wanted Mountain Mart to use the Global product. Mr. Mustacich's recollection of this sequence is contradicted by the contemporaneous documents, which show that the Global quote as well as the additional documents Mountain Mart wishes to rely on as having contractual force, were all faxed the same day from Global to Mountain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Mountain Mart argues that portions of these latter documents have contractual force, and impose a contractual obligation on Global to provide a waterproof surface. Mountain Mart asserts that the following statement of Global's product advantages that appears opposite the word Waterproof, "Combining this decorative coating with our Global Surface waterproof systems provides uncompromising waterproof protection with unlimited decorative possibilities" led it to reasonably believe that Global was binding itself by contract to provide a waterproof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For its part, Global argues that it contracted to supply and install a decorative coating, that is what it did, and it was not a term of the agreement that its decorative coating be waterproof.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also note that there is a difference between the two portions of Global's quote for the work done for Mountain Mart in that the word "waterproofing" appears in the quote for the market patio, but does not appear in the portion related to the hot tub deck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 is another aspect to the claims concerning waterproofing, and that relates to the way in which Mountain Mart installed the hot tub in its nest, and achieved or failed to achieve an adequate seal between the lip of the hot tub and the upper seating area of the nest. Mountain Mart says that it was part of Global's contract to waterproof the installation, so any leakage around the lip of the hot tub, and damages flowing, results from Global's breach of contract. Global disagrees.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Solmundson is critical of the way in which the lip of the hot tub meets the highest level of the nest. He says it is apparent that the nest was built after the hot tub was in place, and any waterproof surfacing did not extend under the hot tub lip, but instead stopped at the lip. He says the joint that resulted has been treated with caulking, which is unreliable and inadequate, and allows chlorinated water splashed out of the hot tub, and rain water or snow melt to get into the nest and accumulate under it. Mr. Solmundson's inference that the tub was placed first, then the nest built under it is not borne out by the evidence. His criticism that surfacing material does not extend under the lip and that caulking around the lip of the tub is inadequate is well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Mustacich had no clear memory of the state of construction of the hot tub nest when Global began its work, whether the hot tub was raised above the top of the nest to allow Global to run its surfacing material under the lip of the tub. He did not know who lowered the hot tub onto the nest, but said he did not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Sean Jaegli testified that when Global started to work on the hot tub deck, the tub had been lowered onto the nest, and he told Mr. Mustacich that the tub had to be raised so Global could get its product under the lip of the tub. Mr. Sean Jaegli said that Mr. Mustacich told him the tub could not be lifted, Global should apply its surfacing up to the lip of the tub, and caulk the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Sean Jaegli and Mr. Mustacich are two self-interested witnesses on this issue. Mr. Jaegli professes a clear recollection of conversations about how the surfacing product was to interface with the lip of the hot tub, whereas Mr. Mustacich's memory was quite vague. In addition, at the time Global could start its work on the hot tub deck, the December 20 deadline was imminent, as was the commencement of Mountain Mart's liquidated damages liability if the tub was not finished in time. It is likely that Mr. Mustacich wanted the hot tub finished as quickly as possible, and likely that he did not want any delay that might be caused if he had to raise the hot tub. For these reasons I find Mr. Sean Jaegli's evidence on this preferable to Mr. Mustacich's.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That the interface between the top of the nest and the hot tub lip was not done in a good and workmanlike manner is clear from the evidence. There were several ways to avoid water getting past this interface and under the hot tub that could easily have been accomplished while the nest was being built. Mountain Mart's failure to employ any of them was a breach of its contract with K855.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Global did not properly seal the joint between the tub and the nest because it was unable to do so. It was unable to do so because Mountain Mart would not raise the tub so as to allow Global to run its surface material under the lip of the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not clear on the evidence whether the tub/nest joint would have been waterproof even if Global had been able to run its surface product under the lip. In the absence of a curb, such as described by Mr. Cousins, or an up-dam as described by Mr. Vadeboncoeur, under the lip of the tub to act as a barrier to any water making its way under the lip, water still might have been able to get under the hot tub and accumulate on the floor of the vault. The plans do not call for a curb or up-dam, but I conclude that a reasonably competent builder would know that something was required to keep water from getting under the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Mountain Mart's poor workmanship, for which it alone is responsible, is a breach of its contract with K855 that has allowed both chlorinated water and rain or snow melt water to get in under the hot tub. Once there, it has caused or contributed to corrosion of the metal studs of the hot tub nest according to Mr. Vadeboncoeur and Mr. Solmundson, and, according to Mr. Solmundson, some warping of the wooden framing under the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That is a condition that has been known to both Mountain Mart and K855 since the winter of 2006, according to Mr. Mustacich and Mr. Chris Jaegli. K855 has dealt with major leaks from pipes or joints, but has not done anything about the poor seal between the hot tub and the nest, other than to renew caulking from time to time, a stopgap fix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Other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report and in his testimony Mr. Solmundson roundly criticizes the hot tub installation. I have listed his observations and opinions earlier in these reasons. The first complaint relates to the slope of the deck, which Mr. Solmundson said was inadequate. This was after Global completely removed and replaced the hot tub deck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second item relates to the sequence in which the nest was built and the hot tub placed in it, and while that might explain why other deficiencies came to be, it does not appear from the evidence that sequence alone has caused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third item is not the drain in the hot tub deck already referred to. It is a hole that was created when the deck was built, and was intended to drain the area if it had been left as a deck or roof, according to Mr. Neumann. Mr. Mustacich testified that it was not intended to act as a drain for the hot tub or its nest, as no water was supposed to be under the hot tub in the absence of something catastrophic like a burst pipe. Mr. Mustacich said that Mountain Mart's roofer had put down a waterproof membrane when the deck was framed, but this waterproof membrane was compromised when the membrane was pierced for hot tub drains, and when the steel studs for the hot tub nest were screwed through the membrane. Mr. Mustacich testified that Mountain Mart left the drain hole under the hot tub in case there was a catastrophic leak, and also said that water, short of a catastrophic leak, would be contained under the hot tub until someone could remove it. Mr. Solmundson's criticism, shared by Mr. Vadeboncoeur, is that as water is getting under the hot tub because of leaking, mostly through the seal between the lip of the tub and the highest tier of the nest, a proper drain situated in the lowest part of the area under the hot tub nest would operate to take away water that found its way under the hot tub, and reduce, or perhaps even eliminate, damage caused by standing water. It is reasonably clear on the evidence, and I find, that the redundant drain under the hot tub nest is not at the lowest point under the nest, and so some of the water that gets under the hot tub will pond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Solmundson says there is inadequate venting under the hot tub, and without sufficient air exchange, there is a risk of mold and corrosion. He observed corrosion on the galvanized steel studs that are the subject of another of his criticisms. Mr. Vadeboncoeur also saw corrosion. It is not clear that Mr. Solmundson observed mold, as opposed to expecting that it would occur as a result of standing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Solmundson's fifth point is that sub-standard material was used to build the nest. I understand that he means that the galvanized steel used did not have enough galvanizing. In his opinion, a minimum of 200 galvani was required. Mr. Cousins testified that he could not find galvanized steel with that rating, although it would seem that it may have been available through special order. Mr. Solmundson also criticised the spacing of the galvanized steel studs, saying they were not uniform, and that they were cut in such a way that a manufacturer's minimum of either ten or twelve inches (he used both numbers in different places in his report) was not maintained between the end of a stud and an opening in the stud. The openings refer to slots or holes left in the studs in the manufacturing process so plumbing or wiring can be run in walls framed by the studs. Mr. Cousins pointed out that the manufacturer's suggested minimum was likely based on the stud being used in an eight foot wall, as opposed to the much shorter height of the hot tub nest, and that these galvanized studs were not intended to bear the weight of the hot tub, but just the relatively small upper hot tub deck and the upper tier where the lip of the tub meets the uppermost 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Solmundson agreed that the galvanized steel studs have supported the weight they are required to support so far, but said he is concerned that they are being weakened by corrosion, and that they should have been painted wherever they were cut, to control corrosion.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Solmundson's remaining criticism here, of restricted space in which to work, may be correct, but is of no consequence in a breach of contract context. No one other than Mr. Solmundson has suggested that there was not enough room in the way in which the hot tub nest was designed or built to allow it to be built in a good and workmanlike way, and I do not find that any breach of that standard been shown from the size of the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his report, Mr. Solmundson says the pipes connecting the hot tub to the pumps and other equipment in the mechanical room should be insulated. He agreed that this was not required by the building code or other regulation, and that the pipes ran in a heated deck. He suggested insulating the pipes would be an appropriate backup if the heating in the deck failed. This is not something that was called for in the plans and specifications created by Mountain Mart's consultants, nor has K855 shown that any failure to specify insulation on the pipes by consultants hired by Mountain Mart has led to a breach by Mountain Mart of its contract with K855.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Solmundson's criticism of the size or layout of the mechanical room itself does not warrant much consideration. No damage or harm has been suggested by K855 based on Mountain Mart's work on the mechanical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Solmundson's final criticism is an all-encompassing one. He has said that the hot tub is defective and unfit to be open to the public. He recommends that the complete installation be immediately removed and repaired. As indicated above, he includes the work done on the lower hot tub deck by Global in 2011, which, in Mr. Solmundson's opinion, left insufficient slope to the drains, which leads to water stagnation and the risk of bacterial growth. He says the drains are recessed too far into the surface and present a tripping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K855 is entitled to damages that are measured as what it would cost to put it in the position it would have been in if Mountain Mart had performed its part of the bargain. See </w:t>
      </w:r>
      <w:r>
        <w:rPr>
          <w:rFonts w:ascii="arial" w:eastAsia="arial" w:hAnsi="arial" w:cs="arial"/>
          <w:i/>
          <w:color w:val="000000"/>
          <w:sz w:val="20"/>
          <w:lang w:val="en-US" w:eastAsia="en-US" w:bidi="ar-SA"/>
        </w:rPr>
        <w:t>Wertheim v. Chicoutimi Pulp Co.</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[1911] A.C. 301</w:t>
        </w:r>
      </w:hyperlink>
      <w:r>
        <w:rPr>
          <w:rFonts w:ascii="arial" w:eastAsia="arial" w:hAnsi="arial" w:cs="arial"/>
          <w:color w:val="000000"/>
          <w:sz w:val="20"/>
          <w:lang w:val="en-US" w:eastAsia="en-US" w:bidi="ar-SA"/>
        </w:rPr>
        <w:t xml:space="preserve"> at 307 (P.C.), </w:t>
      </w:r>
      <w:r>
        <w:rPr>
          <w:rFonts w:ascii="arial" w:eastAsia="arial" w:hAnsi="arial" w:cs="arial"/>
          <w:i/>
          <w:color w:val="000000"/>
          <w:sz w:val="20"/>
          <w:lang w:val="en-US" w:eastAsia="en-US" w:bidi="ar-SA"/>
        </w:rPr>
        <w:t>Miller v. Advanced Farming Systems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[1969] S.C.R. 845</w:t>
        </w:r>
      </w:hyperlink>
      <w:r>
        <w:rPr>
          <w:rFonts w:ascii="arial" w:eastAsia="arial" w:hAnsi="arial" w:cs="arial"/>
          <w:color w:val="000000"/>
          <w:sz w:val="20"/>
          <w:lang w:val="en-US" w:eastAsia="en-US" w:bidi="ar-SA"/>
        </w:rPr>
        <w:t>,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But K855 cannot recover damages that it might have avoided if it had acted reasonably and prudently in the care and maintenance of its property. See </w:t>
      </w:r>
      <w:r>
        <w:rPr>
          <w:rFonts w:ascii="arial" w:eastAsia="arial" w:hAnsi="arial" w:cs="arial"/>
          <w:i/>
          <w:color w:val="000000"/>
          <w:sz w:val="20"/>
          <w:lang w:val="en-US" w:eastAsia="en-US" w:bidi="ar-SA"/>
        </w:rPr>
        <w:t>Cockburn v. The Trust and Guarantee Company</w:t>
      </w:r>
      <w:r>
        <w:rPr>
          <w:rFonts w:ascii="arial" w:eastAsia="arial" w:hAnsi="arial" w:cs="arial"/>
          <w:color w:val="000000"/>
          <w:sz w:val="20"/>
          <w:lang w:val="en-US" w:eastAsia="en-US" w:bidi="ar-SA"/>
        </w:rPr>
        <w:t xml:space="preserve"> (1917), 37 D.L.R. 701, </w:t>
      </w:r>
      <w:hyperlink r:id="rId301" w:history="1">
        <w:r>
          <w:rPr>
            <w:rFonts w:ascii="arial" w:eastAsia="arial" w:hAnsi="arial" w:cs="arial"/>
            <w:i/>
            <w:color w:val="0077CC"/>
            <w:sz w:val="20"/>
            <w:u w:val="single"/>
            <w:shd w:val="clear" w:color="auto" w:fill="FFFFFF"/>
            <w:lang w:val="en-US" w:eastAsia="en-US" w:bidi="ar-SA"/>
          </w:rPr>
          <w:t>55 S.C.R. 264</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my view, a reasonable and prudent property owner would have taken steps to stop water getting under the lip of the hot tub. The tub is used during the winter ski season, and lies idle for the summer months. Mr. Vadeboncoeur recommended raising the hot tub as an alternative to removing it in order to improve this joint. Mr. Cousins referred to risk of damage to this hot tub if it were removed entirely, given its age, but I did not understand him to say the tub could not be raised enough to fabricate some form of dam under the lip to prevent water leaking into the vault. Mr. Mustacich testified that it was not a major task to lift the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find that it would have been reasonable for K855 to have the tub raised enough to insert a curb or up-stand under the lip, and cover it with waterproof membrane so that any water getting under the lip of the tub would be directed back to the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That water, particularly chlorinated water, finding its way under the hot tub is causing damage that can be seen from Mr. Vadeboncoeur's evidence that corrosion on the steel studs was the result of water penetrating between the hot tub and the raised deck. Mr. Cousins agreed that the corrosion he saw on the studs indicated long-term exposure to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K855 responds to criticism that it did not do enough to mitigate its losses by arguing that it was inhibited in doing so, if not outright prevented from doing so, by the doctrine of spoliation, and it cites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(1996), 15 B.C.L.R. (3d) 240</w:t>
        </w:r>
      </w:hyperlink>
      <w:r>
        <w:rPr>
          <w:rFonts w:ascii="arial" w:eastAsia="arial" w:hAnsi="arial" w:cs="arial"/>
          <w:color w:val="000000"/>
          <w:sz w:val="20"/>
          <w:lang w:val="en-US" w:eastAsia="en-US" w:bidi="ar-SA"/>
        </w:rPr>
        <w:t xml:space="preserve"> (S.C.), where, after a single vehicle automobile accident, a dispute arose as to which of the plaintiff or defendant was driving at the time of the accident. ICBC had arranged for an engineer to examine the vehicle then, although counsel for one of the parties had requested that the vehicle not be destroyed, ordered it destroyed. In an action for damages, counsel for the defendant tendered the report of the engineer, to which the plaintiff objected on the ground that the defendant's insurer had engaged in spoliation of the real evidence, being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Justice Boyd says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not referred to at any great length in any Canadian authorities, the principle of "spoliation" is well known in American law. Essentially, "spoliation" refers to the failure to preserve property for another party's use as evidence in pending or future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Relying on American authorities, Boyd J. says at para. 18 that for relief to be granted "the Court must at least be satisfied that the object in issue was intentionally destroyed through bad faith and not as a result of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party or his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Dyk v. Protec Automotive Repairs Ltd.</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(1997), 41 B.C.L.R. (3d) 197</w:t>
        </w:r>
      </w:hyperlink>
      <w:r>
        <w:rPr>
          <w:rFonts w:ascii="arial" w:eastAsia="arial" w:hAnsi="arial" w:cs="arial"/>
          <w:color w:val="000000"/>
          <w:sz w:val="20"/>
          <w:lang w:val="en-US" w:eastAsia="en-US" w:bidi="ar-SA"/>
        </w:rPr>
        <w:t xml:space="preserve"> (S.C.), Burnyeat J. had the advantage of reviewing Canadian authorities that had not been cited in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before declining to infer spoliation where intentional destruction occurred in the process of testing, in the absence of an element of fraud or an attempt to suppress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2008 BCCA 468</w:t>
        </w:r>
      </w:hyperlink>
      <w:r>
        <w:rPr>
          <w:rFonts w:ascii="arial" w:eastAsia="arial" w:hAnsi="arial" w:cs="arial"/>
          <w:color w:val="000000"/>
          <w:sz w:val="20"/>
          <w:lang w:val="en-US" w:eastAsia="en-US" w:bidi="ar-SA"/>
        </w:rPr>
        <w:t xml:space="preserve">, raises questions about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Dyk</w:t>
      </w:r>
      <w:r>
        <w:rPr>
          <w:rFonts w:ascii="arial" w:eastAsia="arial" w:hAnsi="arial" w:cs="arial"/>
          <w:color w:val="000000"/>
          <w:sz w:val="20"/>
          <w:lang w:val="en-US" w:eastAsia="en-US" w:bidi="ar-SA"/>
        </w:rPr>
        <w:t xml:space="preserve"> without answering them. The Court of Appeal dealt with whether there was an independent tort of spoliation in Canada and concluded that the point was not properly before it, before dealing with the question of whether destruction of records might be relied on to support a claim based in fraud and breach of fiduciary duty. The court recognized that both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Dyk</w:t>
      </w:r>
      <w:r>
        <w:rPr>
          <w:rFonts w:ascii="arial" w:eastAsia="arial" w:hAnsi="arial" w:cs="arial"/>
          <w:color w:val="000000"/>
          <w:sz w:val="20"/>
          <w:lang w:val="en-US" w:eastAsia="en-US" w:bidi="ar-SA"/>
        </w:rPr>
        <w:t xml:space="preserve"> had been criticised as too restrictive in requiring proof of intentional destruction indicating fraud or an intent to suppress the truth (</w:t>
      </w:r>
      <w:r>
        <w:rPr>
          <w:rFonts w:ascii="arial" w:eastAsia="arial" w:hAnsi="arial" w:cs="arial"/>
          <w:i/>
          <w:color w:val="000000"/>
          <w:sz w:val="20"/>
          <w:lang w:val="en-US" w:eastAsia="en-US" w:bidi="ar-SA"/>
        </w:rPr>
        <w:t>Dyk</w:t>
      </w:r>
      <w:r>
        <w:rPr>
          <w:rFonts w:ascii="arial" w:eastAsia="arial" w:hAnsi="arial" w:cs="arial"/>
          <w:color w:val="000000"/>
          <w:sz w:val="20"/>
          <w:lang w:val="en-US" w:eastAsia="en-US" w:bidi="ar-SA"/>
        </w:rPr>
        <w:t>), or requiring bad faith or malice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and noted that these decisions had been followed by trial courts in other provinces, although not without some reservation. The Court of Appeal did not consider that it was required to decide whether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Dyk</w:t>
      </w:r>
      <w:r>
        <w:rPr>
          <w:rFonts w:ascii="arial" w:eastAsia="arial" w:hAnsi="arial" w:cs="arial"/>
          <w:color w:val="000000"/>
          <w:sz w:val="20"/>
          <w:lang w:val="en-US" w:eastAsia="en-US" w:bidi="ar-SA"/>
        </w:rPr>
        <w:t xml:space="preserve"> were good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On the authority of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Dyk</w:t>
      </w:r>
      <w:r>
        <w:rPr>
          <w:rFonts w:ascii="arial" w:eastAsia="arial" w:hAnsi="arial" w:cs="arial"/>
          <w:color w:val="000000"/>
          <w:sz w:val="20"/>
          <w:lang w:val="en-US" w:eastAsia="en-US" w:bidi="ar-SA"/>
        </w:rPr>
        <w:t xml:space="preserve">, neither of which was overturned in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I conclude that K855 could not reasonably fear that if it effected necessary repairs or remediation to its hot tub installation, a spoliation argument might succeed in prejudicing any claims it may have for damages for the deficient work. Mountain Mart's consulting engineers had designed the hot tub deck and nest, had inspected it and reported to Mountain Mart's architect as well as to the Regional District, and Mr. Mustacich would have had ample opportunity to examine the entire hot tub area before any repairs were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That there has been no suggestion of spoliation arising from the work done by Global in 2011 when it ripped up and replaced the lower hot tub deck further demonstrates that any concern on the part of K855 that its claims arising from poor workmanship might be prejudiced if it had others do the job right were and are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addition, had K855 done the sensible thing and raised the tub so it could have a proper waterproof barrier put under the lip, the actual cost of doing so would have provided some good evidence of the damages flowing from Mountain Mart's failure to have done that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Notwithstanding Mr. Solmundson's credentials in the field of hot tub installation, I place less weight on his evidence because generally his opinions seemed to be the counsel of perfection rather than advice on what would constitute good and workmanlike hot tub installation. In addition, he seemed too quick to speculate, such as where he assumed that damage to the ceiling of a lower foyer resulted from leaks on the hot tub deck, for which there was little or no evidence, and elsewhere, he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apparent job progress inspections were not carried out by acting professionals and if so, details of the installation were overlooked.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cross-examination, Mr. Solmundson agreed that he did not look for inspection reports, or assurance letters from the structural or mechanical engineers, or the architect, or from Regional District inspectors. He then said that he had seen a couple of reports from Mr. Torres certifying that he had done his field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Mountain Mart countered the opinions of Mr. Solmundson and Mr. Vadeboncoeur with the opinion of Mr. Cousins, who had little experience installing hot tubs, but a good deal of experience as a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Mr. Solmundson's opinion, the average life span of a hot tub such as the one in issue is six to ten years, and this one is not worth trying to salvage, as it is roughly at the end of its life span and due for replacement anyway. He points out that markings that are required to be visible in a hot tub have worn off this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Vadeboncoeur was not sure the existing hot tub could be salvaged, but did not feel qualified to advance an opinion on how quickly hot tubs depreciate.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Cousins suggested that the existing hot tub still had some useful life left in it, and could be salvaged. He points out that it has been used for only half each year or less, as it sits idle during the summers.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K855 has used the hot tub since it was first approved by Interior Health. If the hot tub truly is at the end of its useful life, and requires replacement, K855 has not shown any damages from poor workmanship during its original installation. It would seem unlikely that the existing hot tub could be removed without dismantling the nest to some extent, and replaced by a tub of exactly the same dimensions. If the existing tub and nest are due to be entirely replaced because of the age of the tub, this is work that K855 would need to undertake regardless of Mountain Mart's poor workmanship and no damages will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On this issue, again Mr. Solmundson seems to counsel perfection. K855 has not yet demonstrated a willingness to spend money on repairs or upgrades that it is not absolutely required to make, and so I conclude that it will not replace its hot tub until the present one stops operating or until it fails to pass its annual inspection by the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This raises an issue of betterment. K855 is not entitled to damages that would put it in a better position than it would have been in if Mountain Mart had done its work in a good and workmanlike manner. If it is awarded damages today that sees it with a new hot tub sitting in a new nest, it will be in a better position as a result of having the benefit of eight years of use from its existing hot tub and nest, and its hot tub depreciation clock will start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Strata Corporation NW1714 et al. v. Winkler</w:t>
      </w:r>
      <w:r>
        <w:rPr>
          <w:rFonts w:ascii="arial" w:eastAsia="arial" w:hAnsi="arial" w:cs="arial"/>
          <w:color w:val="000000"/>
          <w:sz w:val="20"/>
          <w:lang w:val="en-US" w:eastAsia="en-US" w:bidi="ar-SA"/>
        </w:rPr>
        <w:t xml:space="preserve"> said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no support in the authorities for the proposition that the general rule governing damages for breach of contract requires the cost of reinstatement to be awarded even where it would not be reasonable to reinstate, and where there is no intention to do so. Were the plaintiffs to recover on the basis asserted by them in this case, they would be in a far better position than if the contract had been properly performed. They would then have a sum of money approximately equal to the original cost of that area of the building occupied by them and would still have a building serviceable for their purposes. That would not be a reasonable result. It therefore cannot be one intended by the general rule, the purpose of which is to grant full compensation, not a windfall.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award no damages for Mountain Mart's defective work leading to leakage between the hot tub lip and the 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Returning to the failure to slope the hot tub deck, Mountain Mart is liable to K855 in damages, which it cannot recover from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It follows that Mountain Mart must pay Global's account, rendered in January 2006, together with interest. Global's invoices mention interest at 2% per month. Its contract with Mountain Mart was silent as to interest. Global's counsel conceded, quite properly, that there was insufficient evidence to support a claim to contract interest at 2% per month. Interest on Global's damages will run according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also follows that Mountain Mart is liable to K855 for what it paid Global to achieve sufficient slope to obtain the approval from Interior Health required to be able to use the hot tub in the fall of 2006. I order Mountain Mart to pay K855 $6,254.00 as set out in Global's invoice dated September 26, 2006, with interest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As indicated, Global returned in 2011, when it removed the hot tub deck and rebuilt it, resurfacing it in the process, by agreement with K855. According to Mr. Chris Jaegli, this work was necessary because a heat wire buried in the hot tub deck broke, and it was necessary to tear out the old deck and replace it in order to fix that problem. This work, particularly where the waterproof membrane connects to the hot tub deck drain, apparently ended a major source of water leaks below the hot tub deck, in spite of Mr. Solmundson's criticism of the results of Global's 2011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That K855 ordered the work done because a heat wire had failed is evidence that it did not have that work done to rectify the deficiencies left by Mountain Mart when it first built the hot tub deck. No one has complained then or now that Mountain Mart's deficiencies included the in-deck heating wires. I find that K855 had no intention of rectifying the hot tub deck deficiencies unless Mountain Mart was ordered to pay for it to do so, and even then, at this late stage, I find that K855 would probably not have the work done until it came time to replace the hot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am left then with no evidence of diminution in value because of the deficient construction of the hot tub deck, and persuaded that K855 never intended to rectify those deficiencies until the heat wire failed. Therefore no damages are payable to K855 arising out of the work done by Global in 2011 to achieve the slope Mountain Mart failed to achieve in 2005, and K855's damages for this deficiency are confined to what it paid to Global for its work in the late summer and early fall of 2006, as well as the estimated cost to insulate the nest, already awarded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Mountain Mart's Claim to Damages for Delay in Receiving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2008 judgment ordered K855 to pay damages to Mountain Mart for having failed to convey title to the newly constructed strata lots in a timely fashion. Those damages were measured by higher interest Mountain Mart had to pay on financing as a result of not having title to property that it could offer as security, along with an additional inspection fee and brokerage fee. That judgment also ordered K855 to convey the newly constructed strata lots to Mountain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That did not happen until late 2014. Title to the newly built strata lots could not be conveyed until a subdivision of the former common property was registered. Subdivision required signed consents of all owners having an interest in the common property. While all owners had signed consents by early 2006, as found in the 2008 reasons, I also found that it was not clear that all owners had consented to the same subdivision, as there was some confusion surrounding which set of plans was sent to each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also found that it was reasonable that Mountain Mart not register the subdivision plan because it had good reason to believe that K855 would not execute transfers of newly created titles in the spring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Mountain Mart has now led evidence that its damages arising from its inability to obtain title to the strata lots it built have continued until late 2014, measured by the differential between bank mortgage rates it might have had access to if it had title, and actual interest it paid. To quantify those damages, Mountain Mart led the evidence of Mr. Finlay, the general manager of Interior Equities, the lender which Mountain Mart turned to when it was unable to secure mortgage financing. Mr. Finlay testified that Mountain Mart's loan was negotiated annually after a review of the loan status, at the lender's then current rate. He identified a schedule of the two loans Mountain Mart took out, one at $942,000 in 2006 and the other at $75,000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Mountain Mart also called evidence from Mr. Monteleone, its current account manager at the Bank of Montreal, who confirmed that the bank has advanced two loans, one at 4.4%, the other at 5.12%. He testified that the bank's prime rate at the time of trial was 2.7%, it had been 4.0% in November 2008, dropped to 3.5% in December 2008, and when Mountain Mart granted a mortgage to the bank in December 2014, the prime rate was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gather that Mr. Monteleone had a hand in disbursing the mortgage proceeds as he testified that $690,000 went to pay off existing Bank of Montreal financing, and $300,000 went to deferred strata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Finally, Mr. Murdoch, Mountain Mart's accountant, testified that he had relied on information from Mr. Monteleone as to Bank of Montreal interest rates from time to time, and from Interior Equities as to interest actually paid by Mountain Mart. He calculated that Mountain Mart paid $173,150.81 in additional interest on the $942,000 loan. He also calculated that by paying the higher interest rate, Mountain Mart had paid $43,589.26 in interest on principal it would otherwise have paid down if it had bank financing at the lower interest rate. This represents interest that would have been saved by Mountain Mart if it had been able to borrow from the Bank of Montreal at its more favourable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These two figures total $216,740.07 from November 2008, the point to which these damages were awarded in the earlier judgment, to December 2014, when Mountain Mart secured mortgage financing. I find that to be continuing damages flowing from K855's breach in not conveying title under the contract and order K855 to pay that sum to Mountain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Mountain Mart also claims damages for the $75,000 it borrowed in October 2009 on the same basis, relying on the same evidence and using the same approach. Those damages total $23,210.15.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While there is ample evidence to show that the $942,000 loan taken out in 2006 was to pay for construction costs, the same cannot be said for the 2009 loan of $75,000. That is long after Mountain Mart had finished its work. There was little evidence about what the money was used for. I am not satisfied that any increase in interest paid on this loan has been shown to be damages flowing from K855's breach of contract, and make no award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K855 argues that no damages are payable on this aspect of the claim because:</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claim is not pleaded;</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basis for the claim ended with the first judgment in November 2008;</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is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support a finding that the failure to register the subdivision plan caused Mountain Mart's bank to refuse to provide mortgage financing;</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Mountain Mart's circumstances had changed by August 1, 2006;</w:t>
      </w:r>
    </w:p>
    <w:p>
      <w:pPr>
        <w:numPr>
          <w:numId w:val="2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Mountain Mart's responsibility to get the signatures of all owners consenting to subdivision;</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Mountain Mart is responsible for delays in registering subdivision plans, not K855;</w:t>
      </w:r>
    </w:p>
    <w:p>
      <w:pPr>
        <w:numPr>
          <w:numId w:val="2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Mountain Mart or its counsel is responsible for any delay in registering the subdivision after the November 2008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K855 points to amendments to Mountain Mart's counterclaim that its counsel indicated were abandoned during an appearance in the Court of Appeal. At trial, counsel for Mountain Mart confirmed that it was abandoning all of its counterclaims except paragraph 12 in which Mountain Mart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consequence of the breach by the Plaintiff of the terms of the Agreement of May 3, 2004, the Defendant has suffered and will continue to suffer substantial damage and loss, particulars of which damage and loss include but are not confined to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Increased financing costs due to the Defendant's inability to convert interim financing to long term financing and increasing interest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pleading remains and is sufficient to permit this claim to proceed. It follows that it is not necessary that Mountain Mart proceed with its application to be permitted to continue this claim, an application that was adjourned generally in April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Claim Ended with the First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K855 says that when the decision was handed down, Mountain Mart could no longer reasonably believe that it would not execute conveyancing documents, and Mountain Mart ought to have registered the subdivision immediately and tendered transfers for signature by K855.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This argument presumes that those owners on title in late 2008 were the same as on title in early 2006, so that the consents gathered in 2006 would still be sufficient to register the subdivision plan. There is no evidence whether any strata unit had sold in the interim: if it had, the consent of the new owner would have been required to effect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There have been a number of interlocutory applications between the 2008 decision and late 2014 in which Mountain Mart tried to enlist the aid of the court so it could get its titles. It is clear from those applications that owners who came on title after early 2006 were not all willing to consent to subdivision. At least one of the major unit owners, Big White Ski Corporation, which owned several strata units, purported to withdraw the consent it had previously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This argument has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Functus officio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K855 argues that having awarded damages for increased financing costs, the court is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 and has no ability to reopen that matter to consider further damages. In effect, having discharged its task in 2008, the court has no further authority on this aspect of the matter. K855 cites no authority to support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This argument does not recognize that Mountain Mart's damages continued so long as it was unable to get title to the new strata lots. I find that the court's authority over this aspect of the claim was not spent by its decision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oral argument, counsel for K855 took the position that an award of further damages would amount to re-opening the 2008 judgment. This submission, in the context of an argument that the court is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 xml:space="preserve">, may raise the issue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recent decision of the Court of Appeal in </w:t>
      </w:r>
      <w:r>
        <w:rPr>
          <w:rFonts w:ascii="arial" w:eastAsia="arial" w:hAnsi="arial" w:cs="arial"/>
          <w:i/>
          <w:color w:val="000000"/>
          <w:sz w:val="20"/>
          <w:lang w:val="en-US" w:eastAsia="en-US" w:bidi="ar-SA"/>
        </w:rPr>
        <w:t>Dillon v. Jaffer</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2016 BCCA 119</w:t>
        </w:r>
      </w:hyperlink>
      <w:r>
        <w:rPr>
          <w:rFonts w:ascii="arial" w:eastAsia="arial" w:hAnsi="arial" w:cs="arial"/>
          <w:color w:val="000000"/>
          <w:sz w:val="20"/>
          <w:lang w:val="en-US" w:eastAsia="en-US" w:bidi="ar-SA"/>
        </w:rPr>
        <w:t xml:space="preserve">, contains a thorough discussion of the related concepts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the doctrines of merger and election. I need not explore this area of the law in detail, given that the argument was raised in passing in this case. It is sufficient to dispose of the point to say that Mountain Mart is not seeking the same relief here as it sought in 2008: it is seeking further relief for the continuing effects of the breach by K855 of its agreement to convey titles. This is not something that could or should have been disposed of in 2008 because it could not be known then how long it would take Mountain Mart to realize on its judgment by obtaining the titles ordered.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no bar to Mountain Mart's claims to continuing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Does the evidence support a finding that the inability to offer the new strata lots as security caused Mountain Mart's bankers to decline an application for mortgage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short answer to this argument is that in 2008 Ms. Warner, the commercial account manager for Mountain Mart's bank, testified that the bank's commitment letter that was exhibited at the trial required a first collateral mortgage over the new strata lots to be created, and that required that Mountain Mart have title to those strata lots. That Mountain Mart had other financial problems, such as a garnishee for Social Services Tax unpaid, or loan payment arrears, was not determinative. While the bank froze Mountain Mart's account as a result of the garnishee, it released the account when the Social Services Tax was paid, and according to Ms. Warner, that and other obligations were funded out of the proceeds of the very loan that Mountain Mart points to as the higher cost financing it was driven to obtain as a result of K855's failure or refusal to convey title. I find that without title, Mountain Mart was unable to obtain the mortgage financing offered in the commitment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Were there other reasons rooted in change in Mountain Mart's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K855 points to a stop work order from the Regional District, or a notice filed by the Regional District against title in July 2006 that the building bylaw had not been complied with. Again, the answer to this lies in Ms. Warner's evidence. These were not problems that were put to Ms. Warner in cross-examination in 2008, and she was not called back in 2015 or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It was Mountain Mart's responsibility to obtain consents to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Mountain Mart concedes that it was its responsibility to obtain the necessary consents. It says, however, that it was impeded in this, to the point of being subverted, by the </w:t>
      </w:r>
      <w:r>
        <w:rPr>
          <w:rFonts w:ascii="arial" w:eastAsia="arial" w:hAnsi="arial" w:cs="arial"/>
          <w:i/>
          <w:color w:val="000000"/>
          <w:sz w:val="20"/>
          <w:lang w:val="en-US" w:eastAsia="en-US" w:bidi="ar-SA"/>
        </w:rPr>
        <w:t>animus</w:t>
      </w:r>
      <w:r>
        <w:rPr>
          <w:rFonts w:ascii="arial" w:eastAsia="arial" w:hAnsi="arial" w:cs="arial"/>
          <w:color w:val="000000"/>
          <w:sz w:val="20"/>
          <w:lang w:val="en-US" w:eastAsia="en-US" w:bidi="ar-SA"/>
        </w:rPr>
        <w:t xml:space="preserve"> of K855. I am not required to find an act on the part of K855 to block Mountain Mart from getting the needed consents because the provisions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operate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also deals with a sub-issue that was adverted to in argument, and that is that K855 had no power to consent for the individual owners, and therefore should not be held liable for any damages caused by delay on the part of individual owners to consent to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K855 pleads in paragraph 1 of its Amended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The Owners, Strata Plan K855, is a condominium corporation incorporated pursuant to the terms of the Strata Property Act </w:t>
      </w:r>
      <w:r>
        <w:rPr>
          <w:rFonts w:ascii="arial" w:eastAsia="arial" w:hAnsi="arial" w:cs="arial"/>
          <w:color w:val="000000"/>
          <w:sz w:val="20"/>
          <w:u w:val="single"/>
          <w:lang w:val="en-US" w:eastAsia="en-US" w:bidi="ar-SA"/>
        </w:rPr>
        <w:t>and owns the common property of Strata Corporation K855 located at the Big White Ski Resort, near Kelowna, B.C.</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assertion of fact is admitted by Mountain Mart in its Further Further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Both parties are wrong. Section 66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owner owns the common property and common assets of the strata corporation as a tenant in common in a share equal to the unit entitlement of the owner's strata lot divided by the total unit entitlement of all the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This might at first blush call into question the standing of K855 to sue for damages arising from defective work to common property, or its liability for acts of the owners, as is raised by its argument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answer to both is found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Section 163 states:</w:t>
      </w:r>
      <w:r>
        <w:rPr>
          <w:rFonts w:ascii="arial" w:eastAsia="arial" w:hAnsi="arial" w:cs="arial"/>
          <w:sz w:val="20"/>
          <w:lang w:val="en-US" w:eastAsia="en-US" w:bidi="ar-SA"/>
        </w:rPr>
        <w:cr/>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The strata corporation may be sued as representative of the owners with respect to any matter relating to the common property, common assets, bylaws or rules, or involving an act or omission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171 provides:</w:t>
      </w:r>
      <w:r>
        <w:rPr>
          <w:rFonts w:ascii="arial" w:eastAsia="arial" w:hAnsi="arial" w:cs="arial"/>
          <w:sz w:val="20"/>
          <w:lang w:val="en-US" w:eastAsia="en-US" w:bidi="ar-SA"/>
        </w:rPr>
        <w:cr/>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 The strata corporation may sue as representative of all owners, except any who are being sued, about any matter affecting the strata corporation, including any of the following matters</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property or common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in that regard </w:t>
      </w:r>
      <w:r>
        <w:rPr>
          <w:rFonts w:ascii="arial" w:eastAsia="arial" w:hAnsi="arial" w:cs="arial"/>
          <w:i/>
          <w:color w:val="000000"/>
          <w:sz w:val="20"/>
          <w:lang w:val="en-US" w:eastAsia="en-US" w:bidi="ar-SA"/>
        </w:rPr>
        <w:t>Hamilton v. Ball</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2006 BCCA 243</w:t>
        </w:r>
      </w:hyperlink>
      <w:r>
        <w:rPr>
          <w:rFonts w:ascii="arial" w:eastAsia="arial" w:hAnsi="arial" w:cs="arial"/>
          <w:color w:val="000000"/>
          <w:sz w:val="20"/>
          <w:lang w:val="en-US" w:eastAsia="en-US" w:bidi="ar-SA"/>
        </w:rPr>
        <w:t>, and the cases cited there, particularly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this case, acting on a resolution it considered sufficient, K855 contracted with Mountain Mart to permit Mountain Mart to build on common property, on the basis that the common property built on would be conveyed to Mountain Mart in due course. It is too late now to argue that K855 cannot be held liable for recalcitrant owners who refused to consent to subdivision for so long, an argument that ignores s. 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As there has been no objection to the standing of K855 to bring or maintain this action, I must assume that all parties are satisfied that it has the resolution passed by a three-quarter vote at an annual or special general meeting as required by s. 171(2)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K855 is liable as a representative of the owners for damages proved by Mountain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 Mountain Mart responsible for delays in registering subdivision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K855 argues that delay in obtaining subdivision and then title is Mountain Mart's fault, or the fault of its counsel, in going about it wrong. It points to interlocutory proceedings designed to compel the Registrar of Titles to register the subdivision, and appeals from the Registrar's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answer to this argument lies in the fact that in another interlocutory proceeding, this one an April 2014 application by Mountain Mart to hold K855 in contempt of the order for specific performance, I granted Mountain Mart an extension of time to join as defendants to this action any individual owner who had failed or refused to consent to subdivision. That appears to have caught someone's attention, as the consents that had been missing were all provided, subdivision was achieved, and Mountain Mart received titles in December 2014 to the lots it had built in 2005 and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find that Mountain Mart is not responsible for delays in obtaining consents to subdivision or in registering the subdivision once all consents were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 Mountain Mart unable to prove damages for delay because it financed construction on its line of credit, cash flow and credit cards? Was Mountain Mart in breach of a term of the agreement when it agreed to pay 10.5% interest on money it borrowed?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evidence is reasonably clear that from the time it started work in 2005 up until it borrowed from Interior Equities or Airmor in 2006, Mountain Mart financed construction from a combination of a line of credit it had arranged from the Bank of Montreal, its own resources, mostly cash flow from its business, and credit cards. There is also evidence that it was not entirely successful in doing so, as its account was garnisheed for unpaid Social Services Tax, and Mr. Mustacich says there were unpaid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If K855's argument is intended to persuade me that Mountain Mart did not need to borrow money to fund its contractual obligations, it should have done so in the earlier trial. The facts found between paras. 211 and 216 of my earlier reasons have not been challenged on appeal. In any event, there remains ample evidence that the borrowing was directly related to the contract between K855 and Mountain Mart, and K855 gains no advantage from the fact that Mountain Mart arranged its affairs to put off as long as possible the need to borrow.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K855 also refers to the contract that provides at clause 1(e):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Vendor consents to the registration of a first financial charge provided that such mortgage does not exceed the principal amount of $1,500,000.00 and provided further that the interest rate charged by the lender from time to time does not exceed 8%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K855 says that Mountain Mart should not recover damages for higher interest it paid when it could not obtain mortgage financing at the rate it would be charged if it had title to pledge as security. That it could not get financing at a rate less than 10% was as a result of K855's failure or refusal (either on its own or as representative of owners) to cooperate in creating and conveying titles that it could offer as security for more provident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have grave doubt that the clause quoted above, which appears to run in perpetuity, is enforceable at all, but in this case, I conclude that K855 cannot avail itself of whatever protection the clause was intended to give it, by breaching its contract to convey title and thereby creating the necessity for the higher interest rate. This argument has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for new fire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K855 claims the cost of creating a new fire exit from the parking garage. In 2011 the chief of the Big White Fire Department wrote to K855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determined that over the past twenty years there have been numerous renovations that have overlooked the exiting requirements from the parkade (P1) and consequently there are not enough exit doors leading from the parkade (P1) to the exterior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K855 believes that Mountain Mart's construction took away an exit to the exterior of the building, and consequently Mountain Mart should pay the $23,453.94 it cost to create a new fire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evidence shows that the only door that could potentially have qualified as a fire exit, and that was closed off by Mountain Mart's work, was a door leading from a stairwell into what was once a washroom or change area, space that Mountain Mart took over as part of its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fire chief testified that this door would not have qualified as a fire exit if it had been left alone. I can see no basis in evidence on which Mountain Mart's work could make it liable to replace an exit it did not affect, and which may not have existed in the first place.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Mountain Mart is ordered to pay damages to K855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647"/>
        <w:gridCol w:w="1359"/>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deficient exterior wall base detailing</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359"/>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deficient window detailing</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046"/>
        <w:gridCol w:w="58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painting flashing</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573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359"/>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roof edge detailing</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failing to achieve 2% slope on hot tub deck</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$6,254.00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TOTAL </w:t>
      </w:r>
      <w:r>
        <w:rPr>
          <w:rFonts w:ascii="arial" w:eastAsia="arial" w:hAnsi="arial" w:cs="arial"/>
          <w:b/>
          <w:color w:val="000000"/>
          <w:sz w:val="20"/>
          <w:u w:val="single"/>
          <w:lang w:val="en-US" w:eastAsia="en-US" w:bidi="ar-SA"/>
        </w:rPr>
        <w:t>$16,454.00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K855 is ordered to pay damages to Mountain Mart for increased financing charges resulting from delay in obtaining title: $216,740.07.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Mountain Mart is ordered to pay damages for breach of contract to Global in the sum of: $19,784.30.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All damages to carry interest under the </w:t>
      </w:r>
      <w:r>
        <w:rPr>
          <w:rFonts w:ascii="arial" w:eastAsia="arial" w:hAnsi="arial" w:cs="arial"/>
          <w:i/>
          <w:color w:val="000000"/>
          <w:sz w:val="20"/>
          <w:lang w:val="en-US" w:eastAsia="en-US" w:bidi="ar-SA"/>
        </w:rPr>
        <w:t>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All other claims by all parties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If necessary,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8"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Taylor v. Maris, [2003] B.C.J. No. 1600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Lowry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 0622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1600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B.C.L.R. (4th) 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 C.C.L.I. (4th) 246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562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Tina Taylor, plaintiff, and Richard Maris, defendant, and Insurance Corporation of British Columbia, Canadian Northern Shield Insurance Company,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9"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4" w:name="Keywords_14"/>
      <w:bookmarkEnd w:id="104"/>
      <w:r>
        <w:rPr>
          <w:rFonts w:ascii="arial" w:eastAsia="arial" w:hAnsi="arial" w:cs="arial"/>
          <w:b/>
          <w:color w:val="000000"/>
          <w:sz w:val="20"/>
          <w:lang w:val="en-US" w:eastAsia="en-US" w:bidi="ar-SA"/>
        </w:rPr>
        <w:t>Insurance — Multi-peril property insurance — Household or homeowner's policies — Exclusions, use or operation of a motor vehicle — Interpretation.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5" w:name="Case Summary_14"/>
            <w:bookmarkEnd w:id="1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way of stated case for a determination of which of the two defendant insurers, ICBC or CNS, was contractually bound to defend the action on behalf of Maris. Taylor brought an action against Maris for damages for injuries she suffered when Maris's dog bit her. At the time of the incident, the dog was secured by a collar and leash in the box of Maris's pickup truck, which was parked at a pub. The issue was whether the alleged injury arose out of the ownership, use or operation of a vehicle, in which case it would fall under the ICBC policy. The CNS policy was a homeowner's policy, which provided general liability insurance and excluded coverage for the use or operation of a vehicle. Maris regularly transported the dog in the back of his truck. Maris was acquainted with Taylor. They met in the pub and left together in the company of others. Taylor approached the truck and was attempting to pet or feed the dog when she was bitten.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6" w:name="Holdings of Court_13"/>
            <w:bookmarkEnd w:id="106"/>
            <w:r>
              <w:rPr>
                <w:rFonts w:ascii="arial" w:eastAsia="arial" w:hAnsi="arial" w:cs="arial"/>
                <w:color w:val="000000"/>
                <w:sz w:val="20"/>
                <w:lang w:val="en-US" w:eastAsia="en-US" w:bidi="ar-SA"/>
              </w:rPr>
              <w:t>HELD: Order that CNS was required to continue the defence of Maris.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crux of the allegations against Maris was that, knowing of the dog's propensity to bite, he failed to prevent Taylor from approaching the dog to pet or feed it. The case was not about the dog being inadequately secured or restrained in the box of the truck. There was no nexus or causal connection between Taylor's injury and the use of the truck. The truck was no more than the situs of the incident in which the alleged injury was suffered.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7" w:name="Legislation Cited_11"/>
      <w:bookmarkEnd w:id="1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0"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(Motor Vehicle) Act, ss. 64, 74. Insurance (Motor Vehicle) Act, Regulations, s. 79(1).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8" w:name="Counsel_14"/>
      <w:bookmarkEnd w:id="1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1"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J.D. James, for the third party, Insurance Corporation of British Columbia. M.F. O'Meara, for the third party, Canadian Northern Shield Insurance Company.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14"/>
      <w:bookmarkEnd w:id="109"/>
      <w:r>
        <w:pict>
          <v:line id="_x0000_s1102"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LOWRY J."/>
            <w:bookmarkEnd w:id="110"/>
            <w:r>
              <w:rPr>
                <w:rFonts w:ascii="arial" w:eastAsia="arial" w:hAnsi="arial" w:cs="arial"/>
                <w:b/>
                <w:color w:val="000000"/>
                <w:sz w:val="30"/>
                <w:lang w:val="en-US" w:eastAsia="en-US" w:bidi="ar-SA"/>
              </w:rPr>
              <w:t>LOWRY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Application is made by way of stated case for a determination of which of two insurers, Insurance Corporation of British Columbia ("ICBC") and Canadian Northern Shield Insurance Company ("CNS"), is contractually bound to defend this action. Tina Taylor sues Richard Maris for damages for injuries she suffered when she approached his dog "Rebel" and was bitten. Rebel was at the time secured by collar and leash in the box of Mr. Maris's pickup truck that was parked at a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case turns on whether the injury alleged can be said to have "arisen out of the ownership, use or operation of a vehicle". That is the wording employed to define the scope of the coverage (s. 64), and hence the insurer's duty to defend (s. 74), under the Insurance (Motor Vehicle) Act Regulations, </w:t>
      </w:r>
      <w:hyperlink r:id="rId314"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that govern Mr. Maris's ICBC automobile insurance. His CNS policy, which is a homeowners policy providing general liability insurance, excludes coverage for the use or operation of a vehicle that gives rise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Certain facts have been agreed to permit a proper determination of the case stated at this stage. Mr. Maris regularly transported Rebel, which is a rather large dog, in the back of his truck. The truck consisted of a cab and a box which was not enclosed. The dog was secured by collar and leash at the front of the box. On December 10, 1998, Mr. Maris drove to the pub and left Rebel unattended, secured as usual in the box of the truck. Mr. Maris was acquainted with Ms. Taylor. He encountered her in the pub and they left together in the company of others. Ms. Taylor approached the truck and attempted to pet or feed Rebel. She stood on the ground beside the truck and extended her hand toward the dog. When she did, Rebel bit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Absent policy wording to the contrary, the duty to defend extends only to claims that could potentially trigger indemnity under the policy. What is required is that there be some possibility that such claims may succeed. The starting point is the factual allegations pleaded from which the substance or true nature of the claim is to be determined: Nichols v. American Home Insurance Company </w:t>
      </w:r>
      <w:hyperlink r:id="rId315" w:history="1">
        <w:r>
          <w:rPr>
            <w:rFonts w:ascii="arial" w:eastAsia="arial" w:hAnsi="arial" w:cs="arial"/>
            <w:i/>
            <w:color w:val="0077CC"/>
            <w:sz w:val="20"/>
            <w:u w:val="single"/>
            <w:shd w:val="clear" w:color="auto" w:fill="FFFFFF"/>
            <w:lang w:val="en-US" w:eastAsia="en-US" w:bidi="ar-SA"/>
          </w:rPr>
          <w:t>(1990), 68 D.L.R. (4th) 321</w:t>
        </w:r>
      </w:hyperlink>
      <w:r>
        <w:rPr>
          <w:rFonts w:ascii="arial" w:eastAsia="arial" w:hAnsi="arial" w:cs="arial"/>
          <w:color w:val="000000"/>
          <w:sz w:val="20"/>
          <w:lang w:val="en-US" w:eastAsia="en-US" w:bidi="ar-SA"/>
        </w:rPr>
        <w:t xml:space="preserve"> (S.C.C.) and Ellett Industries Ltd. v. Laurentian P&amp;C Insurance Co. </w:t>
      </w:r>
      <w:hyperlink r:id="rId316" w:history="1">
        <w:r>
          <w:rPr>
            <w:rFonts w:ascii="arial" w:eastAsia="arial" w:hAnsi="arial" w:cs="arial"/>
            <w:i/>
            <w:color w:val="0077CC"/>
            <w:sz w:val="20"/>
            <w:u w:val="single"/>
            <w:shd w:val="clear" w:color="auto" w:fill="FFFFFF"/>
            <w:lang w:val="en-US" w:eastAsia="en-US" w:bidi="ar-SA"/>
          </w:rPr>
          <w:t>(1996), 17 B.C.L.R. (3d) 201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statement of claim she has filed, Ms. Taylor makes the following allegations that are material to the case that is stated:</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negligent in allowing the Plaintiff to approach the dog Rebel because the Defendant knew or ought to have known that the dog Rebel was unpredictable and vicious with a propensity and likelihood of biting the Plaintiff.</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damage suffered by the Plaintiff resulted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not advising the Plaintiff of the fact that the dog Rebel was dangerous and from not restraining the dog Rebel.</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knew or ought to have known that the dog Rebel involved a risk of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insurers divide as to whether Ms. Taylor's injury can be said to have "arisen out of the use of a vehicle" and counsel engage in a useful review of many of the authorities that have considered the interpretation of those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With respect to what may be said to be the most factually similar cases of those cited where it was held that an automobile insurer was required to defend, CNS is able to point to the decision of the Ontario Court of Appeal in Longarini v. Zuliani </w:t>
      </w:r>
      <w:hyperlink r:id="rId317" w:history="1">
        <w:r>
          <w:rPr>
            <w:rFonts w:ascii="arial" w:eastAsia="arial" w:hAnsi="arial" w:cs="arial"/>
            <w:i/>
            <w:color w:val="0077CC"/>
            <w:sz w:val="20"/>
            <w:u w:val="single"/>
            <w:shd w:val="clear" w:color="auto" w:fill="FFFFFF"/>
            <w:lang w:val="en-US" w:eastAsia="en-US" w:bidi="ar-SA"/>
          </w:rPr>
          <w:t>(1994), 17 O.R. (3d) 527</w:t>
        </w:r>
      </w:hyperlink>
      <w:r>
        <w:rPr>
          <w:rFonts w:ascii="arial" w:eastAsia="arial" w:hAnsi="arial" w:cs="arial"/>
          <w:color w:val="000000"/>
          <w:sz w:val="20"/>
          <w:lang w:val="en-US" w:eastAsia="en-US" w:bidi="ar-SA"/>
        </w:rPr>
        <w:t xml:space="preserve">, upholding </w:t>
      </w:r>
      <w:hyperlink r:id="rId318" w:history="1">
        <w:r>
          <w:rPr>
            <w:rFonts w:ascii="arial" w:eastAsia="arial" w:hAnsi="arial" w:cs="arial"/>
            <w:i/>
            <w:color w:val="0077CC"/>
            <w:sz w:val="20"/>
            <w:u w:val="single"/>
            <w:shd w:val="clear" w:color="auto" w:fill="FFFFFF"/>
            <w:lang w:val="en-US" w:eastAsia="en-US" w:bidi="ar-SA"/>
          </w:rPr>
          <w:t>(1992) 16 C.C.L.I. (2d) 312</w:t>
        </w:r>
      </w:hyperlink>
      <w:r>
        <w:rPr>
          <w:rFonts w:ascii="arial" w:eastAsia="arial" w:hAnsi="arial" w:cs="arial"/>
          <w:color w:val="000000"/>
          <w:sz w:val="20"/>
          <w:lang w:val="en-US" w:eastAsia="en-US" w:bidi="ar-SA"/>
        </w:rPr>
        <w:t>. There a dog that had been left unattended in a vehicle attacked a young boy through an open window when he came close to retrieve a football. The crux of the allegations against the insured driver were said to be that he parked the vehicle in a residential area with its window open and a dog in the back seat unattended. It was held that the driver's automobile insurer was required to defend because, if the allegations were proven, there might be liability under the indemnity wording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ICBC counters with an American decision that it maintains is indistinguishable. In Heringlake v. State Farm Fire and Casualty Company Inc. 872 P. 2d 539 (Wash. App. 1994) a child was bitten by a dog that was tied up in the box of a pickup truck in which the child was playing. The view taken there was that the truck was the mere situs of the accident such that it could not be said that injury arose out of the use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wording of the indemnity provisions of the Regulations is, in material respects,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67, the corporation shall indemnify an insured for liability imposed on the insured by law for injury or death of another or loss or damage to property of another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arises out of the use or operation by the insured of a vehicle described in an owner's certificate,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Amos v. ICBC, </w:t>
      </w:r>
      <w:hyperlink r:id="rId319" w:history="1">
        <w:r>
          <w:rPr>
            <w:rFonts w:ascii="arial" w:eastAsia="arial" w:hAnsi="arial" w:cs="arial"/>
            <w:i/>
            <w:color w:val="0077CC"/>
            <w:sz w:val="20"/>
            <w:u w:val="single"/>
            <w:shd w:val="clear" w:color="auto" w:fill="FFFFFF"/>
            <w:lang w:val="en-US" w:eastAsia="en-US" w:bidi="ar-SA"/>
          </w:rPr>
          <w:t>[1995] 3 S.C.R. 405</w:t>
        </w:r>
      </w:hyperlink>
      <w:r>
        <w:rPr>
          <w:rFonts w:ascii="arial" w:eastAsia="arial" w:hAnsi="arial" w:cs="arial"/>
          <w:color w:val="000000"/>
          <w:sz w:val="20"/>
          <w:lang w:val="en-US" w:eastAsia="en-US" w:bidi="ar-SA"/>
        </w:rPr>
        <w:t xml:space="preserve"> at 415, the Supreme Court of Canada set out the test for interpreting the applicability of s. 79(1) of the Regulations that provides coverage for no-fault benefits. The provision for coverage under that section is worded similarly to s. 64:</w:t>
      </w:r>
      <w:r>
        <w:rPr>
          <w:rFonts w:ascii="arial" w:eastAsia="arial" w:hAnsi="arial" w:cs="arial"/>
          <w:sz w:val="20"/>
          <w:lang w:val="en-US" w:eastAsia="en-US" w:bidi="ar-SA"/>
        </w:rPr>
        <w:cr/>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and sections 80 to 88, 90, 92, 100, 101 and 104, the corporation shall pay benefits to an insured in respect of death or injury caused by an accident that arises out of the use or operation of a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test was drawn from the court's earlier decisions in Stevenson v. Reliance Petroleum Ltd., </w:t>
      </w:r>
      <w:hyperlink r:id="rId320" w:history="1">
        <w:r>
          <w:rPr>
            <w:rFonts w:ascii="arial" w:eastAsia="arial" w:hAnsi="arial" w:cs="arial"/>
            <w:i/>
            <w:color w:val="0077CC"/>
            <w:sz w:val="20"/>
            <w:u w:val="single"/>
            <w:shd w:val="clear" w:color="auto" w:fill="FFFFFF"/>
            <w:lang w:val="en-US" w:eastAsia="en-US" w:bidi="ar-SA"/>
          </w:rPr>
          <w:t>[1956] S.C.R. 936</w:t>
        </w:r>
      </w:hyperlink>
      <w:r>
        <w:rPr>
          <w:rFonts w:ascii="arial" w:eastAsia="arial" w:hAnsi="arial" w:cs="arial"/>
          <w:color w:val="000000"/>
          <w:sz w:val="20"/>
          <w:lang w:val="en-US" w:eastAsia="en-US" w:bidi="ar-SA"/>
        </w:rPr>
        <w:t xml:space="preserve"> and Law, Union &amp; Rock Insurance Co. v. Moore's Taxi Ltd., </w:t>
      </w:r>
      <w:hyperlink r:id="rId321" w:history="1">
        <w:r>
          <w:rPr>
            <w:rFonts w:ascii="arial" w:eastAsia="arial" w:hAnsi="arial" w:cs="arial"/>
            <w:i/>
            <w:color w:val="0077CC"/>
            <w:sz w:val="20"/>
            <w:u w:val="single"/>
            <w:shd w:val="clear" w:color="auto" w:fill="FFFFFF"/>
            <w:lang w:val="en-US" w:eastAsia="en-US" w:bidi="ar-SA"/>
          </w:rPr>
          <w:t>[1960] S.C.R. 80</w:t>
        </w:r>
      </w:hyperlink>
      <w:r>
        <w:rPr>
          <w:rFonts w:ascii="arial" w:eastAsia="arial" w:hAnsi="arial" w:cs="arial"/>
          <w:color w:val="000000"/>
          <w:sz w:val="20"/>
          <w:lang w:val="en-US" w:eastAsia="en-US" w:bidi="ar-SA"/>
        </w:rPr>
        <w:t xml:space="preserve"> where the same wording was considered in the context of indemnity for liability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in two parts: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result from the ordinary and well-known activities to which automobiles are put?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some nexus or causal relationship (not necessarily a direct cause or proximate causal relationship) between the appellant's injuries and the ownership, use or operation of his vehicle, or is the connection between the injuries and the ownership, use or operation of the vehicle merely incidental or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CNS contends that this test governs ICBC's obligation to defend Mr. Maris. It says that Ms. Taylor's injury is alleged to have arisen out of the use of his truck in that it resulted from the well-known activity of transporting animals in a vehicle and that there was a causal connection between the injury and that use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the first part of the test, ICBC maintains that the truck was, at the time of the injury, not being "used" at all because it was parked and unattended. It says further that, as stated, the second part of the test is insufficient to determine coverage, and the insurer's obligation to defend, under the indemnity provisions of the Regulations, despite the similarity in the wording employed in s. 64 and s. 79(1). This it says is so because there can be no indemnity where there is merely some nexus or causal relationship between an injury caused by an accident and the use of a vehicle; it must be the negligent use of the vehicle itself that causes the injury as was said to be required in Law, Union &amp; Rock Insurance from which the second part of the test is drawn. The connection between the injuries and the use of the vehicle can otherwise be no more than incidental as it is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there would seem to be no real question that Mr. Maris was using his truck for the well-recognized purpose of transporting an animal. The dog was secured in the box of the truck and driven to the pub where it remained after the truck was parked until the alleged injury was suffered. I do not consider a vehicle can never be said to be used when it is parked and unattended. But, that said, there is, on any view of the matter, no sound basis on which it can be said that the connection between Ms. Taylor's injury and the use of the truck was other than incidental.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crux of the allegations against Mr. Maris is that, knowing of the dog's propensity to bite, he failed to prevent Ms. Taylor from approaching the dog to pet or feed it where it was secured by collar and leash in the box of the truck. There is a reference in the pleadings to a failure to restrain the dog, but when the pleadings are read with the facts that are agreed, it becomes clear that the case against Mr. Maris is not about the dog being inadequately secured or otherwise restrained in the box of the truck. It is rather about his failure to intervene to insure that Ms. Taylor did not attempt to pet or feed the dog. Viewed from this perspective, the circumstances of the case are quite different from those in Longarini where the dog could have been found to have been inadequately confined when it attacked the young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nexus or causal connection between the injuries and the use of the truck. Had the dog bitten Mr. Maris instead of Ms. Taylor, he could not have made a claim against ICBC for no-fault benefits under s. 79(1) on the basis that he had suffered an accident that arose out of the use of his truck. The truck was no more than the situs of the incident in which the injury alleged was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My determination of the case stated, then, is that that ICBC is not required to defend Mr. Maris under s. 74 of the Regulations. CNS is required to continue the defence that I am told it has undertaken to date in accordance with the provisions of its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will be an order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LOWRY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3"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Withler v. Canada (Attorney General), [2002] B.C.J. No. 1395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28 - 29,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L010910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820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9 W.W.R. 477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 B.C.L.R. (4th) 365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C.P.C. (5th) 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820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Brought pursuant to the Class Proceedings Act, R.S.B.C. 1996, c. 50 Between Hazel Ruth Withler and Patricia M. McNaughton, plaintiffs, and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4"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1" w:name="Keywords_15"/>
      <w:bookmarkEnd w:id="111"/>
      <w:r>
        <w:rPr>
          <w:rFonts w:ascii="arial" w:eastAsia="arial" w:hAnsi="arial" w:cs="arial"/>
          <w:b/>
          <w:color w:val="000000"/>
          <w:sz w:val="20"/>
          <w:lang w:val="en-US" w:eastAsia="en-US" w:bidi="ar-SA"/>
        </w:rPr>
        <w:t>Practice — Pleadings — Striking out pleadings — Grounds, res judicata — Grounds, abuse of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2" w:name="Case Summary_15"/>
            <w:bookmarkEnd w:id="1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Withler to strike out portions of the Attorney General's statement of defence on the grounds of res judicata or abuse of process. Withler was certified to represent the class within the framework of an action regarding whether the death benefit and life insurance provisions of the Public Service Superannuation Act discriminated on the basis of age thereby infringing section 15 of the Canadian Charter of Rights and Freedoms. He also claimed damages based on the amount that would have been paid to the class without the alleged discriminatory provisions. A companion action was brought by Fitzsimonds challenging the constitutionality of the Canadian Forces Superannuation Act. The Attorney General denied the discrimination. Withler sought to strike out the portions of the statement of defence regarding the Attorney General's denial of discrimination because in a recent decision by the Federal Court of Canada, it was decided that the provisions of the Act were discriminatory. The plaintiff in the previous action, Margolis, was awarded damages, but she did not seek declaratory relief as to the constitutionality of the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3" w:name="Holdings of Court_14"/>
            <w:bookmarkEnd w:id="11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Withler and Margolis were not privies. Further, mutuality was a necessary precondition for the operation of res judicata. As a result, Withler had not met the three requirements necessary for the operation of res judicata and it was unnecessary to consider the second part of the res judicata analysis. Although the doctrine of abuse of process could be applied because the issue of discrimination was decided against the federal government, it was not in the interests of justice to find that an abuse of process would occur if the constitutionality of the impugned provisions of the Act were relitigated. The public as opposed to private law nature of the action and the potential for inconsistent results in the companion Fitzsimonds litigation, weighed in favour of permitting the Withler litigation to proceed to be decided on its merits.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4" w:name="Legislation Cited_12"/>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5"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ss. 1, 15,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Forces Superannuation Act, </w:t>
      </w:r>
      <w:hyperlink r:id="rId329" w:history="1">
        <w:r>
          <w:rPr>
            <w:rFonts w:ascii="arial" w:eastAsia="arial" w:hAnsi="arial" w:cs="arial"/>
            <w:i/>
            <w:color w:val="0077CC"/>
            <w:sz w:val="20"/>
            <w:u w:val="single"/>
            <w:shd w:val="clear" w:color="auto" w:fill="FFFFFF"/>
            <w:lang w:val="en-US" w:eastAsia="en-US" w:bidi="ar-SA"/>
          </w:rPr>
          <w:t>R.S.C. 1985, c. C-17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Public Service Superannuation Act. </w:t>
      </w:r>
      <w:hyperlink r:id="rId330" w:history="1">
        <w:r>
          <w:rPr>
            <w:rFonts w:ascii="arial" w:eastAsia="arial" w:hAnsi="arial" w:cs="arial"/>
            <w:i/>
            <w:color w:val="0077CC"/>
            <w:sz w:val="20"/>
            <w:u w:val="single"/>
            <w:shd w:val="clear" w:color="auto" w:fill="FFFFFF"/>
            <w:lang w:val="en-US" w:eastAsia="en-US" w:bidi="ar-SA"/>
          </w:rPr>
          <w:t>R.S.C. 1985, c. P-36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5" w:name="Counsel_15"/>
      <w:bookmarkEnd w:id="1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 Arvay, Q.C., C. Parker and M. Underhill,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Sgayias, Q.C., W. Divoky, S. Hepworth and D. Yurka,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15"/>
      <w:bookmarkEnd w:id="116"/>
      <w:r>
        <w:pict>
          <v:line id="_x0000_s1107" style="position:absolute;z-index:2518272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GARSON J."/>
            <w:bookmarkEnd w:id="117"/>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Hazel Withler and Patricia McNaughton, certified to represent the class("Withler") in this action, apply to strike out portions of the statement of defence of the Attorney General of Canada on the grounds of res judicata or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action Withler claims that the death benefit/life insurance provisions of the Public Service Superannuation Act </w:t>
      </w:r>
      <w:hyperlink r:id="rId330" w:history="1">
        <w:r>
          <w:rPr>
            <w:rFonts w:ascii="arial" w:eastAsia="arial" w:hAnsi="arial" w:cs="arial"/>
            <w:i/>
            <w:color w:val="0077CC"/>
            <w:sz w:val="20"/>
            <w:u w:val="single"/>
            <w:shd w:val="clear" w:color="auto" w:fill="FFFFFF"/>
            <w:lang w:val="en-US" w:eastAsia="en-US" w:bidi="ar-SA"/>
          </w:rPr>
          <w:t>R.S.C. 1985, c. P-36</w:t>
        </w:r>
      </w:hyperlink>
      <w:r>
        <w:rPr>
          <w:rFonts w:ascii="arial" w:eastAsia="arial" w:hAnsi="arial" w:cs="arial"/>
          <w:color w:val="000000"/>
          <w:sz w:val="20"/>
          <w:lang w:val="en-US" w:eastAsia="en-US" w:bidi="ar-SA"/>
        </w:rPr>
        <w:t>, Part II, and Regulations discriminate on the basis of age and infringe s. 15 of the Canadian Charter of Rights and Freedoms. Withler also claims damages based on the amount that would have been paid to the class without the alleged discriminatory provisions. These damages are quantified at $1.8 billion.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Withler says that the defendant is estopped from denying the discrimination because in a decision of the Federal Court of Canada, Margolis v. Canada </w:t>
      </w:r>
      <w:hyperlink r:id="rId331" w:history="1">
        <w:r>
          <w:rPr>
            <w:rFonts w:ascii="arial" w:eastAsia="arial" w:hAnsi="arial" w:cs="arial"/>
            <w:i/>
            <w:color w:val="0077CC"/>
            <w:sz w:val="20"/>
            <w:u w:val="single"/>
            <w:shd w:val="clear" w:color="auto" w:fill="FFFFFF"/>
            <w:lang w:val="en-US" w:eastAsia="en-US" w:bidi="ar-SA"/>
          </w:rPr>
          <w:t>(2001), 201 F.T.R. 55</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2001 FCT 85</w:t>
        </w:r>
      </w:hyperlink>
      <w:r>
        <w:rPr>
          <w:rFonts w:ascii="arial" w:eastAsia="arial" w:hAnsi="arial" w:cs="arial"/>
          <w:color w:val="000000"/>
          <w:sz w:val="20"/>
          <w:lang w:val="en-US" w:eastAsia="en-US" w:bidi="ar-SA"/>
        </w:rPr>
        <w:t>, the Federal Court decided that the provisions of the Public Service Superannuation Act which are in issue in the Whithler claim were discriminatory. In her claim, Mrs. Margolis was awarded $148,000 in damages but she did not seek any declaratory relief as to the constitutionality of the impugned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 before the court on this application is whether in the circumstances of this case the doctrine of res judicata ought to apply even though the parties in the two actions are not identical. The plaintiffs also argue that the doctrine of abuse of process should be applied to prevent relitigation of the question determined against the Government of Canada in the Margolis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facts which form the background to this action are not in dispute. It is convenient to quote, with some minor changes, from the brief of the Attorney General of Canada.</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Action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action challenges the constitutional validity of an element of the Supplementary Death Benefit Plan ("the Plan") under the Public Service Superannuation Act. The Plan provides current and retired public servants with a form of life insurance. The amount of that insurance decreases once the participant in the Plan reaches a specified age, subject always to a guaranteed minimum benefit. The benefit payable under the plan is subject to a reduction of one-tenth for every year of age in excess of 60 attained by a participant. (the "Reduction Provisions")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beneficiaries of participants in the Plan. Under the Plan, the participant may designate as beneficiary the participant's estate, any person over age 18, or a charitable or similar organization. The plaintiffs are beneficiaries of participants who at the time of their death had passed the age at which the amount payable under the Plan began to decrease.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allege that the reduction of the amount payable under the Plan upon the participant reaching the specified age is discrimination on the basis of age that infringes s. 15 of the Canadian Charter of Rights and Freedoms. They claim relief, principally:</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pursuant to s. 52 of the Constitution Act, 1982 that the impugned legislative provisions are inconsistent with s. 15 of the Charter; and</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pursuant to s. 24(1) of the Charter, or under common law or equitable principles, for payment of the difference between the amount paid under the Plan and the amount that would have been paid if the Plan did not provide for the reduction by reason of the age of the Plan participant.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joined issue with the plaintiffs both as to the alleged infringement of the Charter and as to the proper remedy, if any.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consent of the defendant, the present action has been certified as a class proceeding by Order of this court dated November 2, 2001.</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Fitzsimonds Action</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companion action. Joan Helen Fitzsimonds has brought a similar constitutional challenge to the Canadian Forces Supplementary Death Benefit Plan ("the CF Plan").</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CF Plan is similar in that it provides for life insurance that decreases once the participant reaches a specified age, subject always to a guaranteed minimum benefit. (See Canadian Forces Superannuation Act, </w:t>
      </w:r>
      <w:hyperlink r:id="rId329" w:history="1">
        <w:r>
          <w:rPr>
            <w:rFonts w:ascii="arial" w:eastAsia="arial" w:hAnsi="arial" w:cs="arial"/>
            <w:i/>
            <w:color w:val="0077CC"/>
            <w:sz w:val="20"/>
            <w:u w:val="single"/>
            <w:shd w:val="clear" w:color="auto" w:fill="FFFFFF"/>
            <w:lang w:val="en-US" w:eastAsia="en-US" w:bidi="ar-SA"/>
          </w:rPr>
          <w:t>R.S.C. 1985, c. C-17</w:t>
        </w:r>
      </w:hyperlink>
      <w:r>
        <w:rPr>
          <w:rFonts w:ascii="arial" w:eastAsia="arial" w:hAnsi="arial" w:cs="arial"/>
          <w:color w:val="000000"/>
          <w:sz w:val="20"/>
          <w:lang w:val="en-US" w:eastAsia="en-US" w:bidi="ar-SA"/>
        </w:rPr>
        <w:t>. Part II.)</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 the Fitzsimonds action allege that the reduction of the amount payable under the CF Plan upon a participant reaching the specified age is discrimination on the basis of age that infringes s. 15 of the Charter. She claims the same sorts of relief under s. 52 of the Constitution Act and s. 24(1) of the Charter, as are claimed in the present action.</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of the Fitzsimonds action is identical to that in the present action. The issues include: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use of age in the CF Plan constitutes discrimination within the meaning of s. 15 of the Charter;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whether the use of age in the CF Plan is a reasonable limit within the meaning of s. 1 of the Charter;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standing to seek any remedy under s. 24(1) of the Charter;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remedy for any infringement of the Charter lies in s. 52(1) of the Constitution Act, 1982, and not in s. 24(1) of the Charter;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remedy under s. 52(1) of the Constitution Act, 1982 should expand the benefits under the CF Plan.</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consent of the defendant, and in conjunction with the present action, the Fitzsimonds action has been certified as a class proceeding by order of this court on November 2, 2001.</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Margolis Action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 both the present action and the Fitzsimonds action contend that the defendant should be precluded from defending the actions because of the decision of the Federal Court, Trial Division in Margolis v. Canada.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Margolis action was brought by Ruth Ann Margolis and the Estate of Leo Margolis. Ruth Ann Margolis was the designated beneficiary of the benefit payable under the Supplementary Death Benefit Plan on the death of Dr. Leo Margolis, a retired public servant. The plaintiffs allege that the reduction in the amount payable under the Plan by reason of Dr. Margolis' age discriminated against him and also the plaintiffs, contrary to s. 15 of the Charter. As relief, the plaintiffs claimed a sum said to be the difference between an unreduced benefit and the benefit actually paid under the Plan. Apart from interest on that sum, the plaintiffs sought no other remedy.</w:t>
      </w:r>
    </w:p>
    <w:p>
      <w:pPr>
        <w:numPr>
          <w:numId w:val="1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Crown joined issue with the Margolis plaintiffs on the issue of discrimination under s. 15 of the Charter. The defendant Crown did not pursue the following issues: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use of age is a reasonable limit within the meaning of s. 1 of the Charter;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had standing to seek a remedy under s. 24(1) of the Charter;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remedy for any infringement of the Charter lay in s. 52(1) of the Constitution Act, 1982, and not in s. 24(1) of the Charter;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remedy under s. 52(1) of the Constitution Act, 1982 should expand the benefits under the Plan.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Campbell of the Federal Court, Trial Division concluded that the impugned legislation infringed the rights of the Margolis plaintiff under s. 15 of the Charter. He awarded the plaintiffs damages under s. 24(1) of the Charter.</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Crown filed an appeal against the Order of Campbell J. Subsequent to the commencement of the present action and the Fitzsimonds action, that appeal was discontinued.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Application</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 an order that, by virtue of the decision in Margolis v. Canada, the defendant is estopped or otherwise barred from defending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parties rely on expert opinions of actuaries as to the consequences to the Plan if this Court grants the relief sought in this action. The expert report of the government actuary, Mr. Hébert, tendered as evidence on this application by the Federal Government, discloses that there is a $1.8 billion surplus in the government accounts allocated to fund the death benefit under the Plan. According to Mr. Hébert the cost to pay the plaintiffs' claims if they were successful in this case is $1.8 billion. Mr. Hébert expresses the opinion that without the Reduction Provisions, the Plan is not sustainable on an ongoing basis. Mr. Christie, an actuary whose opinion was tendered by the plaintiffs, accepts Mr. Hébert's calculation of the cost to fund the plaintiffs' claims. Mr. Christie described various changes that could be made to the Plan so that it would be sustainable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summarize the main points made by the parties in their able oral and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argue that the interests of justice and finality favour the plaintiffs' application in this matter for the following reasons:</w:t>
      </w:r>
      <w:r>
        <w:rPr>
          <w:rFonts w:ascii="arial" w:eastAsia="arial" w:hAnsi="arial" w:cs="arial"/>
          <w:sz w:val="20"/>
          <w:lang w:val="en-US" w:eastAsia="en-US" w:bidi="ar-SA"/>
        </w:rPr>
        <w:cr/>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doctrine of res judicata does not require that the parties to both actions be the same. Alternatively if mutuality of the parties is a requirement of res judicata, the Withler class and Mrs. Margolis are privies.</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the constitutionality of the Plan was determined against the federal government and the government should not be able to relitigate the issue. The administration of justice will be brought into disrepute if there is one law for Mrs. Margolis and another law for Mrs. Withler.</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not to run a s. 1 constitutional defence was entirely considered by counsel for the Attorney General and their clients. It was not an inadvertent decision not to defend the Margolis action on the basis of s. 1. The federal government should explain why it decided to forego a s. 1 defence and why it discontinued the appeal.</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Mrs. Margolis had invoked s. 52 of the Constitution Act the situation would not be different than it is now. Although she didn't, in her statement of claim, use precise language tracking s. 52, in substance she challenged the constitutionality of the Reduction Provisions in the Plan. She would not otherwise have obtained her remedy under s. 24 if the court had not expressly or impliedly ruled that the law infringed s. 15.</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that the federal government was aware of the interests that were at stake in the Margolis action.</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evidence in support of the claim that justice requires re-litigation is that of Mr. Hébert. Mr. Hébert was available to the government in the Margolis case. What is the purpose of the Hébert Report? Is it to show that there is a s. 1 defence? The plaintiffs say that the purpose of the Hébert Report is to show that the "sky will fall" if the Withler case is not allowed to be re-litigated. Mr. Hébert considers in his report what will happen immediately. He looks into the future by way of crystal ball gazing. The plaintiffs say that Mr. Hébert cannot speak for Parliament. He does not know Parliament what would do with this plan in the event that this litigation is successful.</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 Mr. Christie, was asked whether Mr. Hébert had considered all the options. Mr. Christie concluded that there are other options to maintain the existence of the plan without affecting its solvency. The federal government says that the interests of justice require there be litigation of the constitutionality of the Act. However, the plaintiffs say there is no injustice in preventing the government from litigation. There is a surplus in the insurance benefit account of $1.8 billion and the amount required to pay the beneficiaries calculated by Mr. Hébert is $1.8 billion. That is, the cost of curing the unconstitutional behaviour retroactively is the same as a surplus. There is justice in that. Even if all the claimants in the Withler action succeed, the plan can continue into the future, according to Mr. Christie.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Federal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Federal Government argues that neither res judicata nor abuse of process are applicable in the circumstances of this case for the following reasons:</w:t>
      </w:r>
      <w:r>
        <w:rPr>
          <w:rFonts w:ascii="arial" w:eastAsia="arial" w:hAnsi="arial" w:cs="arial"/>
          <w:sz w:val="20"/>
          <w:lang w:val="en-US" w:eastAsia="en-US" w:bidi="ar-SA"/>
        </w:rPr>
        <w:cr/>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Margolis litigation and the Withler litigation are not the same, therefore the doctrine of res judicata does not apply.</w:t>
      </w:r>
    </w:p>
    <w:p>
      <w:pPr>
        <w:numPr>
          <w:numId w:val="2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res judicata does apply,the court retains a residual discretion to refuse to apply it, and in this case ought to exercise that discretion to permit relitigation.</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Court's inherent power to prevent abuse of its process may be invoked in cases where the doctrine of res judicata does not apply but the concept is narrower than res judicata and ought not to be invoked in this case because here the interests of justice outweigh the considerations of finality.</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Finality is less important where no personal litigant is being "twice vexed".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raises substantial constitutional issues, only one of which was raised in the Margolis action.</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both in terms of dollars, and persons affected, is significant.</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Finality is less of a factor in public law litigation.</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Fitzsimonds action will not be res judicata even if this action is, and therefore there is the possibility of inconsistent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Definition of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begin my analysis of the issues raised on this application with an examination of res judicata, what it is, and when it is applicable. In his decision in Danyluk v. Ainsworth Technologies Inc., </w:t>
      </w:r>
      <w:hyperlink r:id="rId332"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Binnie J. described res judicata at paras. 18 and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rightly seeks a finality to litigation. To advance that objective, it requires litigants to put their best foot forward to establish the truth of their allegations when first called upon to do so. A litigant, to use the vernacular, is only entitled to one bite at the cherry.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has developed a number of techniques to prevent abuse of the decision- making process. One of the oldest is the doctrine of estoppel per rem judicatem with its roots in Roman law, the idea that a dispute once judged with finality is not subject to relitigation. The bar extends both to the cause of action thus adjudicated (variously referred to as claim or cause of action or action estoppel), as well as precluding relitigation of the constituent issues or material facts necessarily embraced therein (usually called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para. 24 Binnie J. continued with a definition of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Issue estoppel was more particularly defined by Middleton J.A. of the Ontario Court of Appeal in McIntosh v. Parent, </w:t>
      </w:r>
      <w:hyperlink r:id="rId333"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at p. 422: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question is litigated, the judgment of the Court is a final determination as between the parties and their privies. Any right, question or fact </w:t>
      </w:r>
      <w:r>
        <w:rPr>
          <w:rFonts w:ascii="arial" w:eastAsia="arial" w:hAnsi="arial" w:cs="arial"/>
          <w:color w:val="000000"/>
          <w:sz w:val="20"/>
          <w:u w:val="single"/>
          <w:lang w:val="en-US" w:eastAsia="en-US" w:bidi="ar-SA"/>
        </w:rPr>
        <w:t>distinctly put in issue and directly determined</w:t>
      </w:r>
      <w:r>
        <w:rPr>
          <w:rFonts w:ascii="arial" w:eastAsia="arial" w:hAnsi="arial" w:cs="arial"/>
          <w:color w:val="000000"/>
          <w:sz w:val="20"/>
          <w:lang w:val="en-US" w:eastAsia="en-US" w:bidi="ar-SA"/>
        </w:rPr>
        <w:t xml:space="preserve"> by a Court of competent jurisdiction as a ground of recovery, or as an answer to a claim set up, cannot be re-tried in a subsequent suit between the same parties or their privies, though for a different cause of action. The right, question, or fact, </w:t>
      </w:r>
      <w:r>
        <w:rPr>
          <w:rFonts w:ascii="arial" w:eastAsia="arial" w:hAnsi="arial" w:cs="arial"/>
          <w:color w:val="000000"/>
          <w:sz w:val="20"/>
          <w:u w:val="single"/>
          <w:lang w:val="en-US" w:eastAsia="en-US" w:bidi="ar-SA"/>
        </w:rPr>
        <w:t>once determined</w:t>
      </w:r>
      <w:r>
        <w:rPr>
          <w:rFonts w:ascii="arial" w:eastAsia="arial" w:hAnsi="arial" w:cs="arial"/>
          <w:color w:val="000000"/>
          <w:sz w:val="20"/>
          <w:lang w:val="en-US" w:eastAsia="en-US" w:bidi="ar-SA"/>
        </w:rPr>
        <w:t>, must, as between them, be taken to be conclusively established so long as the judgment remains. [emphasis in Danyluk]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Preconditions to the operation of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Next Binnie J. turned to the preconditions to the application of res judicata. He stated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preconditions to the operation of issue estoppel were set out by Dickson J. in Angle v. Canada (Minister of National Revenue), </w:t>
      </w:r>
      <w:hyperlink r:id="rId334"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same question has been decided;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which is said to create the estoppel was final;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Having established the preconditons to res judicata in any given case, Binnie J. explained that there is a second step in which the court must exercise its discretion in order to determine if res judicata ought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Applying these concepts to the Withler case, the first step in the analysis is to determine whether the preconditions apply. It is clear that the plaintiffs in the Withler case are not the same as the plaintiff in Margolis. However, the plaintiffs say that Mrs. Withler and Mrs. Margolis are privies, but more fundamentally that it is not always necessary to establish the precondition of mutuality, where the same issue has been decided against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Mutuality or privity of Mrs. Whithler and Mrs. Margolis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return to the Danyluk case and a review of what Binnie J. said on mutuality.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Danykuk case, the question of privity did not arise on the facts, but Binnie J. stated as follows at para's. 59 and 60:</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requirement assures mutuality. If the limitation did not exist, a stranger to the earlier proceeding could insist that a party thereto be bound in subsequent litigation by the findings in the earlier litigation even though the stranger, who became a party only to the subsequent litigation, would not be: [citations omitted]. The mutuality requirement was subject to some critical comment by McEachern C.J.B.C. when sitting as a trial judge in Saskatoon Credit Union Ltd. v. Central Park Ent. Ltd. </w:t>
      </w:r>
      <w:hyperlink r:id="rId335" w:history="1">
        <w:r>
          <w:rPr>
            <w:rFonts w:ascii="arial" w:eastAsia="arial" w:hAnsi="arial" w:cs="arial"/>
            <w:i/>
            <w:color w:val="0077CC"/>
            <w:sz w:val="20"/>
            <w:u w:val="single"/>
            <w:shd w:val="clear" w:color="auto" w:fill="FFFFFF"/>
            <w:lang w:val="en-US" w:eastAsia="en-US" w:bidi="ar-SA"/>
          </w:rPr>
          <w:t>(1988), 22 B.C.L.R. (2d) 89</w:t>
        </w:r>
      </w:hyperlink>
      <w:r>
        <w:rPr>
          <w:rFonts w:ascii="arial" w:eastAsia="arial" w:hAnsi="arial" w:cs="arial"/>
          <w:color w:val="000000"/>
          <w:sz w:val="20"/>
          <w:lang w:val="en-US" w:eastAsia="en-US" w:bidi="ar-SA"/>
        </w:rPr>
        <w:t xml:space="preserve"> (S.C.), at p. 96, and has been substantially modified in many jurisdictions in the United States: See Holmested and Watson, supra, at 21 &amp; 24, and G.O. Watson, "Duplicate Litigation: Issue Estoppel, Abuse of Process and the Death of Mutuality: (1990), 69 Can. Bar Rev. 623.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concept of "privity" of course is somewhat elastic. The learned editors of J. Sopinka, S.N. Lederman and A.W. Bryant in The Law of Evidence in Canada (2d ed. 1999), at p. 1088 say, somewhat pessimistically, that "[i]t is impossible to be categorical about the degree of interest which will create privity" and that determinations must be made on a case-by-case basis. In this case, the parties are identical and the outer limits of "mutuality" and of the "same parties" requirement need not be further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argue that Mrs. Withler and the class she represents are privies of Mrs. Margolis and therefore the plaintiffs say they come within the doctrine of res judicata in its traditional form. The plaintiffs note that Mrs. Margolis would unquestionably be a member of the class in the present proceedings and they are thus properly considered privies. They have a single identity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do not agree that Mrs. Margolis and Mrs. Withler are privies. I agree with the Attorney General that the plaintiffs were not parties to the Margolis action, nor are they privies of Ruth Ann Margolis and the Estate of Leo Margolis. The plaintiffs are merely pursuing the same sort of claim as that of the Margolis plaintiffs. They are not asserting any interests of the Margolis plaintiffs just as the Margolis plaintiffs asserted no interest apart from their own. The Margolis plaintiffs brought their action solely on their own behalf. They claimed a monetary award for themselves. They did not seek to proceed by way of a representative or class action. All they have in common is an argument that their rights are similarly infringed by the Reduction Provisions. The Attorney General argues correctly that the present plaintiffs are attempting to retroactively constitute the Margolis action as a class action for the benefit of anyone who could raise questions similar to those raised by the Margolis plaintiffs - they are "wait and see" plaintiffs (Parklane Hosiery Co. v Shore,439 U.S. 322 (1979)). The Federal Government says "It seems doubtful the present plaintiffs, never mind all the other class members who may have never even heard of the Margolis action, would accept being bound, had the Crown succeeded in the Margolis action." I agree. The categories of relationships that have been found to be privies is somewhat elastic (Danyluk). As noted in Danyluk, Sopinka, Lederman and Bryant in The Law of Evidence in Canada, say at article 19.86: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impossible to be categorical about the degree of interest which will create privity. It has been said that "there must be a sufficient degree of identification between the two to make it just to hold that the decision to which one was party should be binding in proceedings to which the other is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it would be incorrect to say that these strangers are privies. The thread which connects them is their common claim to have been discriminated against but they do not represent each other in a way that makes them privies in law. I find they are not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turn next in the examination of mutuality to the decision in Saskatoon Credit Union Ltd. v. Central Park Enterprises Ltd. </w:t>
      </w:r>
      <w:hyperlink r:id="rId335" w:history="1">
        <w:r>
          <w:rPr>
            <w:rFonts w:ascii="arial" w:eastAsia="arial" w:hAnsi="arial" w:cs="arial"/>
            <w:i/>
            <w:color w:val="0077CC"/>
            <w:sz w:val="20"/>
            <w:u w:val="single"/>
            <w:shd w:val="clear" w:color="auto" w:fill="FFFFFF"/>
            <w:lang w:val="en-US" w:eastAsia="en-US" w:bidi="ar-SA"/>
          </w:rPr>
          <w:t>(1988), 47 D.L.R. (4th) 431</w:t>
        </w:r>
      </w:hyperlink>
      <w:r>
        <w:rPr>
          <w:rFonts w:ascii="arial" w:eastAsia="arial" w:hAnsi="arial" w:cs="arial"/>
          <w:color w:val="000000"/>
          <w:sz w:val="20"/>
          <w:lang w:val="en-US" w:eastAsia="en-US" w:bidi="ar-SA"/>
        </w:rPr>
        <w:t xml:space="preserve"> (B.C.S.C.) which the plaintiffs say is binding on me and supports their contention that in this case mutuality is not a necessary precondition to the operation of res judicata. In other words, the plaintiffs say that even if I find that Mrs. Margolis and Mrs. Withler are not privies, res judicata should still operate based on the reasoning in Saskatoon Credit Union that it is not necessary to establish the precondition of mutuality where the same issue has been decided against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Saskatoon Credit Union, a creditor of the defendants had obtained judgment in an earlier action setting aside certain transfers on the basis that they were fraudulent. The Saskatoon Credit Union, another creditor of the same defendant, then brought an action to have the same transfer struck out as fraudulent. The defendant defended the action and the plaintiff, Saskatoon Credit Union, moved to strike out parts of the statement of defence on the grounds of res judicata, that is, that the transactions had already been determined to be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McEachern C.J.S.C., (as he then was) examined the doctrine of mutuality. He concluded at p. 438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deciding anything about the question of mutuality, it is my conclusion that, subject to the exceptions I shall mention in a moment, no one can relitigate a cause of action or an issue that has previously been decided against him in the same court or in any equivalent court having jurisdiction in the matter where he has or could have participated in the previous proceedings unless some overriding question of fairness requires a rehearing.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McEachern C.J.S.C. reviewed at length the principles of mutuality cases. His commentary at p. 435 is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of res judicata in its various manifestations has become far too complicated. Lord Denning M.R. in McIlenny v. Chief Constable of West Midlands, [1980] 2 W.L.R. 689 at p. 700 (C.A.), explains that estoppel comes from the Norman-French language and means simply that someone is stopped from saying something. Lord Denning M.R. went on to say that from these simple beginnings estoppel has become "... a big house with many rooms". In Coke's time there were only three rooms, estoppel by record, by writing or in pais (conduct). But now we have so many rooms we are likely to become confused. Lord Denning refers to estoppel per rem judicatam, issue estoppel, or estoppel by deed, representation, conduct, acquiescence, election, waiver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well as promissory estoppel, proprietary estoppel, and "... goodness knows what else". To this list I could add the principle that estoppel is a shield but not a sword.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before him, Lord Denning M.R. entered a room called estoppel per rem judicatam where he found an alcove called issue estoppel where there were several chairs, one called privity and the other called mutuality. Both were said to be "... a bit rickety".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p. 701 Lord Denning M.R.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doctrine of privity says that the only persons who can take advantage of the estoppel or be bound by it are the two parties to the previous proceedings themselves or their privies. No third person can take advantage of it or be bound by it; because he was no party to the previous proceedings. Those proceedings, so far as the third person is concerned, were res inter alios acta.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doctrine of mutuality says that, in order that there should be an estoppel, it must be such that both of the two parties and their privies must be bound by the estoppel, whichever way it goes. Win or lose, each party must be bound. It is said that, in any contest, that is the only fair thing.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 which should govern was stated by Lord Denning M.R. in Tebbutt v. Hayes, [1981] 2 All E.R. 238 at p. 242,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ventured to suggest this principle: if there has been an issue raised and decided against a party in circumstances in which he has had a full and fair opportunity of dealing with the whole case, then that issue must be taken as being finally and conclusively decided against him. He is not at liberty to reopen it unless circumstances are such as to make it fair and just that it should be reopened.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this compendious statement, however, is confusing because the word "reopen" suggests the principle may only apply between the same parties which would not be the case if the word "relitigate" or some such expression had been used. But it must be remembered that Lord Denning considered privity to be a rickety chair and I do not think he was addressing the question of privity in the remarks just quoted.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the traditional approach to estoppel per rem judicatam operates only between the same parties or their privies: Hollington v. Hewthorn, [1943] K.B. 587 (C.A.) (which Lord Denning M.R. said was wrongly decided: McIlenny, supra, at p. 703); Thoday v. Thoday, [1964] 1 All E.R. 341 (C.A.); and Carl Zeuss Stiffung v. Rayoner &amp; Keeler Ltd. (No. 2), [1967] 1 A.C. 853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recently, however, a number of English authorities, particularly Lord Denning, have suggested that the principle of abuse of process prevents a party from relitigating a question which has been fairly decided against him. This received grudging approval in the House of Lords in Hunter v. Chief Constable of West Midlands, [1982] A.C. 529 at p. 540.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United States, as early as 1927, it was held that no one can have an issue retried unless the original finding was obtained by fraud or some similar ground of invalidity: Eagle, Star &amp; British Dominion Insurance Co. v. Heller, 140 S.E. 314 (1927). Then, in 1971, the United States Supreme Court stated they would not be mechanically bound by rules of mutuality or of mutuality of estoppel but rather that trial courts ought to have a broad discretion to determine whether issue estoppel should be applied. Fairness seems to be the test they applied: Blonder-Tongue Laboratories Inc. v. University of Illinois Foundation 91 S. Ct. 1434 (1971), and Parklane Hosiery Co., Inc. v. Shore, 99 S. Ct. 645 (1979).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Canada it appears that the quotation about privity cited by Dickson J. in Angle, supra, has not been applied strictly, possibly because, in Angle, the same parties were involved in both the earlier and later litigation, and privity or the lack of it was not an issue in that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Nigro v. Agnew-Surpass Shoe Stores Ltd. </w:t>
      </w:r>
      <w:hyperlink r:id="rId336" w:history="1">
        <w:r>
          <w:rPr>
            <w:rFonts w:ascii="arial" w:eastAsia="arial" w:hAnsi="arial" w:cs="arial"/>
            <w:i/>
            <w:color w:val="0077CC"/>
            <w:sz w:val="20"/>
            <w:u w:val="single"/>
            <w:shd w:val="clear" w:color="auto" w:fill="FFFFFF"/>
            <w:lang w:val="en-US" w:eastAsia="en-US" w:bidi="ar-SA"/>
          </w:rPr>
          <w:t>(1977), 82 D.L.R. (3d) 302</w:t>
        </w:r>
      </w:hyperlink>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18 O.R. (2d) 215</w:t>
        </w:r>
      </w:hyperlink>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3 C.P.C. 194</w:t>
        </w:r>
      </w:hyperlink>
      <w:r>
        <w:rPr>
          <w:rFonts w:ascii="arial" w:eastAsia="arial" w:hAnsi="arial" w:cs="arial"/>
          <w:color w:val="000000"/>
          <w:sz w:val="20"/>
          <w:lang w:val="en-US" w:eastAsia="en-US" w:bidi="ar-SA"/>
        </w:rPr>
        <w:t xml:space="preserve"> (H.C.); appeal dismissed </w:t>
      </w:r>
      <w:r>
        <w:rPr>
          <w:rFonts w:ascii="arial" w:eastAsia="arial" w:hAnsi="arial" w:cs="arial"/>
          <w:i/>
          <w:color w:val="000000"/>
          <w:sz w:val="20"/>
          <w:lang w:val="en-US" w:eastAsia="en-US" w:bidi="ar-SA"/>
        </w:rPr>
        <w:t>84 D.L.R. (3d) 256</w:t>
      </w:r>
      <w:r>
        <w:rPr>
          <w:rFonts w:ascii="arial" w:eastAsia="arial" w:hAnsi="arial" w:cs="arial"/>
          <w:color w:val="000000"/>
          <w:sz w:val="20"/>
          <w:lang w:val="en-US" w:eastAsia="en-US" w:bidi="ar-SA"/>
        </w:rPr>
        <w:t xml:space="preserve">, (C.A.), an action for fire damages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occupant of a shopping centre was successful. Other occupants then brought similar proceedings and the defendant sought to relitigate the same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striking out such defence Weatherston J., at p. 305,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Because [estoppel] is a rule of public policy, in which the Court exercises its inherent jurisdiction to prevent an abuse of its process, I think I am entitled to take a rather broader view of the matter than by simply applying the doctrine of res judicata in its narrow sense.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several defendants and the third party have had their day in Court, and as among themselves the issue as to liability for the fire has been determined. It ought not to be open to any of them to have that same issue retried in actions by plaintiffs who suffered damages in the same fire.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the bottom of 438: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decline to decide whether the foregoing conclusion represents the application of a species of estoppel by res judicata or abuse of process as the result is the same. The fact that the plaintiff in this action was not a party to the earlier proceedings is of no consequence. With the defendants participating fully, it was judicially determined at trial by Spencer J. that the lease and transfers between the defendants were fraudulent and that is the end of that issue. The defendants are stopped from saying otherwise.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Lastly, I would decide, if it were necessary so to do, that the doctrine of privity, if it applies at all, is broad enough to embrace both Ms. Gaspari and the present plaintiff within its grasp. Both were creditors of Holdings; both had the same interests in the debtor's assets; both were damnified by the fraudulent lease and transfers; and both, along with all other creditors, were entitled to share in the results of the earlier litigation each according to his rank as a creditor. Privity would be less than rickety - it would be no chair at all - if it could not sustain the weight of both or all the creditors of a fraudulent transferor.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Saskatoon Credit Union cannot be taken as authority for the proposition that mutuality is not a requirement of res judicata. McEachern C.J.S.C. specifically said that he was not deciding whether his conclusion in the case was an application of res judicata or abuse of process. In any event, Binnie J. in Danyluk, after mentioning Saskatoon Credit Union, maintained the mutuality requirement. In one sense it could be said the question of mutuality is obiter in both cases. In Danyluk it was not in issue, and in my view the proper interpretation of Saskatoon Credit Union is an application of the doctrine of abuse of process, that is, when an issue has been decided against a party. Having said this, I would not suggest that the law on mutuality is other than as stated in Danyluk.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the operation of res judicata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take from these cases the following propositions of law:</w:t>
      </w:r>
      <w:r>
        <w:rPr>
          <w:rFonts w:ascii="arial" w:eastAsia="arial" w:hAnsi="arial" w:cs="arial"/>
          <w:sz w:val="20"/>
          <w:lang w:val="en-US" w:eastAsia="en-US" w:bidi="ar-SA"/>
        </w:rPr>
        <w:cr/>
      </w:r>
    </w:p>
    <w:p>
      <w:pPr>
        <w:numPr>
          <w:numId w:val="3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three preconditions to the operation of the doctrine of res judicata are still part of the law of Canada and include mutuality. The three preconditions are as follows: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question has been decided in earlier proceedings.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earlier judicial decision was final.</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or their privies are the same in both proceedings.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preconditions to the operation of res judicata are met, as either issue estoppel or action estoppel, the court must then proceed to the second stage of the analysis. In this second stage of the analysis, the court retains a discretion to consider whether justice would be served by application of the doctrine of res judicata. Res judicata will not be applied where to do so would result in a real injustice. The factors which influence the exercise of the court's discretion are open and depend on the circumstances of the particular case. The onus is on the party asserting the application of the doctrine.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third category of cases (Saskatoon Credit Union and Nigro Agnew-Surpass) which I would describe as abuse of process cases, when an issue has been decided against a party. Mutuality is not a requirement. In abuse of process cases, the party asserting that there is an abuse of process, has the onus of proving that the court should exercise its discretion to apply the doctrine in the particular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res judicata to Withler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already found that Mrs. Withler and Mrs. Margolis are not privies. I have also determined that mutuality is a necessary precondition for the operation of res judicata. Therefore, I conclude that the three requirements necessary for the operation of res judicata have not been met by Withler and accordingly it is unnecessary to consider the second part of the res judicata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turn next to consider the application of the doctrine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concept of abuse of process was discussed in detail in City of Toronto v. Canadian Union of Public Employees, Local 79 </w:t>
      </w:r>
      <w:hyperlink r:id="rId337" w:history="1">
        <w:r>
          <w:rPr>
            <w:rFonts w:ascii="arial" w:eastAsia="arial" w:hAnsi="arial" w:cs="arial"/>
            <w:i/>
            <w:color w:val="0077CC"/>
            <w:sz w:val="20"/>
            <w:u w:val="single"/>
            <w:shd w:val="clear" w:color="auto" w:fill="FFFFFF"/>
            <w:lang w:val="en-US" w:eastAsia="en-US" w:bidi="ar-SA"/>
          </w:rPr>
          <w:t>(2001), 55 O.R. (3d) 541</w:t>
        </w:r>
      </w:hyperlink>
      <w:r>
        <w:rPr>
          <w:rFonts w:ascii="arial" w:eastAsia="arial" w:hAnsi="arial" w:cs="arial"/>
          <w:color w:val="000000"/>
          <w:sz w:val="20"/>
          <w:lang w:val="en-US" w:eastAsia="en-US" w:bidi="ar-SA"/>
        </w:rPr>
        <w:t xml:space="preserve"> (C.A.) (leave to appeal to S.C.C. granted, </w:t>
      </w:r>
      <w:hyperlink r:id="rId338" w:history="1">
        <w:r>
          <w:rPr>
            <w:rFonts w:ascii="arial" w:eastAsia="arial" w:hAnsi="arial" w:cs="arial"/>
            <w:i/>
            <w:color w:val="0077CC"/>
            <w:sz w:val="20"/>
            <w:u w:val="single"/>
            <w:shd w:val="clear" w:color="auto" w:fill="FFFFFF"/>
            <w:lang w:val="en-US" w:eastAsia="en-US" w:bidi="ar-SA"/>
          </w:rPr>
          <w:t>[2001] S.C.C.A. No. 500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City of Toronto, an employee, Mr. Oliver worked for the City of Toronto as a recreation instructor. Mr. Oliver was charged criminally with sexually assaulting a young boy and was fired by the City of Toronto. Mr. Oliver filed a grievance and in the grievance proceedings the City of Toronto relied on Mr. Oliver's conviction as conclusive proof that he had sexually assaulted a young child during the course of his employment. Doherty J.A. held that the arbitrator erred in law in permitting Mr. Oliver's union, CUPE, to relitigate Mr. Oliver's culpability. The City of Toronto case is not, in the traditional sense, a res judicata case. The case falls more conveniently, in my view, in the Saskatoon Credit Union class of cases, namely abuse of process. These cases, including Nigro Agnew-Surpass, are authority for the proposition that where an issue has finally been decided against a party it ought not to be relitigated. Mutuality is not a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Doherty J.A. at para. 101 noted that some academic writers "favour[s] the abandonment of the mutuality requirement for the application of issue estoppel", he did not go so far as to say that the doctrine of mutuality should be abandoned. He said that the facts of the City of Toronto case "put it at the very edge of that doctrine" (at para. 101). Doherty J.A. further noted that in Danyluk the issue of "mutuality and privies" did not arise. As noted above, Binnie J. said "In this case, the parties are identical and the outer limits of 'mutuality' and of the 'same parties' requirement, need not be further addressed". Doherty J.A. said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controversy arises over a party's right to relitigate a decided issue, important principles that are at the core of the due administration of justice clash. Parties who seek to relitigate stress their "right" to a decision on the merits made after they have had a full opportunity to present their case before the tribunal charged with the responsibility of rendering a decision. Those who resist relitigation assert their "right" to rely on this determination. All parties insist that "justice" is achieved by the position they assert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to permit relitigation, a court or tribunal must decide whether finality concerns should outweigh an individual litigant's claim that the justice of the specific case warrants relitigation. That determination is fact specific and requires that the court or tribunal weigh these competing considerations in context of the facts of the particular case. Not all relitigation compromises finality concerns to the same extent and finality is not as important in some facets of the law as in others. Similarly, a claim that the justice of the individual case requires relitigation is much stronger in some situations than in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footnote 10 to para. 84, Doherty J.A. stated in commenting on the arbitrator's ruling in the case before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reasons, the arbitrator suggested that it would be Kafkaesque if Oliver could not maintain his innocence in the arbitration proceedings. In my view, the more appropriate literary allusion is to Dickens' Mr. Bumble. The inconsistent results achieved in the two proceedings could lead the reasonable person to conclude that Mr. Bumble was correct when he described the law as "an ass" and "an idiot".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seems to me that the proposition advanced by McEachern C.J.S.C. that is the ratio in Saskatoon Credit Union is not inconsistent with either Danyluk or City of Toronto. Namely, "no one can relitigate a cause of action or an issue that has previously been decided against him ... where he has or could have participated in the previous proceedings, unless some overriding question of fairness requires a rehearing" (McEachern C.J.S.C. at p. 438).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overriding question of fairness mentioned by McEachern C.J.S.C. was also mentioned by Doherty J. A. when he said at para. 100 of the City of Toronto decision: "justice requires relitigation", and was mentioned by Binnie J. in Danyluk at para. 67: "[t]he objective is to ensure ... the orderly administration of justice but not at the cost of real injustice in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Binnie J. noted at para. 63 that issue estoppel is closely related to abuse of process. Indeed the application of the factors suggested by Binney J. in the second discretionary stage of his res judicata analysis is not dissimilar from the analysis of abuse of process by Doherty J.A. in the City of Toronto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Here, in the Withler case, the doctrine of abuse of process could be applied because the issue of discrimination was decided against the federal government. The issue that remains to be decided in this case is whether it is in the interests of justice that it ought to be found that an abuse of process would occur if the constitutionality of the impugned provisions of the Plan were relitigated.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process -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What factors should I apply in exercising my discretion to decide if relitigation is or is not permissible? Mr. Sgayias for the Attorney General of Canada argues that the doctrine of abuse of process is not the doctrine of res judicata absent the mutuality requirement. He says that the relitigation must be found to be offensive in some way, in order for the doctrine of abuse of process to apply. Otherwise, he submits, abuse of process would just "swallow up res judicata". He says relitigation is not equivalent to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noted above, the factors which favour the application of the doctrine of abuse of process are not dissimilar from the type of factors which Binnie J. applied in the second stage of his res judicata analysis in Danyluk. (See also Hunter v. Chief Constable of the West Midlands, [1981] A.C. 529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factors which I consider important in deciding whether to exercise my discretion to prevent the relitigation of the issue decided in Margolis are the following:</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Character of the litigation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Inconsistent results with other litigation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all issues inherent to the litigation were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examining the factors which balance the interests of justice in this case, I turn first to the characterization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Character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Withler case is public law litigation. The constitutional validity of legislation is challenged in this case. The law presumes that the public interest is engaged (RJR MacDonald Inc. v. Canada (Attorney General), </w:t>
      </w:r>
      <w:hyperlink r:id="rId339"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xml:space="preserve"> at 346.). The question of the applicability of the doctrine of res judicata or abuse of process in public law litigation was examined in the American case of United States v. Mendoza, 464 U.S. 154 (1984). Mr. Mendoza, a Filipino national, filed a petition for naturalization under the Nationality Act of 1940. A naturalization examiner recommended denial of the petition but the Federal District Court granted the petition on the ground that the government was collaterally estopped from litigating the constitutional issue because of an earlier unappealed Federal District Court decision against the government in a case brought by other Filipino nationals on the same grounds. The U.S. Court of Appeals (9th circuit) held that estoppel did not apply. Mr. Justice Rehnquist delivered the unanimous opinion of the United States Supreme Court affirming that decision. At p. 159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long recognized that "the Government is not in a position identical to that of a private litigant," INS v. Hibi, 414 U.S. 5, 8 (1973) (per curiam), both because of the geographic breadth of Government litigation and also, most importantly, because of the nature of the issues the Government litigates. It is not open to serious dispute that the Government is a party to a far greater number of cases on a nationwide basis than even the most litigious private entity; in 1982, the United States was a party to more than 75,000 of the 206,193 filings in the United States District Courts. Administrative Office of the United States Courts, Annual Report of the Director 98 (1982). In the same year the United States was a party to just under 30% of the civil cases appealed from the District Courts to the Court of Appeals. Id., at 79, 82. Government litigation frequently involves legal questions of substantial public importance; indeed, because the proscriptions of the United States Constitution are so generally directed at governmental action, many constitutional questions can arise only in the context of litigation to which the Government is a party. Because of those facts the Government is more likely than any private party to be involved in lawsuits against different parties which nonetheless involve the same legal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rule allowing nonmutual collateral estoppel against the Government in such cases would substantially thwart the development of important questions of law by freezing the first final decision rendered on a particular legal issue. Allowing only one final adjudication would deprive this Court of the benefit it receives from permitting several courts of appeals to explore a difficult question before this Court grants certiorari.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the bottom of p. 160: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Appeals faulted the Government in this case for failing to appeal a decision that it now contends is erroneous. 672 F. 2d, at 1326-1327. But the Government's litigation conduct in a case is apt to differ from that of a private litigant. Unlike a private litigant who generally does not forgo an appeal if he can prevail, the Solicitor General considers a variety of factors, such as the limited resources of the Government and the crowded dockets of the courts, before authorizing an appeal. The application of nonmutual estoppel against the Government would force the Solicitor General to abandon those prudential concerns and to appeal every adverse decision in order to avoid foreclosing further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critical commentary of the Mendoza decision was published in a Note to the Harvard Law Review, Vol. 99: 847 (1986) entitled Collateral Estoppel and Non-Acquiescence: Precluding Government Relitigation in the Pursuit of Litigant Equality. The authors pointed out the unfairness to impecunious litigants, in particular, when federal agencies refused to abide by decisions of federal courts. The article points out that the Mendoza decision supports a policy of administrative agency non-acquiescence. Notwithstanding a spirited attack on Mendoza, the authors concede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Instead courts should assess and balance on a case by case basis, the special needs of the government as defendant and the needs of individual private plaintiffs... For example, a court might be more reluctant to preclude relitigation of constitutional issues.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Courts have been less inclined to invoke the doctrine of res judicata (and by implication, the doctrine of abuse of process) in public law litigation. In the case of Jhammat v. Canada (Minister of Employment and Immigration) </w:t>
      </w:r>
      <w:hyperlink r:id="rId340" w:history="1">
        <w:r>
          <w:rPr>
            <w:rFonts w:ascii="arial" w:eastAsia="arial" w:hAnsi="arial" w:cs="arial"/>
            <w:i/>
            <w:color w:val="0077CC"/>
            <w:sz w:val="20"/>
            <w:u w:val="single"/>
            <w:shd w:val="clear" w:color="auto" w:fill="FFFFFF"/>
            <w:lang w:val="en-US" w:eastAsia="en-US" w:bidi="ar-SA"/>
          </w:rPr>
          <w:t>(1988), 6 Imm. L.R. (2d) 166</w:t>
        </w:r>
      </w:hyperlink>
      <w:r>
        <w:rPr>
          <w:rFonts w:ascii="arial" w:eastAsia="arial" w:hAnsi="arial" w:cs="arial"/>
          <w:color w:val="000000"/>
          <w:sz w:val="20"/>
          <w:lang w:val="en-US" w:eastAsia="en-US" w:bidi="ar-SA"/>
        </w:rPr>
        <w:t xml:space="preserve"> (Fed. T.D.), Muldoon J. said at p. 177: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important objects of public law are not to be thwarted by the application of the judge-made law on res judicata, as if the parties were litigating a dispute founded in private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International Paper Industries Inc. v. Top Line Industries Inc. </w:t>
      </w:r>
      <w:hyperlink r:id="rId13" w:history="1">
        <w:r>
          <w:rPr>
            <w:rFonts w:ascii="arial" w:eastAsia="arial" w:hAnsi="arial" w:cs="arial"/>
            <w:i/>
            <w:color w:val="0077CC"/>
            <w:sz w:val="20"/>
            <w:u w:val="single"/>
            <w:shd w:val="clear" w:color="auto" w:fill="FFFFFF"/>
            <w:lang w:val="en-US" w:eastAsia="en-US" w:bidi="ar-SA"/>
          </w:rPr>
          <w:t>(1996), 20 B.C.L.R. (3d) 41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Arvay, for Withler, emphasizes that in the Margolis case a Notice of Constitutional Question was filed. That Notice challenged the constitutionality of the reduction provisions of the Plan which are at issue in the within litigation. He points out that the reason for the requirement of service of a constitutional question is obvious. The law being challenged is the product of a democratic will and the Attorney General has a duty to uphold that will. Having done so, but without success in Margolis, Mr. Arvay asks why the federal government should have the opportunity to do it again. The federal government argues that it is in the public interest to allow relitigation in this case. Mr. Arvay says once legislation is struck down it cannot be in the public interest to litigate the same issue again. He says that once the law is declared unconstitutional, that judgment regarding the law is a decision in rem. However, the decision of Coquitlam (City) v. Construction Aggregates Ltd. </w:t>
      </w:r>
      <w:hyperlink r:id="rId341" w:history="1">
        <w:r>
          <w:rPr>
            <w:rFonts w:ascii="arial" w:eastAsia="arial" w:hAnsi="arial" w:cs="arial"/>
            <w:i/>
            <w:color w:val="0077CC"/>
            <w:sz w:val="20"/>
            <w:u w:val="single"/>
            <w:shd w:val="clear" w:color="auto" w:fill="FFFFFF"/>
            <w:lang w:val="en-US" w:eastAsia="en-US" w:bidi="ar-SA"/>
          </w:rPr>
          <w:t>(1998), 65 B.C.L.R. (3d) 275</w:t>
        </w:r>
      </w:hyperlink>
      <w:r>
        <w:rPr>
          <w:rFonts w:ascii="arial" w:eastAsia="arial" w:hAnsi="arial" w:cs="arial"/>
          <w:color w:val="000000"/>
          <w:sz w:val="20"/>
          <w:lang w:val="en-US" w:eastAsia="en-US" w:bidi="ar-SA"/>
        </w:rPr>
        <w:t xml:space="preserve"> (S.C.) held that judgments as to the constitutionality of taxing legislation were not in rem.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para. 17 Errico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judicial decision deciding the constitutionality of taxing legislation is to be considered as a judgment in rem, the results could be remarkable. If I, as a trial judge, make such a determination and that judgment is not appealed, then it would stand against all persons not privy to the decision and the decision could not thus be later tested at the appellate level. While the definition of a judgment in rem appears straight forward, the determination of whether a judgment is a judgment in rem or in personam is not clear. There has been no decision cited to me by counsel or of which I have been able to locate as to whether a judgment on constitutional issues can be a judgment in rem.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can be no doubt that the federal government was aware of the potential importance of the Margolis litigation during its pendancy. It is unknown why the government chose neither to defend Margolis on the basis of s. 1 of the Charter or later to appeal the decision. Mr. Sgayias says it is improper to make inquiries about, or to lead evidence as to, the reasons for counsel's decisions regarding the Margolis case. What is clear, however, is that Margolis concerned a claim for approximately $148,000 and involved one plaintiff whereas the Withler class action involves a claim estimated to be about $1.8 billion and one that affects tens of thousands of persons and moreover might threaten the fund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Arvay says that the only way the Margolis decision would be of no consequence to the federal government would be if the government ignored the judgment. This is the concept of administrative non-acquiescence discussed in the Harvard Law Review commentary on the Mendoza case. Mr. Arvay says the federal government had to know there were "many Mrs. Margolises out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the public law nature of the question of the constitutionality of the reduction provisions outweighs the finality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good reason to hold that a judgment as to a constitutional question is not necessarily binding as res judicata, but is only binding as precedent under the doctrine of stare decisis. The policy reasons concerning public law litigation mentioned in Mendoza are also relevant in Canada. Although both the plaintiffs and the defendant in the case before me say that the judgment in Margolis was one based on mixed fact and law, a close examination of the jugment of Campbell J. in Margolis discloses that the finding of discrimination is closer to a finding of law (that the Reduction Provision infringed the Charter) than a finding of fact. There is no finding of fact in the Margolis judgment which is personal to Margolis other than the fact Dr. Margolis, the plan participant, died at the age of 69. This application brings to light the overlapping nature of the doctrine of res judicata (or abuse of process) and the doctrine of stare decisis.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overlap between res judicata and stare decisis was noted by D.J. Lang in his text The Doctrine of Res Judicata in Canada (Toronto: Butterworths, 2000). At p. 385 the author says that the doctrines have been used interchangeably, and that a court may apply the decisions of one proceeding to another through stare decisis rather than through issue estoppel. He notes that failing to follow a decision of a court of appeal given in the very same matter with which the judge is seized is "not only a breach of the doctrine of stare decisis, but a breach of the doctrine of issue estoppel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This overlap issue arises often in the circumstances of assessing whether a provision of the Criminal Code found to be unconstitutional in one jurisdiction is also invalid in other jurisdictions. When such an issue of constitutionality arises, "a trial judge ... must address his or her own mind to the question and come to a conclusion in the absence of authority binding from above" (per Southin J.A.), R. v. Silbernagel, </w:t>
      </w:r>
      <w:hyperlink r:id="rId342" w:history="1">
        <w:r>
          <w:rPr>
            <w:rFonts w:ascii="arial" w:eastAsia="arial" w:hAnsi="arial" w:cs="arial"/>
            <w:i/>
            <w:color w:val="0077CC"/>
            <w:sz w:val="20"/>
            <w:u w:val="single"/>
            <w:shd w:val="clear" w:color="auto" w:fill="FFFFFF"/>
            <w:lang w:val="en-US" w:eastAsia="en-US" w:bidi="ar-SA"/>
          </w:rPr>
          <w:t>[2000] B.C.J. No. 734</w:t>
        </w:r>
      </w:hyperlink>
      <w:r>
        <w:rPr>
          <w:rFonts w:ascii="arial" w:eastAsia="arial" w:hAnsi="arial" w:cs="arial"/>
          <w:color w:val="000000"/>
          <w:sz w:val="20"/>
          <w:lang w:val="en-US" w:eastAsia="en-US" w:bidi="ar-SA"/>
        </w:rPr>
        <w:t xml:space="preserve">. In R. v. Pete, </w:t>
      </w:r>
      <w:hyperlink r:id="rId343" w:history="1">
        <w:r>
          <w:rPr>
            <w:rFonts w:ascii="arial" w:eastAsia="arial" w:hAnsi="arial" w:cs="arial"/>
            <w:i/>
            <w:color w:val="0077CC"/>
            <w:sz w:val="20"/>
            <w:u w:val="single"/>
            <w:shd w:val="clear" w:color="auto" w:fill="FFFFFF"/>
            <w:lang w:val="en-US" w:eastAsia="en-US" w:bidi="ar-SA"/>
          </w:rPr>
          <w:t>[1998] B.C.J. No. 653</w:t>
        </w:r>
      </w:hyperlink>
      <w:r>
        <w:rPr>
          <w:rFonts w:ascii="arial" w:eastAsia="arial" w:hAnsi="arial" w:cs="arial"/>
          <w:color w:val="000000"/>
          <w:sz w:val="20"/>
          <w:lang w:val="en-US" w:eastAsia="en-US" w:bidi="ar-SA"/>
        </w:rPr>
        <w:t xml:space="preserve"> (C.A.) the court addressed whether s. 279(3) of the Code, held invalid by the Ontario Court of Appeal in 1985, and by a trial court in Alberta, was still valid for the purposes of a trial in a B.C. court. Esson J.A., citing Wolf v. The Queen </w:t>
      </w:r>
      <w:hyperlink r:id="rId344" w:history="1">
        <w:r>
          <w:rPr>
            <w:rFonts w:ascii="arial" w:eastAsia="arial" w:hAnsi="arial" w:cs="arial"/>
            <w:i/>
            <w:color w:val="0077CC"/>
            <w:sz w:val="20"/>
            <w:u w:val="single"/>
            <w:shd w:val="clear" w:color="auto" w:fill="FFFFFF"/>
            <w:lang w:val="en-US" w:eastAsia="en-US" w:bidi="ar-SA"/>
          </w:rPr>
          <w:t>(1974), 17 C.C.C. (2d) 425</w:t>
        </w:r>
      </w:hyperlink>
      <w:r>
        <w:rPr>
          <w:rFonts w:ascii="arial" w:eastAsia="arial" w:hAnsi="arial" w:cs="arial"/>
          <w:color w:val="000000"/>
          <w:sz w:val="20"/>
          <w:lang w:val="en-US" w:eastAsia="en-US" w:bidi="ar-SA"/>
        </w:rPr>
        <w:t xml:space="preserve"> (S.C.C.), held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has his own view that it is wrong, once one court has declared a section invalid, for all courts in Canada to not thereunder treat the section as of no effect unless and until the Supreme Court of Canada rules otherwise. In our view, that simply is not the law, and if it were, would tend to create chaos in our system of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addition, it is important to note that the development of the law benefits from a number of courts addressing issues, in particular, the constitutional validity of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my view that the nature of this litigation is a factor which weighs in favour of permitting relitigation. The interests at stake in this litigation compared to the Margolis litigation also favour relitigation.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Inconsistent Result with Margolis or Fitzsimonds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argue that the prospect of inconsistent results between the Margolis case and the Withler litigation should inevitably lead the court to the conclusion that the abuse of process doctrine should be applied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agree with Mr. Sgayias when he says, "Within a federal system of fourteen separate superior courts (one in each province and territory, plus the Federal Court), inconsistent results on issues of public law are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important to note that the concern for judicial finality has two aspects - one personal and one institutional. The personal aspect is not engaged in the present case. Mrs. Margolis has secured her remedy and has no involvement in the Withler litigation. It is only the issue of institutional finality that is engaged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Moreover, the Court could come to a result in the Fitzsimonds litigation which is different than the result in Margolis. The Fitzsimonds case is, I am told, based on similar legislation benefiting members of the armed services of Canada. Mr. Arvay argues that that case is not before me and if Fitzimonds does go to trial it will be because there are differences in fact, laws, or regulations. He says it is important that the Withler class and Mrs. Margolis be treated the same. It is not now known if a similar application to the one at bar will be brought in Fitzsimonds litigation. It is not possible to know the result of such an application if it were made. There exists a possibility of an inconsistent result between Margolis and Fitzsimonds.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spectre of a result inconsistent with Margolis is in this case, at the very least, a neutral factor in the exercise of my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Issues Not Decided In Margolis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his brief the Attorney General says "Unlike in Margolis v. Canada, in the present action there is a claim for declaratory relief under s. 52(1) of the Constitution Act, 1982. The Attorney General says that the declaratory relief claim opens the proper remedial analysis as explained in Schachter v. Canada,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According to Schacter, if the impugned legislative provisions violate s. 15 of the Charter, and cannot be justified under s. 1, the court must consider whether to sever the offending provisions, read in an extension of the benefit, or strike down the provisions with or without temporary suspension of the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correctly point to the 'Rule in Henderson' which is that the plea of res judicata applies not only to points upon which the court was actually required by the parties to pronounce a judgment, but also to every point which properly belonged to the subject of the litigation, and which the parties with reasonable diligence might have brought forward at the time (Henderson v. Henderson (1843), 67 E.R. 313 (Q.B.); D.J. Lange, The Doctrine of Res Judicata in Canada (supra) at p. 50). A strict application of the doctrine of res judicata and the reasoning in the Henderson case leads to the result that the federal government would be precluded from arguing s. 1 and the Schacter analysis. Although in the second stage of the res judicata analysis a court might be persuaded to exercise its discretion not to apply the Rule in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Schachter analysis was not done in the Margolis litigation and although it could be said that it was the responsibility of the Crown to bring the argument to the court's attention (which was not done), the decision not to advance the analysis may have been made based on the lack of a claim for declaratory relief, as noted above. I conclude that there remain issues which were not decided in Margolis that, in the interest of fairness and justice, and considering the interests at stake in the class action, ought to be or may need to be decided in the Withler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not agree with the plaintiff that the statement of defence in this case constitutes a collateral attack on a judgment of the Federal Court of Canada in the Margolis action. The validity of the federal court judgment is not at issue in the present action. I agree with the Attorney General that it is the doctrine of stare decisis, rather than collateral attack or any related doctrine, that applies in the present case. Under the doctrine of stare decisis, the Court is of course not bound by a decision of the Federal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persuaded that I ought not exercise my discretion to apply the doctrine of abuse of process to prevent relitigation of the constitutionality of the Reduction Provisions. The interests at stake, the public as opposed to private law nature of the action, and the potential for inconsistent results in the companion Fitzsimonds litigation weigh in favour of permitting the Withler litigation to go forward to be decided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would have reached the same conclusion even had I found that the plaintiffs were privies with Mrs. Margolis. The second stage of the res judicata analysis (as described in Danyluk) would have led me to the same conclusion regarding the exercise of discretion. That is not to say that the tests are identical. They are not. The onus on a plaintiff to prove abuse of process is greater than the onus on the plaintiff to persuade a court it ought to apply the doctrine of res judicata. Here the plaintiffs could not discharge either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A.B. (Guardian ad litem of) v. Thai, [2005] B.C.J. No. 1240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17,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31, 2005.</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S062622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1240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797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139 A.C.W.S. (3d) 677</w:t>
      </w:r>
    </w:p>
    <w:p>
      <w:pPr>
        <w:spacing w:before="120" w:line="260" w:lineRule="atLeast"/>
        <w:rPr>
          <w:lang w:val="en-US" w:eastAsia="en-US" w:bidi="ar-SA"/>
        </w:rPr>
      </w:pPr>
      <w:r>
        <w:rPr>
          <w:rFonts w:ascii="arial" w:eastAsia="arial" w:hAnsi="arial" w:cs="arial"/>
          <w:color w:val="000000"/>
          <w:sz w:val="20"/>
          <w:lang w:val="en-US" w:eastAsia="en-US" w:bidi="ar-SA"/>
        </w:rPr>
        <w:t>Between A.B., by his Guardian ad Litem, C.B., plaintiff, and Thien To Thai and Ngoc Thach Thai,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9"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8" w:name="Keywords_16"/>
      <w:bookmarkEnd w:id="118"/>
      <w:r>
        <w:rPr>
          <w:rFonts w:ascii="arial" w:eastAsia="arial" w:hAnsi="arial" w:cs="arial"/>
          <w:b/>
          <w:color w:val="000000"/>
          <w:sz w:val="20"/>
          <w:lang w:val="en-US" w:eastAsia="en-US" w:bidi="ar-SA"/>
        </w:rPr>
        <w:t xml:space="preserve">Civil procedure — Settlements — Approval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9" w:name="Case Summary_16"/>
            <w:bookmarkEnd w:id="11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A.B., by his Guardian ad litem, CB, and the defendants, Thien Thai and Ngoc Thai, for approval of an infant settlement based on 50% liability. AB was nine years of age when he was struck by a motor vehicle as he attempted to run across a road. He was rendered unconscious for a matter of minutes. No brain injury was detected. AB suffered some soft tissue injury. After the accident AB did very poorly in school. The parties agreed on a settlement in the amount of $100,000 plus taxable costs and disbursements. The Public Guardian and Trustee did not approve the settlement and opposed the application on the basis that it was too early to assess whether AB would suffer from any long-term disability as a result of the accident.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allowed. AB performed poorly in school prior to and after the accident. He was identified in kindergarten as having learning difficulties and possibly attention deficit hyperactivity disorder. It was not clear that a judge would find that the accident caused AB's continuing cognitive difficulties. AB would take a significant risk of losing on the causation issue if the settlement were not approved. </w:t>
            </w:r>
            <w:r>
              <w:rPr>
                <w:lang w:val="en-US" w:eastAsia="en-US" w:bidi="ar-SA"/>
              </w:rPr>
              <w:cr/>
            </w:r>
          </w:p>
          <w:p>
            <w:pPr>
              <w:rPr>
                <w:lang w:val="en-US" w:eastAsia="en-US" w:bidi="ar-SA"/>
              </w:rPr>
            </w:pPr>
          </w:p>
        </w:tc>
      </w:tr>
    </w:tbl>
    <w:p>
      <w:pPr>
        <w:jc w:val="both"/>
        <w:rPr>
          <w:lang w:val="en-US" w:eastAsia="en-US" w:bidi="ar-SA"/>
        </w:rPr>
      </w:pPr>
      <w:bookmarkStart w:id="120" w:name="Counsel_16"/>
      <w:bookmarkEnd w:id="12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0"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Brian L. Gibbard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Dennis Quinlan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Public Guardian and Trustee of British Columbia: Joe Battista</w:t>
      </w:r>
      <w:r>
        <w:rPr>
          <w:lang w:val="en-US" w:eastAsia="en-US" w:bidi="ar-SA"/>
        </w:rPr>
        <w:cr/>
      </w:r>
    </w:p>
    <w:p>
      <w:pPr>
        <w:spacing w:after="240"/>
        <w:rPr>
          <w:lang w:val="en-US" w:eastAsia="en-US" w:bidi="ar-SA"/>
        </w:rPr>
      </w:pPr>
      <w:bookmarkStart w:id="121" w:name="Judgment_16"/>
      <w:bookmarkEnd w:id="121"/>
      <w:r>
        <w:pict>
          <v:line id="_x0000_s1111" style="position:absolute;z-index:25177804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2" w:name="BENNETT J."/>
            <w:bookmarkEnd w:id="122"/>
            <w:r>
              <w:rPr>
                <w:rFonts w:ascii="arial" w:eastAsia="arial" w:hAnsi="arial" w:cs="arial"/>
                <w:b/>
                <w:color w:val="000000"/>
                <w:sz w:val="30"/>
                <w:lang w:val="en-US" w:eastAsia="en-US" w:bidi="ar-SA"/>
              </w:rPr>
              <w:t>BENNETT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to approve an infant settlement. The plaintiff and defendant have agreed on a settlement for the sum of $100,000 plus taxable costs and disbursements, subject to court approval. The Public Guardian and Trustee has not given its approval to the settlement and opposed this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Introductory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on May 9, 2000 at approximately 3:30 in the afternoon. The plaintiff was then nine years old. He was born on November 20, 1990. The plaintiff was crossing Douglas Road in Burnaby, B.C. and all counsel agree that he was crossing east to west at Woodsworth Street. He was struck by a vehicle travelling southbound on Douglas Street. There is a range of estimates with respect to the speed the vehicle was travelling, between 40 kilometres to 70 kilometres per hour. There was no marked crosswalk. The plaintiff was running across the street. There were children in the area and the defendant acknowledged that he saw children on the sidewalk. The defendant said he slowed when he saw the children, and that the plaintiff just ran out in front of him. He said he did not have time to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unconscious for some minutes. His Glasgow Coma Scale ranged from 10/15 at the scene, to 12/15 at the hospital. Medical examinations, including a CT scan showed no injury to his brain. He suffered some soft tissue injury as well. He was released on May 12, 2000, with a diagnosis of a closed-head injury and a concussion.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now in Grade 9 and doing very poorly in school. However, there is evidence he was not a successful student before the accident. This evidence will be reviewed in greater detail momentarily.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are liability and causation. The parties have resolved the claim on the basis that at trial, liability would likely be apportioned on a 50/50 basis.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its letter of statutory comments, the Public Guardian and Trustee stated the location of the accident incorrectly, as it states the child was crossing west to east. The Public Guardian and Trustee did not feel that a 50/50 division of liability was a reasonable assessment. However, as noted, this conclusion was based on an erroneous view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hearing, counsel for the Public Guardian and Trustee, who is very experienced in personal injury claims, did not dispute the position of plaintiff's counsel and defendants' counsel that this would likely result in a 50/50 split on the issue of liability. Having reviewed all of the material, I agree that this is a reasonable position to take. This is based on the understandably, inconsistent and divergent evidence provided by several eyewitnesses and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main issue and the basis on which the Public Guardian and Trustee opposes the settlement, is whether it is too early to assess whether the plaintiff will suffer from any long-term disability. Connected to this is the issue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 is whether the plaintiff's ongoing academic difficulties result from the head injury suffered in the accident. The main problem is that this child had significant problems in school prior to the accident. I have reviewed all of the school records, both prior and post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Three experts were involved in assessing the child with respect to whether there is an ongoing issue arising from the head injury. Dr. Cohen, a neuropsychologist, did extensive testing and also reviewed the school records. He concluded that there was a marked decline between Grades 4 and 5. The plaintiff was in Grade 4 at the time of the accident. He opined that this demonstrated that the plaintiff's school difficulties were related to the accident. This conclusion is not born out on a careful review of the records. The plaintiff actually improved between early Grade 4 and his final report, which was post accident. While his Grade 5 marks are lower than his Grade 4 marks, the significant decline occurred in the last two terms of Grade 5. His Grades in the first term were consistent with his pre-accident Grades in Grade 4. Dr. Cohen points to three B's in Grade 4. However, two of the three B Grades were for art and physical education. He also achieved a B in Science and had a C+ in his first term of science in Grade 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identified in kindergarten as having learning problems and possibly attention deficit hyperactivity disorder (ADHD). Repeated requests to his parents for tutoring and summer school do not, on the material before me, appear to have been followed up. There is no question that the plaintiff was struggling academically at a very early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His subsequent school records track continuing academic problems. For example, his Grade 2 end of year report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Challenges for Next Year</w:t>
      </w:r>
    </w:p>
    <w:p>
      <w:pPr>
        <w:spacing w:before="120" w:line="260" w:lineRule="atLeast"/>
        <w:ind w:left="720"/>
        <w:rPr>
          <w:lang w:val="en-US" w:eastAsia="en-US" w:bidi="ar-SA"/>
        </w:rPr>
      </w:pPr>
      <w:r>
        <w:rPr>
          <w:rFonts w:ascii="arial" w:eastAsia="arial" w:hAnsi="arial" w:cs="arial"/>
          <w:color w:val="000000"/>
          <w:sz w:val="20"/>
          <w:lang w:val="en-US" w:eastAsia="en-US" w:bidi="ar-SA"/>
        </w:rPr>
        <w:t>A.B. has made some progress this term, but still finds it hard to manage Grade Two level work. He continues to experience difficulties paying attention in class and sustaining concentration on tasks. A.B. receives extra help from teacher aides and constant encouragement in order to keep caught up in his work and do assignments with care. I have encouraged and cued A.B. several times to stay focused and get work done. A.B. should continue to practice reading in the summer as he needs to improve his reading fluency. Although his oral reading has improved, it still remains choppy. A.B. needs to memorize his math facts to twenty since he still relies on his ruler to help him figure these equations out. It would be beneficial for A.B. to receive extra instruction from a tutor in order to get ready for Grade Three curriculum.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A.B. changed schools after Grade 3. Initially he was not placed in learning assistance. Although the dates of events are not clear, it appears he was referred to learning assistance by his teacher.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His report at the end of Grade 6 is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A.B.'s final term pretty much mirrored the previous one. Some assignments were lost or not submitted, there was very little preparation for tests, and in class he is rarely on task or paying attention. A.B. is working well below grade level and although he is capable of better work, does not seem the least bit interested in making the effort. If he is to enter grade seven with any chance of being prepared for high school the following year, his summer must be totally dedicated to academics with the possible aid of a tutor. I hope for his sake he can adapt a new attitude toward his education and ultimately his future.</w:t>
      </w:r>
    </w:p>
    <w:p>
      <w:pPr>
        <w:spacing w:before="120" w:line="260" w:lineRule="atLeast"/>
        <w:ind w:left="720"/>
        <w:rPr>
          <w:lang w:val="en-US" w:eastAsia="en-US" w:bidi="ar-SA"/>
        </w:rPr>
      </w:pPr>
      <w:r>
        <w:rPr>
          <w:rFonts w:ascii="arial" w:eastAsia="arial" w:hAnsi="arial" w:cs="arial"/>
          <w:color w:val="000000"/>
          <w:sz w:val="20"/>
          <w:lang w:val="en-US" w:eastAsia="en-US" w:bidi="ar-SA"/>
        </w:rPr>
        <w:t>In Language Arts, A.B. continues to work below grade level expectations. On his Term 2 report card, he received an "I" indicated that his work was still in progress. An Elementary "I" Support Plan was developed by the classroom and resource room teachers in consultation with the mother. A.B. demonstrated the ability to complete the assigned work with accuracy and some degree of detail. The "I" was then converted into a C- on his second term report card. Unfortunately, his efforts and motivation to complete class assignments in LA did not continue throughout the 3rd term.</w:t>
      </w:r>
    </w:p>
    <w:p>
      <w:pPr>
        <w:spacing w:before="120" w:line="260" w:lineRule="atLeast"/>
        <w:ind w:left="720"/>
        <w:rPr>
          <w:lang w:val="en-US" w:eastAsia="en-US" w:bidi="ar-SA"/>
        </w:rPr>
      </w:pPr>
      <w:r>
        <w:rPr>
          <w:rFonts w:ascii="arial" w:eastAsia="arial" w:hAnsi="arial" w:cs="arial"/>
          <w:color w:val="000000"/>
          <w:sz w:val="20"/>
          <w:lang w:val="en-US" w:eastAsia="en-US" w:bidi="ar-SA"/>
        </w:rPr>
        <w:t>In Math, A.B. continues to experience difficulty meeting grade level expectations. Continued practice of Math basics through the summer should prove helpful next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Iverson, who is also a neuropsychologist, reviewed the records and the test results. He felt that Dr. Cohen's conclusions were not born out by the testing. His view was that the testing will not show a distinction between children with mild traumatic brain injury and children with ADHD.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Finally, Dr. Derryck Smith, who is pre-eminent in the field of child psychiatry, provided an expert opinion. He reviewed all the clinic records, the test results and opinion of Dr. Cohen and also examined the plaintiff. Dr. Smith concluded that the academic testing was consistent with the plaintiff's pre-accident performance. Dr. Smith stated, "[T]here is nothing in this report, [by Dr. Cohen] which can substantiate any additional problems in attention, concentration or other areas of functioning, that were different than his pre-existing difficulties."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Smith also extensively reviewed the school records and made comments similar to those I have noted above with respect to the Grade 4 and 5 years. Dr. Smith concluded that there were no ongoing problems resulting from the head injury. Dr. Smith did recommend that the plaintiff receive further testing and tutoring or specialized education, such as found at Fraser Academy.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reviewed all of the medical reports. On the material before me, I do not agree with the conclusions Dr. Cohen drew from the school reports. His conclusions seem to be that the child was doing better before the accident and there was a dramatic shift downwards after the accident. The evidence does not support this conclusion. The child did poorly before the accident and continued to do poorly. There were a number of recommendations for tutoring and other support for him before the accident. It may be that I have not been provided with the material, but there is nothing in the material that suggests his parents followed up on this until much later. It appears that this child did not get appropriate academic support pre-accident.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he has continuing and serious problems in school to date. He is presently in Grade 9 and doing very poorly in almost all of his subjects.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Having viewed all of the material, it is not clear to me that a judge would find causation with respect to the injuries. I conclude that the plaintiff would be taking a significant risk of losing this issue at trial if this settlement was not approved at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indicate that the issue will go to trial if this settlement is not approved.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Further, on a practical level, this child needs, at this point in his life, either intensive tutoring or preferably to attend Fraser Academy or a similarly speciality school. If he was able to attend Fraser Academy now, there is a chance that he might well improve in his academic standing. Waiting to see if he graduates from high school without giving him any assistance, to me is not acting in the best interests of the child. A settlement now will provide him with the financial resources he would need to access a school such as Fraser Academy.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no need for me to review the case law cited to me in terms of whether the settlement amount is appropriate. The figure, as the situation stands today, is a reasonable settlement and within the range demonstrated by the authorities. There is no doubt the claim would be larger, and perhaps substantially larger, if the plaintiff was unable to graduate from high school due to the injuries from the accident. However, as noted above, it would, from the material before me, be difficult for the plaintiff to establish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plaintiff and defendant are both very experienced litigators. I believe they have weighed the evidence each expects to be called and has determined a fair settlement given the risks each would face if this matter went to trial. This is clearly not a "blind compromise" but a careful assessment of the evidence, the liability issues and the causation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Public Guardian and Trustee does not object to the legal fees proposed, which are very reasonable. The plaintiff's mother is an employee of her counsel's law firm and the firm has charged a minimal fee for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Therefore, the application for approval of the Infant Settlement is granted.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BENNETT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Amezcua v. Taylor, [2008] B.C.J. No. 2074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S.S. Stromberg-Stein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M001961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2074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173 A.C.W.S. (3d) 423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Justine Amezcua, Plaintiff, and Stephanie Taylor,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3" w:name="Keywords_17"/>
      <w:bookmarkEnd w:id="123"/>
      <w:r>
        <w:rPr>
          <w:rFonts w:ascii="arial" w:eastAsia="arial" w:hAnsi="arial" w:cs="arial"/>
          <w:b/>
          <w:color w:val="000000"/>
          <w:sz w:val="20"/>
          <w:lang w:val="en-US" w:eastAsia="en-US" w:bidi="ar-SA"/>
        </w:rPr>
        <w:t>Civil litigation — Civil procedure — Parties — Adding or substituting — After expiry of limitation period — Appeal allowed — The plaintiff sought damages arising from a vehicular accident with an on-duty RCMP officer — Seven years after expiration of the limitation period, the plaintiff obtained an order adding the Minister as a party — The Master found that no prejudice arose from the delay, as the Minister was always aware of the proceedings — The court found that the Master clearly erred in his approach by failing to specifically consider the limitation period — The length of delay, the reasons therefor, and the related prejudice militated against addition of the Minister as a party — British Columbia Supreme Court Rules, Rule 15(5)(a)(iii).</w:t>
      </w:r>
    </w:p>
    <w:p>
      <w:pPr>
        <w:jc w:val="both"/>
        <w:rPr>
          <w:rFonts w:ascii="arial" w:eastAsia="arial" w:hAnsi="arial" w:cs="arial"/>
          <w:sz w:val="20"/>
          <w:lang w:val="en-US" w:eastAsia="en-US" w:bidi="ar-SA"/>
        </w:rPr>
      </w:pPr>
      <w:bookmarkStart w:id="124" w:name="Legislation Cited_13"/>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4"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359" w:history="1">
        <w:r>
          <w:rPr>
            <w:rFonts w:ascii="arial" w:eastAsia="arial" w:hAnsi="arial" w:cs="arial"/>
            <w:i/>
            <w:color w:val="0077CC"/>
            <w:sz w:val="20"/>
            <w:u w:val="single"/>
            <w:shd w:val="clear" w:color="auto" w:fill="FFFFFF"/>
            <w:lang w:val="en-US" w:eastAsia="en-US" w:bidi="ar-SA"/>
          </w:rPr>
          <w:t>RSBC 1996, CHAPTER 367, s. 11</w:t>
        </w:r>
      </w:hyperlink>
      <w:r>
        <w:rPr>
          <w:rFonts w:ascii="arial" w:eastAsia="arial" w:hAnsi="arial" w:cs="arial"/>
          <w:color w:val="000000"/>
          <w:sz w:val="20"/>
          <w:lang w:val="en-US" w:eastAsia="en-US" w:bidi="ar-SA"/>
        </w:rPr>
        <w:t>, s. 14, s.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5" w:name="Counsel_17"/>
      <w:bookmarkEnd w:id="1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Harbut.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S.G. Pereira.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17"/>
      <w:bookmarkEnd w:id="126"/>
      <w:r>
        <w:pict>
          <v:line id="_x0000_s1116"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S.S. STROMBERG-STEIN J. (orally)"/>
            <w:bookmarkEnd w:id="127"/>
            <w:r>
              <w:rPr>
                <w:rFonts w:ascii="arial" w:eastAsia="arial" w:hAnsi="arial" w:cs="arial"/>
                <w:b/>
                <w:color w:val="000000"/>
                <w:sz w:val="30"/>
                <w:lang w:val="en-US" w:eastAsia="en-US" w:bidi="ar-SA"/>
              </w:rPr>
              <w:t>S.S. STROMBERG-STEIN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Minister appeals the order of a Master pronounced August 15, 2008 allowing the plaintiff's application to add the Minister as a party pursuant to Rule 15(5)(a)(iii)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defendant submits that the Master erred in his interpretation and application of the legal test to be applied on such an application and in doing so fettered his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facts are as follows. The action involves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arising from a motor vehicle accident between the plaintiff and the defendant, Stephanie Taylor, a member of the Royal Canadian Mounted Police, on October 22, 1999. The limitation period for commencing an action arising from the motor vehicle accident expired October 21, 2001. A Writ of Summons and Statement of Claim were filed eight and a half years ago, on April 28, 2000. The only defendant named in the Writ of Summons and the Statement of Claim was Stephanie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Statement of Defence delivered June 30, 2000, Constable Taylor pleaded that she was at all material times acting in the course and scope of the execution of her duties as a peace officer and a member of the RCMP. Constable Taylor further pleaded that the collision was a result of simple and regular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and that no action lies against her by virtue of ss. 14 and 21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makes the Minister vicariously liable for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police officers acting in the course of their duties but not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Over the course of the litigation, spanning more than eight years, counsel for Constable Taylor, the Department of Justice, repeatedly advised plaintiff's counsel of the deficiency in the pleadings, the complete statutory defence available to Constable Taylor, and Constable Taylor's intention to rely on that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16, 2007, in a letter, Department of Justice counsel first mentioned the possibility of bringing a motion to strike the action. Notwithstanding, over the years counsel for the Department of Justice invited proposals from plaintiff's counsel, and apparently one offer to settle was left open to January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Despite knowing about the deficiency in her pleadings as early as June 2000, which was prior to the expiration of the limitation period, the plaintiff failed to take any steps to add or substitute the correct defendant until the August 15, 2008 application before the Master. This application was made nearly nine years from the date the cause of action arose and nearly seven years from the date the limitation period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August 15, 2008, the Master granted the plaintiff's motion to add the Minister as a party and to change the style of cause. The Master held that some of the factors to consider on such an application were the extent of the delay, the reasons for the delay, prejudice caused by the delay, and the connection between the existing claim and the proposed new cause of action. The Master accounted for only four of five factors identified in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(C.A.), and did not refer to a fifth factor, namely, the expiration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considering the four stated factors, the Master found that the delay of nearly nine years in bringing the application was "inordinate" and that the reasons for that delay were "non-sensical". Specifically, the Master found that the plaintiff did not get around to making the necessary application because there was some hope of settlement with the existing defendant. However, the Master noted that each time settlement was raised by the existing defendant, the deficiency in the plaintiff's pleadings and the absence of any liability on the existing defendant were also raised. The Master found that there was a connection between the existing claim and the proposed new cause of action, which is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respect to the issue of prejudice, the Master stated as follows, commencing at para. 6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net result of that, as I see it, is simply that the ultimate party responsible for defending and paying any claim was, throughout, kept fully apprised of all pertinent facts and issues relating to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Under those circumstances, I cannot imagine any basis for concluding that it would not be just and convenient to add the provincial minister. The ultimate result of this would appear, on the face of it, to be an absurdity. The plaintiff names the wrong defendant, is told of the error, does nothing for nine years, and then comes along nine years later and, with virtual immunity, then changes the pleadings and names the right defendant. As I say, on the face of it, that does not speak well for the existence of any rules of practice, but on the authorities that were presented to me, it would appear that that really does not matter. If someone takes nine years or 19 years or 29 years to get around to doing what they ought to have done initially, but the other side suffers no prejudice, no consequences, as a result of that failure, then there is apparently nothing I can do about that situation. Maybe that is the way it should be. On the basis of the authorities to which I was referred, I have no choice but to grant the application, and I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takes issue with these comments of the Master, arguing the Master failed to consider the expiration of the limitation period and the presumed prejudice arising therefrom. The defendant also argues that the Master fettered his discretion, by suggesting that notwithstanding the inordinate delay and the non-sensical reasons for the delay, apparently there was nothing he could do about the situation and that he had no choice but to grant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15(5)(a)(iii), as relevant,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An order under this rule is discretionary. </w:t>
      </w:r>
      <w:r>
        <w:rPr>
          <w:rFonts w:ascii="arial" w:eastAsia="arial" w:hAnsi="arial" w:cs="arial"/>
          <w:b/>
          <w:i/>
          <w:color w:val="000000"/>
          <w:sz w:val="20"/>
          <w:lang w:val="en-US" w:eastAsia="en-US" w:bidi="ar-SA"/>
        </w:rPr>
        <w:t>Teal Cedar Products</w:t>
      </w:r>
      <w:r>
        <w:rPr>
          <w:rFonts w:ascii="arial" w:eastAsia="arial" w:hAnsi="arial" w:cs="arial"/>
          <w:color w:val="000000"/>
          <w:sz w:val="20"/>
          <w:lang w:val="en-US" w:eastAsia="en-US" w:bidi="ar-SA"/>
        </w:rPr>
        <w:t>provides the following principles with respect to the proper exercise of discretion under Rule 15(5),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Teal Cedar Products</w:t>
      </w:r>
      <w:r>
        <w:rPr>
          <w:rFonts w:ascii="arial" w:eastAsia="arial" w:hAnsi="arial" w:cs="arial"/>
          <w:color w:val="000000"/>
          <w:sz w:val="20"/>
          <w:lang w:val="en-US" w:eastAsia="en-US" w:bidi="ar-SA"/>
        </w:rPr>
        <w:t>, the Court of Appeal held that the Chambers Judge erred by unduly fettering his discretion by placing unwarranted weight on only one factor, to the exclusion of other relevant considerations. The Court of Appeal also concluded that the Chambers Judge erred by finding himself bound by jurisprudence to dismiss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the position of the Department of Justice that the Master placed unwarranted weight on only one factor, that is the issue of actual prejudice, to the exclusion of other factors, and that he fettered his discretion by holding that he was bound by authority to grant the plaintiff's application. Therefore the Department of Justice argues that the Master is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position of the plaintiff is that it is just and convenient to add the Minister as a party to these proceedings. The plaintiff submits the relevant delay is only 63 months. A failure of plaintiff's counsel to add the Minister was an honest mistake, due to ongoing settlement negotiations. Counsel was hopeful throughout these negotiations that the matter could settle without resolving the deficiencies in the pleadings. Plaintiff's counsel submits the Department of Justice never applied to strike the statement of claim, and there is no real prejudice to the Minister because the Department of Justice counsel represented the defendant, Constable Taylor, and will continue to represent the Minister. It is the position of the plaintiff that prejudice to the plaintiff greatly outweighs prejudice to the Minister if the Minister is not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 order under Rule 15(5)(a)(iii) is a discretionary one and the law is clear that no single factor is necessarily determinative, given over-riding importance or considered in isolation. It is admitted that the relevant delay is that following the expiration of the limitation period. In this case, the delay from the limitation date, October 22, 2002, to the date of the hearing before the Master, August 15, 2008 is some six years. I agree that this is an inordinate delay, as described by the Master. In considering reasons for the delay, the plaintiff argues settlement negotiations were ongoing from July 29, 2002, and counsel was hopeful the matter could settle without resolving the deficiencies in the pleadings. However, I agree this explanation for the delay is non-sensical, as described by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expiration of the limitation period, on two occasions, counsel for the plaintiff inquired whether Department of Justice counsel would consent to an amendment of the pleadings or whether a formal application was required. The Department of Justice counsel throughout maintained that although not a bar to settlement negotiations, there was an issue with the pleadings and the Department of Justice would not waive any defences. Specifically, the Department of Justice maintained the plaintiff had sued the wrong party, the defendant Taylor could not be held personally liable, and the defendant Taylor had a complete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many years plaintiff's counsel did nothing to remedy the deficiencies in the statement of claim. The situation remained until plaintiff's new counsel brought the application before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 connection between the existing claim of the plaintiff and the proposed claim against the Minister. The claim arises out of the same cause of action as the claim against the defendant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Actual or presumed prejudice is that which would affect the ability of the defendant to respond to a claim. In weighing prejudice as between the plaintiff and defendant, the plaintiff potentially loses her claim against the defendant, while the defendant avoids the claim altogether. The plaintiff argues there is no real prejudice to the Minister's ability to respond to the claim because the Department of Justice has defended this claim on behalf of the defendant Taylor from the outset and the Department of Justice will simply proceed with the defence on behalf of the Minister. Further, the plaintiff argues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admitted so there is no real issue about witnesses or fading memories but only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Department of Justice submits there is prejudice to the defendant Taylor by adding the Minister because she has a complete defence to the claim. It is acknowledged that without adding the Minister, the defendant Taylor risks personal liability for a claim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witnesses and fading memories would be a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However in balancing the prejudice between the parties if the Minister is added and correspondingly the limitation defence is lost, the prejudice to the defendant Taylor and the Minister would greatly outweigh the 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conclude the Master clearly erred in his approach by failing specifically to consider the factor relating to the limitation period. As well, his language, that he had no choice but to rule in favour of the plaintiff, suggests he fettered his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Upon a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consideration of the relevant factors in law, I respectfully disagree with the result reached by the Master. The proper application of the legal test, taking into account all the relevant factors, outlined in </w:t>
      </w:r>
      <w:r>
        <w:rPr>
          <w:rFonts w:ascii="arial" w:eastAsia="arial" w:hAnsi="arial" w:cs="arial"/>
          <w:b/>
          <w:i/>
          <w:color w:val="000000"/>
          <w:sz w:val="20"/>
          <w:lang w:val="en-US" w:eastAsia="en-US" w:bidi="ar-SA"/>
        </w:rPr>
        <w:t>Teal Cedar Products</w:t>
      </w:r>
      <w:r>
        <w:rPr>
          <w:rFonts w:ascii="arial" w:eastAsia="arial" w:hAnsi="arial" w:cs="arial"/>
          <w:color w:val="000000"/>
          <w:sz w:val="20"/>
          <w:lang w:val="en-US" w:eastAsia="en-US" w:bidi="ar-SA"/>
        </w:rPr>
        <w:t>, clearly favours the defendant. The only factor that favours the plaintiff is the connection between the original claim and the proposed new cause of action. The remaining factors, namely the length of the delay, reasons for the delay and degree of prejudice caused by the delay, all militate against the addition of a party at this late date, many years after the expiration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there has been inordinate, unjustified delay and prejudice to the present and proposed defendants that outweighs any grounds put forward by the plaintiff in support of her application. I am satisfied it is not just and convenient to add the Minister as a defendant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 evidence indicating whether or not the plaintiff condoned the dilatory conduct of her counsel, but one can presume a plaintiff instructs her counsel. While the court can consider inadvertence or honest error in judgment on the part of counsel, it is clear that from the outset the Department of Justice raised the issue of the deficiency of the pleadings with the plaintiff and maintained its position throughout. It was up to the plaintiff to remedy her deficient pleadings. Reasonable counsel would have taken steps to protect the client's interests in the event settlement discussions proved fruitless.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 fault can be attributed to the Department of Justice by its willingness to continue settlement discussions or by not bringing the motion to strike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Subject to hearing submissions, I would order the plaintiff to pay the defendant's costs of this application. I am prepared to set those costs if counsel agree. Do counsel have any submissions that you want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MS. PEREIRA</w:t>
      </w:r>
      <w:r>
        <w:rPr>
          <w:rFonts w:ascii="arial" w:eastAsia="arial" w:hAnsi="arial" w:cs="arial"/>
          <w:color w:val="000000"/>
          <w:sz w:val="20"/>
          <w:lang w:val="en-US" w:eastAsia="en-US" w:bidi="ar-SA"/>
        </w:rPr>
        <w:t>: With respect to costs I just suggest that costs be calculated pursuant to the tariff. I haven't prepared any submissions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I can set them for a half-day contested application if counsel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HARBUT</w:t>
      </w:r>
      <w:r>
        <w:rPr>
          <w:rFonts w:ascii="arial" w:eastAsia="arial" w:hAnsi="arial" w:cs="arial"/>
          <w:color w:val="000000"/>
          <w:sz w:val="20"/>
          <w:lang w:val="en-US" w:eastAsia="en-US" w:bidi="ar-SA"/>
        </w:rPr>
        <w:t>: I'd like to seek instructions. I'm taking instructions from my insurance fund with respect to costs. There's no evidence that the plaintiff herself -- I'm not taking instructions from the plaintiff with respect to this application and these costs, obviously, payable by her, affect her. I think that she should have the right to come back with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Well, one would presume that they would be payable out of the lawyer's insurance fund, not her personally. In any event, what I am prepared to say is the successful party is entitled to costs. Hopefully the parties can resolve that issue without the matter being brought back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MS. PERIERA</w:t>
      </w:r>
      <w:r>
        <w:rPr>
          <w:rFonts w:ascii="arial" w:eastAsia="arial" w:hAnsi="arial" w:cs="arial"/>
          <w:color w:val="000000"/>
          <w:sz w:val="20"/>
          <w:lang w:val="en-US" w:eastAsia="en-US" w:bidi="ar-SA"/>
        </w:rPr>
        <w:t>: In the event that we do have to bring the matter back to court, is Your Ladyship seized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I am seized of a cost application; I am not seized of anything else. If you cannot resolve it, do it by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S.S. 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Brawn (Re), [2004] B.C.J. No. 1416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Bankruptcy)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11-234086/VA02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1416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923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C.B.R. (5th) 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1562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Bankruptcy of Peter Robert Brawn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8"/>
      <w:bookmarkEnd w:id="128"/>
      <w:r>
        <w:rPr>
          <w:rFonts w:ascii="arial" w:eastAsia="arial" w:hAnsi="arial" w:cs="arial"/>
          <w:b/>
          <w:color w:val="000000"/>
          <w:sz w:val="20"/>
          <w:lang w:val="en-US" w:eastAsia="en-US" w:bidi="ar-SA"/>
        </w:rPr>
        <w:t>Insolvency law — Discharge of bankrupt — Grounds for refusal — Fraud — Assets worth less than 50 cents on dollar.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17"/>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Brawn, a dentist, for an order discharging him from bankruptcy. Brawn sold part of his practice to another dentist, Charbonneau. Charbonneau sued Brawn for misrepresenting the number of active patients in the practice. The litigation was the primary reason for the bankruptcy of Brawn. Charbonneau, the largest unsecured creditor, opposed the application on the grounds of fraud, assets not being 50 cents on the dollar, and Brawn's contribution to the bankruptcy.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0" w:name="Holdings of Court_15"/>
            <w:bookmarkEnd w:id="13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application was not an appropriate forum for determining the issue of Brawn's fraud. However, the other grounds of opposing the application under section 173(1)(a) and 173(1)(e) were applicable. Brawn's assets fell far short of a value equal to 50 cents on the dollar of the amount of his unsecured liabilities. The cause of the litigation was the misrepresentation by Brawn, who overstated the number of active patients by 44 per cent. This was a gross misrepresentation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highest order, if not fraud. The court was not satisfied that the fact that the assets were not of a value equal to 50 cents on the dollar of Brawn's unsecured liabilities, arose from circumstances for which Brawn was not responsible. In addition, Brawn brought about or contributed to the bankruptcy by neglecting his business. Braun was not to reapply for a discharge for eight months, and in the meantime Charbonneau was free to prove his damages for purposes of considering a conditional discharge for Braun.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1" w:name="Legislation Cited_14"/>
      <w:bookmarkEnd w:id="1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9"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Bankruptcy and Insolvency Act, s. 173(1)(a), 173(1)(e), 173(1)(k).</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2" w:name="Counsel_18"/>
      <w:bookmarkEnd w:id="1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Bankrupt: G. Dabbs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David F. Charbonneau and Coca Charbonneau: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18"/>
      <w:bookmarkEnd w:id="133"/>
      <w:r>
        <w:pict>
          <v:line id="_x0000_s1121" style="position:absolute;z-index:2518302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BAUMAN J."/>
            <w:bookmarkEnd w:id="134"/>
            <w:r>
              <w:rPr>
                <w:rFonts w:ascii="arial" w:eastAsia="arial" w:hAnsi="arial" w:cs="arial"/>
                <w:b/>
                <w:color w:val="000000"/>
                <w:sz w:val="30"/>
                <w:lang w:val="en-US" w:eastAsia="en-US" w:bidi="ar-SA"/>
              </w:rPr>
              <w:t>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Peter Robert Brawn, a practicing dentist, brings application under the Bankruptcy and Insolvency Act for an order discharging him from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is not opposed by the Trustee, although he suggested the possibility of a conditional discharge (the repayment of a sum of money) when he made submissions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was forcefully opposed by one of Dr. Brawn's major creditors, Dr. David Charbonneau, a dentist practising through Dr. David F. Charbonneau Inc. ("DFC"). DFC purchased a large portion of Dr. Brawn's dental practice. The sale led to litigation and judgment in favour of DFC with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That litigation and the resulting judgment was the primary reason, I find, for Dr. Brawn's professional and personal bankruptcy. I turn to relate the background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sale was pursuant to an agreement made in 1999. DFC purchased the portion of Dr. Brawn's practice for $244,388.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critical term, from the perspective of Dr. Charbonneau, is found in Clause 3.4(e) of the agreement of purchase and sale. That clause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Property Representations - The Vendor and the Covenantor jointly and severally represent and warrant to the Purchaser (and acknowledge that the Purchaser is relying on such representations and warranties in entering into this Agreement and completing the transactions contemplated herein) that, except as otherwise disclosed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Included Patients include a minimum of 1700 active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term "active patients" is not defined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Charbonneau took the position that it should be defined by reference to the definition of "Active Charts Criteria" found in an appraisal of Dr. Brawn's practice (the "Heaps Appraisal") which Dr. Brawn provided to Dr. Charbonneau before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That appraisal is dated 12 May 1999. It fully supports the consideration paid by DFC. It states in respect of "Active Charts Criteria": "The approximate number of patients who have been in the dental office within the last year to seek treatment. Total 2,350."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Charbonneau soon learned that there was nothing approaching 1,700 active patients, so defined, in Dr. Brawn's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sued Dr. Brawn and his professional practice for damages for misrepresentation and breach of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matter came before Justice Gray by way of summary trial in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My colleague gave reasons for judgment reported at, </w:t>
      </w:r>
      <w:hyperlink r:id="rId368" w:history="1">
        <w:r>
          <w:rPr>
            <w:rFonts w:ascii="arial" w:eastAsia="arial" w:hAnsi="arial" w:cs="arial"/>
            <w:i/>
            <w:color w:val="0077CC"/>
            <w:sz w:val="20"/>
            <w:u w:val="single"/>
            <w:shd w:val="clear" w:color="auto" w:fill="FFFFFF"/>
            <w:lang w:val="en-US" w:eastAsia="en-US" w:bidi="ar-SA"/>
          </w:rPr>
          <w:t>[2002] B.C.J. No. 1021</w:t>
        </w:r>
      </w:hyperlink>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2002 BCSC 738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proceedings before Gray J., Dr. Brawn took the position "... that there is no precise meaning for the term "active patients" and that as a result the clause, including the term, is uncertain and unenforceable" (per Gray J. at [paragraph]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Justice Gray set out the background to the litigation fully at [paragraph] 6 of 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[paragraph] 6 11. Justice Gray notes: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patients listed on the Included Patients Schedule, 321 had apparently received services at the practice's former location prior to 1994, 130 were marked inactive in the records of Dr. Brawn's practice for reasons such as having moved away, and 577 had not been treated at Dr. Brawn's practice for at least one year prior to the sale. Of the 577, 325 had not been treated at Dr. Brawn's practice for over two years prior to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Gray J. concludes (at [paragraph] 43-45):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evidence demonstrates that, while there is not a precise industry definition of the term "active patient", where the term was used it generally described patients who had been treated by a practice in a prior period not exceeding two years. While parties could choose precision in written agreements, where they have not, the court has the duty to determine the meaning in the relevant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Here, the nature of Dr. Brawn's practice is that patients are not returning for routine treatments but may be making arrangements to pay for major restorations. Considering the factual matrix at the time the parties entered the written agreement, in my view, the proper meaning of the term "active patient" is a patient who was last treated by the practice in the prior two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Applying this definition, I find that the list of Included Patients contained only 1,001 active patients. I calculated that by making these three deductions from the 1,777 non-duplicated names listed on the Included Patients Schedule: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321 who had received services prior to 1994;</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130 who were described in the records as inactive for reasons such as having moved away;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325 who had not been treated at the defendants' practice for over two years prior to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Gray J. rejected the bankrupt's contention that the number of "active patients" was of no real consequence in the contract of purchase and sale ([paragraph]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Finally, Justice Gray reached this conclusion on the proper measure of damages (at [paragraph]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This is not an exceptional case relating to remedy. The proper measure of damages is the difference between the amount the plaintiff would have earned, net of appropriate expenses, if the representation and warranty had been true, less what the plaintiff did earn, net of appropriate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result, she referred the issue of damages for breach of the representation or warranty regarding active patients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Justice Gray's reasons were published on 14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Brawn deposes to events after the judgment of Justice Gray (Chambers Record, Tab 2, paras. 6-8 inclusive):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court action was not only costly but disruptive to my ongoing dental practice. In December 2002 the corporation through which I operated my dental practice made an assignment into bankruptcy.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1999 I personally, and through my company, invested in real estate located in Ucluelet, British Columbia. The value of the investment has since depreciated drastically and is presently worth less than the value of the security registered against the investment.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court action, the failed investments and the bankruptcy of my dental practice, I was no longer able to meet the demands of creditors. For that reason I was compelled to see a trustee in bankruptcy about filing a proposal in December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Brawn's proposal was not accepted by the required majority of his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Charbonneau, by far the largest unsecured creditor, voted against the proposal and Dr. Brawn's bankruptcy ensued as a matter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say that Dr. Charbonneau is the largest unsecured creditor of Dr. Brawn, but I note that the Trustee has not accepted his claim as tendered (in excess of $800,000), because of its unliquidated nature under Justice Gray's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Trustee has simply arbitrarily set the claim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Charbonneau opposes Dr. Brawn's discharge on a number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primarily relies on s. 173(1)(k) of the Bankruptcy and Insolvency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173.(1) Facts for which discharge may be refused, suspended or granted conditionally - The facts referred to in section 172 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bankrupt has been guilty of any fraud or fraudulent breach of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Charbonneau spent much time in his material and in his submissions to the court arguing that Dr. Brawn's misrepresentation as to the number of active patients was, in the circumstances,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Unfortunately there has been no judicial determination on that issue (Gray J. was not asked to so find) and binding authority in British Columbia holds that this application is an inappropriate forum within which to try such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Re Perazich </w:t>
      </w:r>
      <w:hyperlink r:id="rId369" w:history="1">
        <w:r>
          <w:rPr>
            <w:rFonts w:ascii="arial" w:eastAsia="arial" w:hAnsi="arial" w:cs="arial"/>
            <w:i/>
            <w:color w:val="0077CC"/>
            <w:sz w:val="20"/>
            <w:u w:val="single"/>
            <w:shd w:val="clear" w:color="auto" w:fill="FFFFFF"/>
            <w:lang w:val="en-US" w:eastAsia="en-US" w:bidi="ar-SA"/>
          </w:rPr>
          <w:t>[1993] B.C.J. No. 1633</w:t>
        </w:r>
      </w:hyperlink>
      <w:r>
        <w:rPr>
          <w:rFonts w:ascii="arial" w:eastAsia="arial" w:hAnsi="arial" w:cs="arial"/>
          <w:color w:val="000000"/>
          <w:sz w:val="20"/>
          <w:lang w:val="en-US" w:eastAsia="en-US" w:bidi="ar-SA"/>
        </w:rPr>
        <w:t>, Master Powers, as he then was, was considering an application under s. 178(1)(e) of the Bankruptcy and Insolvency Act for a declaration that the bankrupt should not be released from a specific debt because it was incurred by false pretences and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Master Powers referred to Ontario authority which dealt with the companion provision to s. 178(1)(e), s. 173(1)(k) (at [paragraph] 10-12):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10 There is authority which is directly on point with regard to this issue and which is binding upon me. The line authorities start with the decision in Re Kemper (American British Canadian Catering Service) </w:t>
      </w:r>
      <w:hyperlink r:id="rId370" w:history="1">
        <w:r>
          <w:rPr>
            <w:rFonts w:ascii="arial" w:eastAsia="arial" w:hAnsi="arial" w:cs="arial"/>
            <w:i/>
            <w:color w:val="0077CC"/>
            <w:sz w:val="20"/>
            <w:u w:val="single"/>
            <w:shd w:val="clear" w:color="auto" w:fill="FFFFFF"/>
            <w:lang w:val="en-US" w:eastAsia="en-US" w:bidi="ar-SA"/>
          </w:rPr>
          <w:t>(1961) 2 C.B.R. (N.S.) 130</w:t>
        </w:r>
      </w:hyperlink>
      <w:r>
        <w:rPr>
          <w:rFonts w:ascii="arial" w:eastAsia="arial" w:hAnsi="arial" w:cs="arial"/>
          <w:color w:val="000000"/>
          <w:sz w:val="20"/>
          <w:lang w:val="en-US" w:eastAsia="en-US" w:bidi="ar-SA"/>
        </w:rPr>
        <w:t xml:space="preserve"> (Ontario Supreme Court in Bankruptcy). The court dealt with the Bankruptcy Act as it then was which allowed the court on a discharge to refuse or suspend a discharge or make attached terms to the discharge if the: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"130(1)(k) The bankrupt has been guilty of any fraud or fraudulent breach of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11 The Bankruptcy Act also provided that a discharge would not release the bankrupt for a debt or liability for obtaining property by false pretences or fraudulent misrepresentations (135(1)). The trustees report did not conclude that there had been any fraud or fraudulent breach of trust and therefore the onus was on the creditor to establish that fraud or breach of trust had occurred. The court found that the application for discharge from bankruptcy is a summary proceeding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 question of fraud is involved, it is too serious a matter to be determined in a summary way." (p. 133)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12 The Honourable Mr. Justice Smily in that case at p. 134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"However, I do not think the Bankruptcy Act contemplates that on an application by the debtor for his discharge an issue might be directed to determine whether he was guilty of fraud. I think there has to be a conviction or a finding by a judgment of the court in a civil proceeding indicating fraud or fraudulent breach of trust before the bankrupt can be considered to be guilty of fraud or fraudulent breach of trust so as to make clause (k) of s. 130 applicable on the application for the bankrupt's discharge. Apart from enabling this to be shown, I do not think the court on such an application should enter upon an inquiry as to whether the bankrupt had been guilty of fraud or fraudulent breach of trust. When a creditor claims his debt or the liability to him arose as a result of fraud, fraudulent misrepresentation or false pretences, the proper procedure in my opinion is to leave the creditor with his ordinary remedy which is reserved to him under the provisions of s. 135(1)(e) aforesaid."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Master Powers noted that Kemper has been followed in British Columbia:</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Gothe </w:t>
      </w:r>
      <w:hyperlink r:id="rId371" w:history="1">
        <w:r>
          <w:rPr>
            <w:rFonts w:ascii="arial" w:eastAsia="arial" w:hAnsi="arial" w:cs="arial"/>
            <w:i/>
            <w:color w:val="0077CC"/>
            <w:sz w:val="20"/>
            <w:u w:val="single"/>
            <w:shd w:val="clear" w:color="auto" w:fill="FFFFFF"/>
            <w:lang w:val="en-US" w:eastAsia="en-US" w:bidi="ar-SA"/>
          </w:rPr>
          <w:t>(1986), 62 C.B.R. (N.S.) 182</w:t>
        </w:r>
      </w:hyperlink>
      <w:r>
        <w:rPr>
          <w:rFonts w:ascii="arial" w:eastAsia="arial" w:hAnsi="arial" w:cs="arial"/>
          <w:color w:val="000000"/>
          <w:sz w:val="20"/>
          <w:lang w:val="en-US" w:eastAsia="en-US" w:bidi="ar-SA"/>
        </w:rPr>
        <w:t xml:space="preserve"> (B.C.S.C.); and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Herd </w:t>
      </w:r>
      <w:hyperlink r:id="rId372" w:history="1">
        <w:r>
          <w:rPr>
            <w:rFonts w:ascii="arial" w:eastAsia="arial" w:hAnsi="arial" w:cs="arial"/>
            <w:i/>
            <w:color w:val="0077CC"/>
            <w:sz w:val="20"/>
            <w:u w:val="single"/>
            <w:shd w:val="clear" w:color="auto" w:fill="FFFFFF"/>
            <w:lang w:val="en-US" w:eastAsia="en-US" w:bidi="ar-SA"/>
          </w:rPr>
          <w:t>(1988), 71 C.B.R. (N.S.) 92</w:t>
        </w:r>
      </w:hyperlink>
      <w:r>
        <w:rPr>
          <w:rFonts w:ascii="arial" w:eastAsia="arial" w:hAnsi="arial" w:cs="arial"/>
          <w:color w:val="000000"/>
          <w:sz w:val="20"/>
          <w:lang w:val="en-US" w:eastAsia="en-US" w:bidi="ar-SA"/>
        </w:rPr>
        <w:t xml:space="preserve"> (B.C.S.C.), </w:t>
      </w:r>
      <w:hyperlink r:id="rId373" w:history="1">
        <w:r>
          <w:rPr>
            <w:rFonts w:ascii="arial" w:eastAsia="arial" w:hAnsi="arial" w:cs="arial"/>
            <w:i/>
            <w:color w:val="0077CC"/>
            <w:sz w:val="20"/>
            <w:u w:val="single"/>
            <w:shd w:val="clear" w:color="auto" w:fill="FFFFFF"/>
            <w:lang w:val="en-US" w:eastAsia="en-US" w:bidi="ar-SA"/>
          </w:rPr>
          <w:t>(1989), 77 C.B.R. (N.S.) 209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light of this British Columbia and Ontario authority, it is not appropriate on this application to consider the issue of Dr. Brawn's fraud in the sale of his dental practice to Dr. Charbonneau.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Charbonneau also relies on (amongst others) subsections (1)(a) and (e) of s. 173. These provide:</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of the bankrupt are not of a value equal to fifty cents on the dollar on the amount of the bankrupt's unsecured liabilities, unless the bankrupt satisfies the court that the fact that the assets are not of a value equal to fifty cents on the dollar on the amount of the bankrupt's unsecured liabilities has arisen from circumstances for which the bankrupt cannot justly be held responsible;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bankrupt has brought on, or contributed to, the bankruptcy by rash and hazardous speculations, by unjustifiable extravagance in living, by gambling or by culpable neglect of the bankrupt's business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circumstances at bar, these subsections are related to the cause of Dr. Brawn's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report the Trustee says this of the causes of Dr. Brawn's personal bankruptcy:</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details of the causes of bankruptcy: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bankrupt's company (Dr. Peter Brawn Inc.) sold a portion of its dental practice to a fellow dentist in 1999. In 2001 this dentist sued the company and the bankrupt for misrepresentation. The costs of defending this action were very high and drained the company and the bankrupt of a significant amount of cashflow. In 1999 both the company and the bankrupt invested in Roots Lodge in Uclulet [sic], B.C.. This investment turned out to be a bad investment as the real estate market in Ucluelet (notably Roots Lodge) fell apart. The company made an assignment in bankruptcy in December 2002 and the bankrupt had personally guaranteed some of the debt owed by the company. The creditors demanded payment from the bankrupt and the bankrupt made a Proposal under the BIA to his creditors. The Proposal was refused by the creditors and the bankrupt was deemed to have made an assignment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Clearly, the litigation, and the unliquidated debt to Dr. Charbonneau arising out of it, was one of the primary reasons for the bankruptcy of Dr. Brawn and his professional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Trustee in his report opines that Dr. Brawn cannot "be justly held responsible for any of the facts referred pursuant to s. 173 of the Act". I disagree. Dr. Brawn's assets fall far short of a value equal to fifty cents on the dollar of the amount of his unsecured liabilities, of which the unliquidated debt to Dr. Charbonneau is far and away the largest proportion.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cause of the litigation was clearly Dr. Brawn's misrepresentation as to the number of active patients seen by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Justice Gray found that Dr. Brawn overstated his active patients by about 44%. That is a gross misrepresentation. If it was not fraud, it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highest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If the misrepresentation was not intentional, it was at least the result of serious neglect in Dr. Brawn's recordkeeping.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will be recalled that Dr. Brawn produced the Heaps Appraisal of his practice during the sale/purchase negotiations and that that appraisal was based on a representation that 2,350 patients had been in Dr. Brawn's office for treatment in the previous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Dr. Brawn's answers on his discovery make clear (Chambers Record, Exhibit E, Tab 4) his office records were not kept in a manner that would allow one to confirm the accuracy of that number. Dr. Brawn's discovery on this point is attached to Schedule "A" hereto (questions 459-481).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best, Dr. Brawn's attitude towards the Heaps Appraisal's representation that the practice included 2,350 active charts (as defined) was cavalier.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That attitude is reflected, as well, in his defence to the litigation. That is, his position that the phrase "active patients" was so vague as to be unenforceable and his position before me that Dr. Charbonneau could not have reasonably placed reliance on such a measure of a practice's underlying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patently obvious that the purchaser of a dental practice would be critically concerned with the number of active (whether defined on a one or two year return criterion) patients in the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conclude in the words of s. 173(1)(a), that Dr. Brawn has not: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satisfied the court that the fact that the assets are not of a value equal to fifty cents on the dollar on the amount of the bankrupt's unsecured liabilities has arisen from circumstances for which the bankrupt cannot justly be held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I say, the prime reason for the shortfall was Dr. Brawn's neglectful misrepresentation in the agreement by which he sold a portion of his practice to Dr. Charbonneau.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further conclude, in the words of s. 173(1)(e), that Dr. Brawn has brought on or contributed to the bankruptcy by his culpable neglect of his business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Charbonneau records the impact of the transaction with Dr. Brawn and the ensuing litigation in his affidavit so:</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certainly do not know what happened to the purchase price of $244,000.00 paid to him. I borrowed from the Canadian Imperial Bank of Commerce (CIBC) to buy this practice. This loan was guaranteed by myself and my wife Coca Charbonneau. Ultimately, when the Bankrupt filed a Proposal in Bankruptcy around November 2002, he also left the office. I became unable to meet my obligations to my creditors as a result and ended up defaulting on them.</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Instead of acknowledging his responsibility for what happened to me, the Bankrupt fought the lawsuit commenced by DFC vigorously and alleged that his representations to me, which I relied upon, were not enforceable. The Bankrupt appealed to the Court of Appeal of British Columbia and only abandoned his appeal after all factums were filed by making a proposal to his creditors. Ultimately, I spent approximately $68,000 in legal fees, including $18,000 (mostly in relation to the appeal) all unnecessarily. More to the point, the Bankrupt knew or was reckless or willfully blinded himself to the facts that showed that his representations to me in the Heaps Appraisal and in the Asset Purchase Agreement were completely inaccurate. If the Bankrupt had been honest about the information he knew, I would have been spared the economic destruction which followed.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Damages Caused by The Bankrupt</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summer of 1999 to the end of 2002, I poured all of my resources into DFC in an attempt to keep it afloat and in the hope that, ultimately, I would obtain redress from the courts for damages caused by the Bankrupt and Brawn Inc. By December, 2002, I had exhausted all of my resources and borrowed from friends and relatives. I was financially destroyed and unable to continue, especially in light of the Bankrupt's decision to abandon the premises on which we shared costs. I made a Proposal in Bankruptcy. Attached as Exhibit "G" hereto is a true copy of the approved Proposal in Bankruptcy for myself and for my wife Coca Charbonneau. Attached as Exhibit "H" hereto is a true copy of my Statement of Affairs showing the indebtedness which was accumulated as a result of the Bankrupt's willful conduct towards me.</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end, in accordance with my bankruptcy proposal, any and all recovery by DFC as against the Bankrupt will go to CIBC. DFC's interest in opposing the Bankrupt's application for a release resides in collecting any monies which may be recovered over and above what is owing to CIBC. Even if DFC never recovers anything, it is fitting that the Bankrupt should be asked to pay much more than what he proposes to his creditors, including CIBC. CIBC is as much a victim of the Bankrupt's wrongful conduct as I am and as DFC is.</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51 years old and my wife, Coca Charbonneau is 50 years old. When DFC purchased a portion of Brawn Inc.'s dental practice, I had anticipated that this would be a good business decision on my part and that I would be able to secure, through proper financial planning, a good retirement for myself. This was all predicated on the assumption that DFC would obtain a group of 1,700 active patients, not a group of patients who had, by and large, no intention of ever seeking dental services again, as was the case with Brawn Inc.'s practice.</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destroyed by what happened as a result of the Bankrupt's conduct. So was my wife, Coca Charbonneau, who had guaranteed the loans made by CIBC to DFC. Under the terms of the proposals which we both made, it will take five years (my current estimate) for us to comply with our duties to our creditors. I will not be able to retire at 60, as I had planned. Coca and I have had to sell both of our recreational property assets (time shares) as well as our RRSPs in order to generate funds for our creditors. We have only been able to keep our condominium by agreeing to pay to our creditors more than the amount of equity therein.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Brawn, because of his limited income over the course of his bankruptcy, has only paid the sum of $6,620.22 to his Trustee. This pales in comparison to his substantial debts, including the unliquidated one to Dr. Charbonneau.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argued by Dr. Charbonneau that Dr. Brawn, by choosing to start a part-time practice in Nanaimo, is seriously and intentionally underemployed.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Charbonneau points to the fact that he himself has been able to readily find employment as an associate dentist at about $125,000 per year. There is force to his contention that Dr. Brawn is underemployed at this time to the prejudice of his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there are strong reasons on the basis of the facts found under s. 173(1)(a) and (e) of the Bankruptcy and Insolvency Act to deny Dr. Brawn's discharge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application is refused. Dr. Brawn may not reapply for his discharge for a period of eight months. During that time, Dr. Charbonneau may choose to seek leave to prove his damages in the litigation so that a conditional discharge of Dr. Brawn may be considered. I remain seized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knew that your computer records would not be able to tell you simply with the asterisk marked inactive or active that -- it wouldn't tell you how long it's been since the patient has been in the office?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give you no indication.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So when you read the Heaps' appraisal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 read that carefully?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talking about the 1998 or 1999 appraisal?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Say the 1999.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read it carefully. I reviewed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reviewed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we're talking at page 11 of that as -- when we're talking about active charts criteria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approximate number of patients who have been in the dental office within the last year to seek treatment, okay, you knew when you read that that your system could not tell you the number of patients that had been in your office in the past year?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Using that method that you just described.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 knew that your system could not tell you how many patients had been in that dental office within the last year?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Only based on that asterisk method of inactivating a chart that doesn't give you a time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So you knew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knew what?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knew that by checking the asterisk you could not determine whether or not a patient had been in the office within the past year?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yet -- what did you do when you saw this? Did you tell Mr. Heaps that that's not -- that's not an accurate number?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this was done?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time it occurred to me that it was -- it was a reasonable number.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But you couldn't -- it -- you could not certify that the approximate number of patients who had been in the dental office within the last year to seek treatment was 2,350?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certify this document.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could not tell Mr. Heaps that that number was accurate?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You're -- you're confusing the issue. That asterisk method of determining whether the patient is inactive on the system is a separate thing entirely.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exactly what I'm saying. You're saying that you couldn't use this system to verify whether or not that statement was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that method.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other methods.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other methods. Like going into individual charts and finding out when they last came to the office?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might be one 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never did that, did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never did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go into each individual chart?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instruct any of your staff to do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see the -- that -- I didn't see the importance of that. I didn't see whey that had to be done. I don't -- it was not something that was called for or requested or demanded.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decided specifically not to do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didn't make that decision. That decision did not occur the way you're describing it. There was no decision not to make a decision. It was never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Cranberry Arms Ventures Ltd. v. North Pacific Road Builders Ltd., [2004] B.C.J. No. 1227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Patterson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18404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1227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798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37 C.L.R. (3d) 140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Cranberry Arms Ventures Ltd., plaintiff, and North Pacific Road Builders Ltd., Paramount Drilling &amp; Blasting Ltd.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19"/>
      <w:bookmarkEnd w:id="135"/>
      <w:r>
        <w:rPr>
          <w:rFonts w:ascii="arial" w:eastAsia="arial" w:hAnsi="arial" w:cs="arial"/>
          <w:b/>
          <w:color w:val="000000"/>
          <w:sz w:val="20"/>
          <w:lang w:val="en-US" w:eastAsia="en-US" w:bidi="ar-SA"/>
        </w:rPr>
        <w:t xml:space="preserve">Civil procedure — Disposition without trial — Dismissal of action — Delay or failure to prosecute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18"/>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each of the three defendants for orders dismissing the plaintiff Cranberry Arms Ventures' action for want of prosecution. The action arose out of the construction of a highway that passed by Cranberry Arms' premises. The defendants were contractors or subcontractors. Cranberry Arms alleged that its land, buildings and septic system were damaged during construction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construction took place between March 1996 and March 1997. The action was commenced in November 1997. The defendants had all filed and delivered statements of defence; no other pleading had been filed or delivered. No examinations for discovery had taken place. There had been no prior court applications, and the case had never been set down for trial. Cranberry Arms had not taken any steps concerning two of the three defendants from June 1999 to March 2004, and had only one telephone conversation with the third defendant over that period.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7" w:name="Holdings of Court_16"/>
            <w:bookmarkEnd w:id="137"/>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case could no longer be fairly tried due to the lapse of time and loss of evidence. Accordingly, it was in the interests of justice that the action be dismissed. The delay was inordinate. There was no satisfactory excuse for the delay. The defendants had all been prejudiced by the delay, as numerous employee witnesses were no longer in their employ.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8" w:name="Legislation Cited_15"/>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4"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 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9" w:name="Counsel_19"/>
      <w:bookmarkEnd w:id="1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B.J. Kirkhope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North Pacific Road Builders Ltd.: J.A. Doyle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M. Philcox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Paramount Drilling &amp; Blasting Ltd.: S. Carter-Edwards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19"/>
      <w:bookmarkEnd w:id="140"/>
      <w:r>
        <w:pict>
          <v:line id="_x0000_s1126"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MASTER PATTERSON"/>
            <w:bookmarkEnd w:id="141"/>
            <w:r>
              <w:rPr>
                <w:rFonts w:ascii="arial" w:eastAsia="arial" w:hAnsi="arial" w:cs="arial"/>
                <w:b/>
                <w:color w:val="000000"/>
                <w:sz w:val="30"/>
                <w:lang w:val="en-US" w:eastAsia="en-US" w:bidi="ar-SA"/>
              </w:rPr>
              <w:t>MASTER PATTERSON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three separate notices of motion, one brought on by each of the defendants for orders that the plaintiff's action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arises out of the construction of a highway known as the Duke Point Connecter which passes by the plaintiff's premises. It is alleged that the defendant, North Pacific Road Builders Ltd. (hereinafter North Pacific) was the contractor for the defendant, Her Majesty The Queen in right of the Province of British Columbia (hereinafter Her Majesty The Queen) and that the defendant, Paramount Drilling and Blasting Ltd. (hereinafter Paramount) was the blasting subcontractor.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statement of claim the plaintiff alleges that construction took place between March, 1996, and March, 1997, and that during the course of construction the plaintiff's land, buildings and septic system were damaged. The plaintiff alleges the defendants were negligent and that there was a breach of a licence agreement and trespass, all of which gave rise to a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have all filed and delivered statements of defence; no other pleadings have been filed or delivered. No examinations for discovery have taken place. There have been no court applications before this and the case has never been set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chronology of events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1997</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construction completed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18, 1997</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Writ issued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31, 1997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Her Majesty The Queen filed an appearance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7, 1998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North Pacific filed an appearance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12, 1998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Paramount filed an appearance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2, 1998</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 Paramount filed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statement of defence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3, 1998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Her Majesty The Queen filed statement of defence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5, 1998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North Pacific filed statement of defence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30, 1998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list of documents delivered to all 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23, 1999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Her Majesty The Queen delivers its document list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15, 1999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North Pacific delivers its document list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30, 1999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Paramount delivers its document list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31, 1999</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Limitation period expires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6, 1999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counsel wrote all defendants concerning possible length of trial and stating trial would be set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 25, 1999</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Document exchange concluded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25, 2000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Teleconference between someone in the office of counsel for the plaintiff and someone in the office of counsel for Her Majesty The Queen concerning trial scheduling. No record of any similar telephone conference involving counsel for the defendants North Pacific or Paramount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8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276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Representative of the plaintiff has a meeting with the member of the legislative assembly for the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19, 2002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Meeting of Ms. Aldcroft on behalf of the plaintiff and Mr. Dyck, Regional Manager for the Ministry of Transportation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28, 2004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North Pacific delivers notice of motion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5, 2004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Another meeting between a representative of the plaintiff and the MLA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9, 2004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Paramount delivers a notice of motion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13, 2004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Her Majesty The Queen delivers a notice of motion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review of the chronology makes it apparent that no steps were taken by the plaintiff concerning the defendants North Pacific and Paramount from June, 1999, to March, 2004, a period of over four and one-half years. The only difference concerning the defendant, Her Majesty The Queen, is that there was apparently a lone telephone call in February, 2000, that means there was a lapse in activity for over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appears that a representative of the plaintiff, Ms. Aldcroft, initiated two meetings with the MLA for the area in 2002 and 2004. It is likely that the first meeting with the MLA resulted in the meeting with Mr. Dyck on November 19,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any application to dismiss an action for want of prosecution, certain principles apply. Rules 1(5) and 2(7) state the basic propositions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2</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upon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leading case dealing with applications of this nature is Irving v. Irving </w:t>
      </w:r>
      <w:hyperlink r:id="rId381"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(B.C.C.A.). In that case, Seaton J.A. adopts the reasoning of the English Court of Appeal and sets out the test for dismissal for want of prosecution in the following way.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inordinate delay in pursuing the case?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excuse for the delay?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delay caused prejudice or is it likely to cause prejudice to the defendants?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court must decide whether or not the balance of justice demands that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Lindholm v. Pollen </w:t>
      </w:r>
      <w:hyperlink r:id="rId382" w:history="1">
        <w:r>
          <w:rPr>
            <w:rFonts w:ascii="arial" w:eastAsia="arial" w:hAnsi="arial" w:cs="arial"/>
            <w:i/>
            <w:color w:val="0077CC"/>
            <w:sz w:val="20"/>
            <w:u w:val="single"/>
            <w:shd w:val="clear" w:color="auto" w:fill="FFFFFF"/>
            <w:lang w:val="en-US" w:eastAsia="en-US" w:bidi="ar-SA"/>
          </w:rPr>
          <w:t>[1986] B.C.J. No. 3187</w:t>
        </w:r>
      </w:hyperlink>
      <w:r>
        <w:rPr>
          <w:rFonts w:ascii="arial" w:eastAsia="arial" w:hAnsi="arial" w:cs="arial"/>
          <w:color w:val="000000"/>
          <w:sz w:val="20"/>
          <w:lang w:val="en-US" w:eastAsia="en-US" w:bidi="ar-SA"/>
        </w:rPr>
        <w:t>, Gow L.J.S.C. (as he then was) applied the test in Irving to an overall delay in a defamation action of less than four years from the incident to dismissal of the action. In that case the court found no satisfactory explanation for the delay and presumed that there was prejudice due to the expiry of the limitation period. The presumption of prejudice was not rebutted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Dealing with the factors there is no doubt there has been inordinate delay. The plaintiff did nothing to advance the claim from June 25, 1999, to March, 2004, with the sole exception of a telephone call from counsel to counsel for Her Majesty The Queen in February,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the affidavit of Wendy Aldcroft, sworn March 25, 2004, there are no notes in the former counsel for the plaintiff's file after February, 2000, concerning steps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little by way of an excuse for the delay advanced by the plaintiff. The affidavit of Ms. Aldcroft sets out certain discussions with her former counsel concerning terms of the retainer which are not disclosed and are not relevant to this application. Relevant paragraphs from that affidavit are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realizing the extent of the property damage caused by the defendants, I retained Mr. Hobbs who commenced the action on my behalf.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Hobbs agreed to preserve my rights by certain fee arrangement.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1998, Mr. Hobbs transferred the file within his office to Mr. Scott. Before the transfer, I discussed changing the ongoing fee arrangements with Mr. Hobbs. To my understanding, Mr. Hobbs and I agreed to change these fee terms.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Mr. Scott's file, and noted what appears to be his assistant's handwritten notes made in February, 2000, noting possible discovery dates and the names of defence counsel. I make this comment without releasing privilege over the balance of this legal file.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or July, 2000, Mr. Scott discussed his fee arrangements with me. These arrangements were completely different terms than those I thought were agreed to with Mr. Hobbs.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know what, if any, discussions occurred between Mr. Scott and Mr. Hobbs.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hear from Mr. Scott again until February, 2002, when he wrote to me regarding this litigation. It was shortly after that time, that I was told I should seek other counsel.</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Later in 2002 I arranged for Mr. Scott to transfer my file to Vaughan Allin, a Nanaimo lawyer. Several months later, Mr. Allin advised me that he was unable to take on this file.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2003 I met with Randie Long. He initially expressed interest in acting for me, but I did not feel comfortable with him and chose not to deal with him further.</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retained Mr. Kirkhope to act in respect of this application. Should I be successful, I anticipate retaining him to act in this case within a week of same.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recognize that some of the delay is my responsibility for not pushing my counsel to move forward with this case. However, some of the delay also rests with my counsel, who did not advise me that a delay could give rise to the applications currently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an acknowledgement in paragraph 15 that some of the delay is the plaintiff's responsibility. But there are large gaps that are unexplained and they are June, 1998, to June, 2000; June, 2000, to February, 2002; and sometime early in 2003 until March, 2004. Clearly, plaintiff's former counsel did nothing to advance the case, but the plaintiff did nothing either, even with the knowledge that her former counsel was doing little or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view there is no adequate excuse advanced by the plaintiff for the inordinate delay, the plaintiff's affidavit of justification is skimpy and there is no affidavit from former counsel or anyone else advancing any valid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affidavits tendered by the three defendants set out clear evidence of actual prejudice, in addition to the prejudice which can be presumed by the expiry of the limitation period and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case of the defendant, North Pacific, the evidence in the affidavit of Ron Burek #1 discloses that the project supervisor, project manager and safety coordinator are all no longer in the employ of the company and their whereabouts are unknown. Details of the work done on the project would be known to the project supervisor and the project manager but not necessarily to others. The safety coordinator was initially in charge of collecting information concerning the plaintiff's claim. In addition, the defendant, North Pacific, has to a large extent, stopped doing business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case of the defendant, Paramount, the blasters who worked on the project are no longer employed by the company and again, their whereabouts are not known. In one case, even the surname of the blaster is unknown as well. In addition, the defendant, Paramount, moved offices in 2003 and having heard nothing from the plaintiff destroyed any documents in its possession related to the claim, although some documents had already been sent to the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case of the defendant, Her Majesty The Queen, of the 16 Ministry employees involved in the project, only 3 remain employees of the Government. The remaining 13 are retired, some are deceased. There is no evidence whether any of the former employees can be contacted.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there is clear evidence of actual prejudice to the defendants due to the inability to contact key former employees and destruction of documents. There is also a likelihood of prejudice due to the passage of time and the fading of memories, even if some of the former employees can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prejudice to the defendants can be rebutted there is little evidence advanced by the plaintiff to accomplish that. Evidence of directory searches is, in my view, not at all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final point for the court to consider in whether or not the balance of justice demands that the action be dismissed. Even before May, 1999, this action proceeded in a leisurely fashion, it took almost a year for pleadings to be closed and a further six moths for document lists to be exchanged. It appears the plaintiff had some misunderstanding with former counsel concerning terms of the retainer but made no apparent efforts to expedite any resolution for a period of 2 years. The plaintiff's efforts to retain new counsel took another 2 years and were only apparently precipitated by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lengthy delay in this case cannot, in my view, be laid solely at the feet of former counsel, indeed Ms. Aldcroft acknowledges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fact that Ms. Aldcroft had meetings with the MLA for the area and the area manager of the Ministry of Transport does not, in my view, change the situation. It appears neither was aware of the plaintiff's lawsuit nor were any agreements or acknowledgements made concerning the plaintiff's claim or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Having considered the facts set out in affidavits, reviewed counsels' argument and the cases, it is my view that this case can no longer be fairly tried due to the lapse of time and loss of evidence, it follows that it is in the interests of justice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Therefore, exercising my discretion and taking into account the rules of court referred to, the plaintiff's action is dismissed as against all defendants with costs to be assessed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PATTERSON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Downey v. St. Paul's Hospital et al., 2007 CHFL para. 15,472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Goepel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April 5, 2007.</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S033871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2007 CHFL para. 15,472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2007 BCSC 478</w:t>
        </w:r>
      </w:hyperlink>
    </w:p>
    <w:p>
      <w:pPr>
        <w:spacing w:before="120" w:line="260" w:lineRule="atLeast"/>
        <w:rPr>
          <w:lang w:val="en-US" w:eastAsia="en-US" w:bidi="ar-SA"/>
        </w:rPr>
      </w:pPr>
      <w:r>
        <w:rPr>
          <w:rFonts w:ascii="arial" w:eastAsia="arial" w:hAnsi="arial" w:cs="arial"/>
          <w:color w:val="000000"/>
          <w:sz w:val="20"/>
          <w:lang w:val="en-US" w:eastAsia="en-US" w:bidi="ar-SA"/>
        </w:rPr>
        <w:t>Downey v. St. Paul's Hospital et al.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8" style="position:absolute;z-index:2516797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2" w:name="Keywords_20"/>
      <w:bookmarkEnd w:id="142"/>
      <w:r>
        <w:rPr>
          <w:rFonts w:ascii="arial" w:eastAsia="arial" w:hAnsi="arial" w:cs="arial"/>
          <w:b/>
          <w:color w:val="000000"/>
          <w:sz w:val="20"/>
          <w:lang w:val="en-US" w:eastAsia="en-US" w:bidi="ar-SA"/>
        </w:rPr>
        <w:t xml:space="preserve">Occupier's liability — Hospital visit — Plaintiff visited friend in hospital — No one aware that friend had active tuberculosis — Plaintiff contracted tuberculosis and brought action against hospital under Occupiers Liability Act - - Action dismissed — Occupiers Liability Act, </w:t>
      </w:r>
      <w:hyperlink r:id="rId391" w:history="1">
        <w:r>
          <w:rPr>
            <w:rFonts w:ascii="arial" w:eastAsia="arial" w:hAnsi="arial" w:cs="arial"/>
            <w:b/>
            <w:i/>
            <w:color w:val="0077CC"/>
            <w:sz w:val="20"/>
            <w:u w:val="single"/>
            <w:shd w:val="clear" w:color="auto" w:fill="FFFFFF"/>
            <w:lang w:val="en-US" w:eastAsia="en-US" w:bidi="ar-SA"/>
          </w:rPr>
          <w:t>R.S.B.C. 1996, c. 337, ss. 3</w:t>
        </w:r>
      </w:hyperlink>
      <w:r>
        <w:rPr>
          <w:rFonts w:ascii="arial" w:eastAsia="arial" w:hAnsi="arial" w:cs="arial"/>
          <w:b/>
          <w:color w:val="000000"/>
          <w:sz w:val="20"/>
          <w:lang w:val="en-US" w:eastAsia="en-US" w:bidi="ar-SA"/>
        </w:rPr>
        <w:t>, 4, 5, and 9 — Health Act Communicable Disease Regulation, B.C. Reg. 4/83, s. 13.</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43" w:name="Case Summary_19"/>
            <w:bookmarkEnd w:id="143"/>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Downey, visited his friend, M.L., at the defendant hospital, St. Paul's. No one knew M.L. had active tuberculosis. Shortly after the visit, Downey contracted tuberculosis. He brought this action against St. Paul's and Providence Health Care (collectively the "Hospital")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("Act"), claiming that the Hospital failed in its duty to ensure his safety when visiting. The Hospital submitted that the decision to isolate a patient was a medical one and fell outside the scope of the Act. It claimed that Downey's legal remedy was a common-law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he specifically chose not to pursue. </w:t>
            </w:r>
            <w:r>
              <w:rPr>
                <w:lang w:val="en-US" w:eastAsia="en-US" w:bidi="ar-SA"/>
              </w:rPr>
              <w:cr/>
            </w:r>
          </w:p>
          <w:p>
            <w:pPr>
              <w:spacing w:before="120" w:line="260" w:lineRule="atLeast"/>
              <w:ind w:left="240"/>
              <w:jc w:val="both"/>
              <w:rPr>
                <w:lang w:val="en-US" w:eastAsia="en-US" w:bidi="ar-SA"/>
              </w:rPr>
            </w:pPr>
            <w:bookmarkStart w:id="144" w:name="Holdings of Court_17"/>
            <w:bookmarkEnd w:id="144"/>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Hospital did not breach the duty of care it owed to Downey. The Court determined that the Hospital had a duty to isolate patients when there was suspicion that they might be contagious. Since the doctors determined that there was no need to isolate M.L., the Hospital performed its duty of care for what was reasonable under the circumstances. Goepel J. stated that "the Act requires the Hospital to be reasonably safe for visitors. The Hospital is not an insurer of the health of visitors. Hospitals contain sick people. Sick people, for various reasons, can infect others. Visitors to hospitals know there are sick people present." </w:t>
            </w:r>
            <w:r>
              <w:rPr>
                <w:lang w:val="en-US" w:eastAsia="en-US" w:bidi="ar-SA"/>
              </w:rPr>
              <w:cr/>
            </w:r>
          </w:p>
          <w:p>
            <w:pPr>
              <w:rPr>
                <w:lang w:val="en-US" w:eastAsia="en-US" w:bidi="ar-SA"/>
              </w:rPr>
            </w:pPr>
          </w:p>
        </w:tc>
      </w:tr>
    </w:tbl>
    <w:p>
      <w:pPr>
        <w:jc w:val="both"/>
        <w:rPr>
          <w:lang w:val="en-US" w:eastAsia="en-US" w:bidi="ar-SA"/>
        </w:rPr>
      </w:pPr>
      <w:bookmarkStart w:id="145" w:name="Counsel_20"/>
      <w:bookmarkEnd w:id="14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9" style="position:absolute;z-index:2517309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L.J. Muir for the plaintiff; A. Sayn-Wittgenstein and J. Baily for the defendants.</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821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Ed Bulley Ventures Ltd. v. Eton-West Construction Inc., [2002] B.C.J. No. 1201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Henderson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L011859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1201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826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C.L.R. (3d) 177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175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 Bulley Ventures Ltd., petitioner, and Eton-West Construction Inc.,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6" w:name="Keywords_21"/>
      <w:bookmarkEnd w:id="146"/>
      <w:r>
        <w:rPr>
          <w:rFonts w:ascii="arial" w:eastAsia="arial" w:hAnsi="arial" w:cs="arial"/>
          <w:b/>
          <w:color w:val="000000"/>
          <w:sz w:val="20"/>
          <w:lang w:val="en-US" w:eastAsia="en-US" w:bidi="ar-SA"/>
        </w:rPr>
        <w:t>Arbitration — The submission — Scope of submission — Contracts — Effect of submission of the powers of the arbitrator — Effect of consent of the parties — The award — Requisites of a valid award — Requirement of disposition of all issues — Judicial review — Grounds, mistake — Error of law on the face of the record.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7" w:name="Case Summary_20"/>
            <w:bookmarkEnd w:id="1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Ed Bulley Ventures for leave to appeal a decision by an arbitrator. The arbitration arose from a dispute on a construction contract entered into by Bulley and Eton-West Construction. Bulley had filed an action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Eton-West and both parties submitted the dispute to final arbitration under the Commercial Arbitration Act. The arbitration was meant to be a final settling of all disputes between the parties. Ed Bulley claimed a right to appeal on a question of law, pursuant to section 31(1) of the Act. Ed Bulley argued that the arbitrator erred in leaving the issue of double counting of some items of damages open to later submissions and determination, and in making deductions from damages awarded. It further argued that the arbitrator's decision to dismiss claims for loss of profits and costs of financing as too remote was patently unreasonable.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8" w:name="Holdings of Court_18"/>
            <w:bookmarkEnd w:id="14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arbitrator had jurisdiction to leave the issue of whether there was double counting open. The issue of deductions was based on findings of fact. The decision as to remoteness of damages for loss of profits and costs of financing was not patently unreasonable. The arbitrator made no errors of law that would allow the final award to be set aside.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9" w:name="Legislation Cited_16"/>
      <w:bookmarkEnd w:id="1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Commercial Arbitration Act, </w:t>
      </w:r>
      <w:hyperlink r:id="rId399" w:history="1">
        <w:r>
          <w:rPr>
            <w:rFonts w:ascii="arial" w:eastAsia="arial" w:hAnsi="arial" w:cs="arial"/>
            <w:i/>
            <w:color w:val="0077CC"/>
            <w:sz w:val="20"/>
            <w:u w:val="single"/>
            <w:shd w:val="clear" w:color="auto" w:fill="FFFFFF"/>
            <w:lang w:val="en-US" w:eastAsia="en-US" w:bidi="ar-SA"/>
          </w:rPr>
          <w:t>R.S.B.C. 1996, c. 55, ss. 14</w:t>
        </w:r>
      </w:hyperlink>
      <w:r>
        <w:rPr>
          <w:rFonts w:ascii="arial" w:eastAsia="arial" w:hAnsi="arial" w:cs="arial"/>
          <w:color w:val="000000"/>
          <w:sz w:val="20"/>
          <w:lang w:val="en-US" w:eastAsia="en-US" w:bidi="ar-SA"/>
        </w:rPr>
        <w:t>, 31(1)(b), 31(2).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0" w:name="Counsel_21"/>
      <w:bookmarkEnd w:id="1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Lunny, for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 S. McLean,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1" w:name="Judgment_20"/>
      <w:bookmarkEnd w:id="151"/>
      <w:r>
        <w:pict>
          <v:line id="_x0000_s1134"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2" w:name="HENDERSON J."/>
            <w:bookmarkEnd w:id="152"/>
            <w:r>
              <w:rPr>
                <w:rFonts w:ascii="arial" w:eastAsia="arial" w:hAnsi="arial" w:cs="arial"/>
                <w:b/>
                <w:color w:val="000000"/>
                <w:sz w:val="30"/>
                <w:lang w:val="en-US" w:eastAsia="en-US" w:bidi="ar-SA"/>
              </w:rPr>
              <w:t>HENDERSON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Ed Bulley Ventures Ltd. applies under s. 31(1)(b) of the Commercial Arbitration Act,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for leave to appeal from the final award of an arbitrator. In 1996, the company wanted to build a 91 room hotel on land it owned in Fort Nelson, British Columbia. Eton-West Construction Inc. bid unsuccessfully for the contract. After the successful bidder left the still unfinished project, the parties entered into what they called "an Interim Construction Management Agreement". Differences between them led, early in 1997, to the commencement of an action by Ed Bulley Ventures against Eton-West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After an exchange of pleadings, they agreed to submit their dispute to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ARBITRATOR'S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agreement to arbitrate the dispute contained this jurisdiction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arbitrator shall determine all questions and matters which have been raised by the pleadings in the action, and such other matters arising from the agreement or the relationship between the parties with respect to the construction of the Woodlands Inn project and, without restricting the generality of the foregoing, either party may add to the arbitrator's jurisdiction any other issue by making a submission in the arbitration at any time during the course of the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arbitrator's award provided what was intended to be a final resolution of a large number of individual disputes, some large (a claim for loss of hotel profits of $355,780) and some small (a claim for $121 for fuel for construction equipment). The arbitration took place over 27 hearing days. Evidence was adduced from 25 witnesses. Three interlocutory matters were argued at length and decided. Several hundred documents were tendered in evidence. The written arguments of the parties had a combined length exceeding 200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AVAILABILITY OF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Section 14 of the Commercial Arbitration Act (by which the parties agreed to be bound) provides that an arbitrator's award is "final and binding". The sole exception is found in s. 31(1) of the Act - a party may, with leave, appeal to this court on any question of law arising from the award. Questions of fact or mixed law and fact are immune from review. Even where the question is a pure question of law, leave will be refused unless the applicant can brings itself within one of the three prerequisites set out in s. 31(2):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application for leave under ss. (1)(b), the court may grant leave if it determines that: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result of the arbitration to the parties justifies the intervention of the court and the determination of the point of law may prevent a miscarriage of justice,</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is of importance to some class or body of persons of which the applicant is a member, or</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is of general or public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Arbitration is intended to provide a speedy and final resolution of the issues. No party may appeal any aspect of an arbitration award as of right. The court retains a certain discretion, to be exercised according to the criteria set out in s. 31(2), to grant or refuse leave after weighing the importance of the result of the arbitration and the point of law invoked. An applicant for leave must show that there is more than an arguable point to the appeal. These principles are canvassed at some length in B.C.I.T. (Student Association) v. B.C.I.T., </w:t>
      </w:r>
      <w:hyperlink r:id="rId80" w:history="1">
        <w:r>
          <w:rPr>
            <w:rFonts w:ascii="arial" w:eastAsia="arial" w:hAnsi="arial" w:cs="arial"/>
            <w:i/>
            <w:color w:val="0077CC"/>
            <w:sz w:val="20"/>
            <w:u w:val="single"/>
            <w:shd w:val="clear" w:color="auto" w:fill="FFFFFF"/>
            <w:lang w:val="en-US" w:eastAsia="en-US" w:bidi="ar-SA"/>
          </w:rPr>
          <w:t>[2000] B.C.J. No. 1873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most arbitrations, one party or the other, perhaps both, will be unhappy with the result. The substantial constraints on the granting of leave to appeal play an important role in preserving the integrity of the arbitration system. If leave were granted too readily, one of the beneficial and distinguishing features of arbitration (its finality) would be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CHARACTERIZATION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he could determine the respective obligations of the parties, the arbitrator was required to characterize the relationship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brief, informal agreement between the parties was described by them as an "Interim Construction Management Agreement", implying an agency relationship and the possibility, at least, of a fiduciary duty owed by Eton-West to Ed Bulley Ventures. Notwithstanding that description, the arbitrator, after reviewing the evidence and weighing it, concluded that Eton-West owed no fiduciary obligation to the owner. He found that the contract has "attributes of a fixed price contract and, at the same time, attributes of a project management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Ed Bulley Ventures says this was an unreasonable finding, having regard to the way the contract itself described the relationship. In addition, it says that such a conclusion was not even open to the arbitrator. He had no jurisdiction to reach such a conclusion, as the pleadings establish conclusively that this was a construction management agreement and the arbitrator's jurisdiction was to determine the issues defined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do not read Eton-West's statement of defence as containing any express admission that the agreement was a construction management agreement. In any event, the jurisdiction of the arbitrator was not confined to a consideration of the issues raised by the pleadings. As the provision of the arbitration agreement quoted above makes clear, he was to decide questions "arising from" the agreement or the relationship between the parties, and either party could add an issue to the matters to be decided by simply making a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outset of the arbitration, counsel to Ed Bulley Ventures presented a "Statement of Issues" to the arbitrator which listed, as the first issue, the question of characterizing the agreement and the relationship between the parties. The arbitrator was not only justified in resolving this issue but, in the circumstances, he was bound to do so. The submission that he exceeded his jurisdiction in this regard is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characterization of the contract as either a construction management agreement or a fixed price contract is a question of mixed law and fact. In reaching his decision on this issue, the arbitrator weighed and considered the language of the document itself, the expectations of the parties regarding the relationship, the conduct of each of the parties, and the legal attributes of fixed price and project management agreements. He concluded that the contract was a sort of hybrid with attributes of both types of agreement. He also concluded that, notwithstanding the reference to an "Interim Construction Management Agreement" in the document, the relationship of principal and agent was not created and no fiduciary obligation was owed by Eton-West. His conclusions on those questions are not questions of law alone but questions of mixed law and fact, and are therefore immune from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MUTUAL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Ed Bulley Ventures argued at the arbitration that Eton-West breached the agreement by abandoning the project in December, 1996. Eton-West argued that it terminated the contract for non-payment, which it was entitled to do. Eton-West also advanced the alternative argument that there was a mutual agreement to terminate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arbitrator reviewed the evidence of the conduct of both parties in November and December, 1996, and concluded that "the parties' conduct reflects their mutual agreement to terminate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Again, Ed Bulley Ventures argues that this finding contradicts an admission in the pleadings and is, as a consequence, beyond the jurisdiction of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statement of claim alleged that Eton-West breached the contract in various ways, and abandoned the project as of December 14, 1996. The statement of defence alleged that Ed Bulley Ventures failed to make required payments under the contract and, as a consequence, Eton-West stopped work and terminated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the reasons given earlier, the arbitrator was not confined to issues raised by the pleadings themselves. The "Statement of Issues" presented to him by Ed Bulley Ventures' counsel at the beginning of the arbitration listed "abandonment or justified withdrawal?" as an issue requiring resolution. The arbitrator was called upon to examine the whole question of how the contract came to an end. He did so. His conclusion that the decision to terminate the agreement was a mutual one is a question of fact and one which was well within his jurisdiction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INDEMNITY OR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rupture in the relationship, Eton-West filed a claim of lien on the project. The lien was removed pursuant to an agreement between the parties which included an indemnity provided by Ed Bulley Ventures to Eton-West. Eton-West was saved harmless from any liability arising from any work or materials supplied by certain specified contractors and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nature of the indemnity became relevant because Ed Bulley Ventures claimed reimbursement in the arbitration for "back charges" arising from allegedly defective work undertaken by tradesmen. The arbitrator found that the terms of the indemnity released Eton-West from any liability in this regard. His finding was expressed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Eton-West's position. In my view, as Ed Bulley assumed the subcontracts, it effectively released Eton-West from any liability in respect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Ed Bulley Ventures complains that this interpretation "defies all logic" because it "even relieved [Eton-West] from any liability for its own failure to perform as a project manager". It is argued that the arbitrator confused an indemnity with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ruling as he did, the arbitrator was deciding upon a claim for "back charges" relating to defective work by subcontractors, and was not directing his mind to the question of whether the indemnity was intended to release Eton-West from liability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Moreover, there is no indication in the award that he was asked to interpret the indemnity so as to limit Eton-West's liability in that way. There is no merit in this proposed ground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FORESEEABILITY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arbitrator held that damages claimed under two heads - loss of profits from the sports bar and increased financing costs - were too remote to be recoverable. Ed Bulley Ventures attacks these findings 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construction project encompassed the building of the structure which was to house the sports bar, but not the bar itself. The arbitrator awarded damages for loss of profits on the operation of the hotel. He said that the sports bar "was not part of [Eton-West's] work" and "it could not be said that any sports bar loss would have been within the reasonable contemplation of the parties". There does not appear to have been any evidence before the arbitrator as to when Ed Bulley Ventures planned to complete the interior of the sports bar and open it for business. The Respondent's Argument refers (at p. 14) to "completion by Bulley at an unspecified date following substantial completion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Given these facts, an argument that the decision of the arbitrator regarding the sports bar profits is patently unreasonable or cannot be supported by the evidence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owner incurred substantial additional interest costs. The arbitrator concluded that the costs were not recoverable as they did not arise from any breach of contract by Eton-West, but were a consequence of the lien filed by Eton-West, which was "proper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finding of causation is not attacked on the present application. Issue is taken with the alternative conclusion of the arbitrator to the effect that, even if the costs were caused by a breach of contract, they were too remote to be recoverable. Thus, the applicant seeks leave to argue that the arbitrator's award should be set aside because one of two reasons given by him for dismissing this claim was, on the evidence,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absence of an attack upon the arbitrator's other ground for reaching the conclusion he did, it cannot be said that the determination of this question "may prevent a miscarriage of justice". It is clear, as well, that the issue is not of any general or public importance and not of importance to some class or body of persons. My conclusion is that none of the three criteria described in s. 31(2) of the Act have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DEDUCTIONS FROM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Certain concrete ceilings in the hotel were warped and uneven. Eventually, Ed Bulley Ventures decided to remedy this deficiency by installing a drop ceiling of suspended gypsum wall board. The arbitrator accepted that this repair was reasonable and awarded its cost to the owner. The original specifications called for a concrete sealant to be applied to the ceiling, at a cost of $10,350. Since this sealant was never applied, the arbitrator deducted its cost from the cost of the drop ceiling and awarded to Ed Bulley Ventures the net amount. Ed Bulley Ventures says this deduction is contrary to the applicable principles in the law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concluded that leave should be denied on the other proposed grounds of appeal. The deduction of $10,350 represents less than 1% of the approximately $1.5 million in issue on the arbitration. It cannot be said that the importance of the result on this issue "justifies the intervention of the court". The Applicant has not demonstrated that the point of law regarding this deduction is of importance to any class or body of persons or to the public generally. Consequently, none of the prerequisites set out in s. 31(2) have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owner also claimed the sum of $12,760 for the cost of repairing bathtubs which were damaged before installation. After noting that several years had passed and the owner had not repaired the bathtubs, the arbitrator concluded that the deficiencies were not significant. He then awarded the sum of $1,000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Ed Bulley Ventures complains that Eton-West itself had argued that the cost of repairing the tubs would be higher than $1,000 (although lower than what the owner said it would be). It says that the arbitrator erred in law by concluding that the cost of repairing the tubs was not a proper measure of damages where there was no intention to actually repair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arbitrator's reasons do not indicate that he viewed the cost of repairing the bathtubs as an inappropriate measure of damages; rather, the arbitrator inferred from the fact that the tubs had not been repaired for several years, and were presumably used by guests of the hotel during that period, that the damage alleged by Ed Bulley Ventures was exaggerated. His award of $1,000 reflected his conclusion that there was some damage for which Eton-West was responsible. Whether his conclusion was right or wrong, it was a conclusion on a question of fact, not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ALTERING FINAL AWARD BY WAY OF SUPPLEMENTAL FINAL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One of the many difficulties faced by the arbitrator was the danger of "double counting". In his Final Award dated May 7, 2001, the arbitrator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Eton-West's contention that care must be taken in reviewing its claim to ensure that those items which appear in the Ed Bulley claim and in Eton-West's claim are not counted twice. I will endeavour to do so but will leave it to the parties to advise me after this award has been delivered if I do double count any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Final Award also left some of the damage awards to be calculated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One of the elements of Eton-West's counterclaim was for $29,686, representing the unpaid balance of Eton-West's account with a subcontractor. The arbitrator declined to award this amount to Eton-West.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September 21, 2001, the arbitrator issued his "Supplemental Final Award". In it, he dealt with a number of items which involved double counting or which had been left outstanding at the time of the Final Award. The arbitrator also reversed his earlier ruling and awarded to Eton-West the $29,686 in question. In doing so, the arbitrator said he was accepting Eton-West's submission that the Final Award had resulted in a double counting of this item. The arbitrator described his erroneous assumption at the time of the Final Award and reaffirmed that it had always been his intention to ensure that Eton-West be compensated for this amount. He corrected his earlier mistake and reversed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Ed Bulley Ventures says that the arbitrator erred in law and exceeded his jurisdiction in reversing his earlier decision. It argues that, once the arbitrator had dismissed the claim of Eton-West, the matter was res judicata between the parties and the arbitrator was functus officio on that issue. The arbitrator had no jurisdiction to contradict his earlier finding, no matter what the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support of this submission, Ed Bulley Ventures relies upon two authorities: Fidelitas Shipping Co., Ltd. v. V/O Exportchleb, [1965] 2 All E.R. 4 (C.A.); and Re Scotia Realty Ltd. and Olympia &amp; York SP Corp. and Campeau Corp. </w:t>
      </w:r>
      <w:hyperlink r:id="rId400" w:history="1">
        <w:r>
          <w:rPr>
            <w:rFonts w:ascii="arial" w:eastAsia="arial" w:hAnsi="arial" w:cs="arial"/>
            <w:i/>
            <w:color w:val="0077CC"/>
            <w:sz w:val="20"/>
            <w:u w:val="single"/>
            <w:shd w:val="clear" w:color="auto" w:fill="FFFFFF"/>
            <w:lang w:val="en-US" w:eastAsia="en-US" w:bidi="ar-SA"/>
          </w:rPr>
          <w:t>(1992), 9 O.R. (3d) 414</w:t>
        </w:r>
      </w:hyperlink>
      <w:r>
        <w:rPr>
          <w:rFonts w:ascii="arial" w:eastAsia="arial" w:hAnsi="arial" w:cs="arial"/>
          <w:color w:val="000000"/>
          <w:sz w:val="20"/>
          <w:lang w:val="en-US" w:eastAsia="en-US" w:bidi="ar-SA"/>
        </w:rPr>
        <w:t xml:space="preserve"> (Ont. Ct., G.D.). These decisions establish that the doctrine of issue estoppel applies to arbitrations. Where an arbitrator has purported to give a final decision upon an issue, the question cannot be reopened subsequently for further argument and a fresh decision. Where an arbitrator has delivered his final decision upon all of the issues in the arbitration, he becomes functus officio and cannot revisit any issue which was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cases provide no support for the proposition that an arbitrator must decide all issues at once, without leaving any question open for further argument and consideration. Fidelitas itself clearly supports the power of an arbitrator to leave open some issue for subsequent resolution after, for example, the opinion of the High Court on a point of law is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Issue estoppel operates so as to prohibit any reopening before the arbitrator of an issue upon which he has rendered a final decision; it can have no application when he expresses an intention to leave the final resolution of a question to a subsequent time. It is a question of characterizing the nature of the decision and the intent of the arbitrator - has he rendered a decision intended, at the time it was rendered, to be his final word on the subject? Or, has he withheld his ultimate decision until some additional information or argument is presented to him? It is only when he has evinced an intention to render a final decision that his jurisdiction to decide is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present case, the arbitrator made it clear in his Final Award that the question of whether any item had been the subject of double counting was left open. He had the jurisdiction to do that. His jurisdiction to decide questions involving double counting was not exhausted until he rendered his Supplemental Final Award and dealt with that particular issue with finality. No authorities have been cited which contradict these principles. I would not grant leave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these reasons, the application for leave to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HENDERSON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Elms v. Laurentian Bank of Canada, [2000] B.C.J. No. 448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Maczko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1 - 3,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C990211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448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73 B.C.L.R. (3d) 366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C.P.C. (4th) 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618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Elms and Doyle Schmaus, plaintiffs, and Laurentian Bank of Canada, Oliver Drabik Carruthers &amp; Chalcraft, Taylor Ventures Ltd., Ralph Dennis Taylor, Floyd Taylor and 413975 B.C. Ltd. and Laurentian Trust of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3" w:name="Keywords_22"/>
      <w:bookmarkEnd w:id="153"/>
      <w:r>
        <w:rPr>
          <w:rFonts w:ascii="arial" w:eastAsia="arial" w:hAnsi="arial" w:cs="arial"/>
          <w:b/>
          <w:color w:val="000000"/>
          <w:sz w:val="20"/>
          <w:lang w:val="en-US" w:eastAsia="en-US" w:bidi="ar-SA"/>
        </w:rPr>
        <w:t>Practice — Persons who can sue and be sued — Individuals and corporations, status or standing — Class actions, certification, considerations.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4" w:name="Case Summary_21"/>
            <w:bookmarkEnd w:id="1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Elms to certify a class action. Over 200 people had invested money in a land development which went bankrupt. The developer was gone and the investors sought to bring a class action against the lawyers and the Bank, which had acted as depository for the funds that were advanced. The investors claimed that they should have been warned that the monies they had invested were unsecured by the lands. They claimed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compensation for breach of trust and breach of fiduciary duty. The Bank and the lawyers argued that there were no common issues, in that the existence of a fiduciary relationship had to be examined on a case-by-case basis. Therefore, they argued a class proceeding was not the preferable procedure. They also argued that the pleadings did not disclose a cause of action in that the lawyers had acted for the developer, had never met the investors and the investors had never relied on the lawyers for anything.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5" w:name="Holdings of Court_19"/>
            <w:bookmarkEnd w:id="15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investors met the requirements of showing a cause of action as required by the Act. It was not plain and obvious that the investors could not succeed. They should be given an opportunity to argue that the law should be extended in the circumstances and to prove their case. At this stage the facts and legal proposition appeared to be common to all. The only economic way for the investors to proceed was through a class action. There were no practical alternatives available.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6" w:name="Legislation Cited_17"/>
      <w:bookmarkEnd w:id="1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7"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Act, s. 4, 4(1)(a), 4(1)(b), 4(1)(c), 4(1)(d), 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7" w:name="Counsel_22"/>
      <w:bookmarkEnd w:id="1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Roberts, Q.C., for the plaintiffs. Shayne Strukoff, for the defendants, Laurentian Bank of Canada and Laurentian Trust of Canada Inc. Jack Webster, for the defendants, Oliver Drabik Carruthers &amp; Chalcraft.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21"/>
      <w:bookmarkEnd w:id="158"/>
      <w:r>
        <w:pict>
          <v:line id="_x0000_s1139"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MACZKO J."/>
            <w:bookmarkEnd w:id="159"/>
            <w:r>
              <w:rPr>
                <w:rFonts w:ascii="arial" w:eastAsia="arial" w:hAnsi="arial" w:cs="arial"/>
                <w:b/>
                <w:color w:val="000000"/>
                <w:sz w:val="30"/>
                <w:lang w:val="en-US" w:eastAsia="en-US" w:bidi="ar-SA"/>
              </w:rPr>
              <w:t>MACZKO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to certify a class action. Two hundred and one plaintiffs invested money in a land development which went bankrupt. The developer is gone and the plaintiffs now sue the lawyers and the bank in the hopes of recovering their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Taylor Ventures Ltd., Ralph Dennis Taylor, Floyd Taylor and 413975 B.C. Ltd. ("TVL") were the land developers. TVL purchased land and then registered a mortgage against the land in the name of the numbered company. The defendants then sold interests in that mortgage to various investors in various amounts. Each investor had a registered interest which was an assignment of a portion of the mortgage. For example, if a mortgage was for $1 million dollars and a plaintiff invested $10,000.00 he would get a registered interest of 10,000/1,000,000 of the mortgage. The interest rate was at 20%. Some of the investors used self directed R.R.S.P. funds to invest.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Laurentian Bank of Canada and Laurentian Trust of Canada Inc. (the "Bank") acted as depository for the funds when they were advanced by each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Oliver of Oliver Drabik Carruthers &amp; Chalcraft ("Oliver") was the solicitor that acted for TVL, drafted the documents for the conveyance of the land to TVL in the first instance, and drafted the mortgage and the assignment of the mortgage to the plaintiffs. The transaction worked as follows: the plaintiffs deposited money with the defendant Bank, the Bank sent the money to Oliver and Oliver sent the assignments to the Bank. Oliver then advanced the money to TVL once the assignments were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TVL purchased 5 parcels of land at various prices. Each of the plaintiffs obtained a registered assignment of a portion of the mortgage over a particular piece of property. The lands were purchased at different times and mortgages in the name of the numbered company were registered on the property at different times and the plaintiffs invested at different times. The mortgages that were placed on the property exceeded the purchase price by approximately three times. For example, one of the properties was purchased for $535,000.00 and 14 months later a mortgage for $1.5 million dollars was registered against the property in favour of the numbered company. No money exchanged hands on the registration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defendant, TVL, went bankrupt the plaintiffs obtained an order of this Court transferring all five parcels of land to the investors and they now hold these lands. We do not know the value of these lands at this time, but it is assumed that the value is considerably less then the investments made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claim against Oliver and the Bank is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compensation for breach of trust and breach of fiduciary duty. The plaintiffs allege that the defendants, Oliver and the Bank, knew or ought to have known that the investments made by the plaintiffs far exceeded the value of the land and they were under a duty to inform the plaintiffs of that fact. In failing to so inform the plaintiffs the defendants, Oliver and the Bank, failed in their fiduciary duty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Section 4 of the Class Proceedings Act sets out the requirements that must be met for certification of an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court must certify a proceeding as a class proceeding on an application under section 2 or 3 if all of the following requirements are met: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on behalf of the class and of notifying class members of the proceeding, and</w:t>
      </w:r>
    </w:p>
    <w:p>
      <w:pPr>
        <w:numPr>
          <w:numId w:val="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no issue with regard to ss. 4(b) and (e). The Bank and Oliver both argue that there are no common issues and, therefore, the requirements of s. 4(1)(c) have not been met and that a class proceeding is not the preferable procedure as required by s. 4(1)(d). In addition, Oliver argues that the pleadings do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allege that Oliver breached a fiduciary duty by failing to warn the plaintiffs that the monies they invested were undersecured by the lands. The essence of the argument on behalf of Oliver is that there is no cause of action because there was no relationship between the plaintiffs and Oliver that could give rise to a duty of any kind. Counsel argue that there are no cases, other than disappointed beneficiary cases, in which a court has found a duty in circumstances such as these. He argued that Oliver acted for TVL, never met the plaintiffs and the plaintiffs never relied on Oliver for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respond that although Oliver acted for Taylor and never met the plaintiffs, a duty may still arise if Oliver knew that the investment by the plaintiffs was seriously undersecured and he continued to act for the defendant when he knew or ought to have known that the plaintiffs would suffer a loss. The plaintiffs allege that Oliver knew the purchase price of the land because he did the conveyance and knew that a mortgage was placed against the properties for approximately three times the purchase price. He also knew that the plaintiffs invested in those mortgages in an amount far beyond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Plaintiffs' counsel argues that once Oliver knew these facts, he had a duty to warn the plaintiffs or at the very least cease to act for the defendants. Counsel argues that in these circumstances he will be able to convince a court that such a duty exists and even if no courts have gone quite this far there have been suggestions in cases that the courts could go this far if the right circumstances arose. Counsel says that this is just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Kamahap Enterprises Ltd. v. Chu's Central Market Ltd. </w:t>
      </w:r>
      <w:hyperlink r:id="rId408"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(B.C.C.A),. Taylor J.A. commented on the duty owed by a solicitor to a party to a commercial transaction and held that where a lawyer acts for a party in an arms-length transaction his duty is to his client and not to any party who has an interest adverse to that of his client. Counsel, however, argues that the court left the door open to the possibility of establishing a cause of action in the following passage at p. 293: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also become apparent that to exempt business activity from a general rule imposing a duty of care in the economic field would not only be to exempt most cases falling within the rule, but to excuse deliberate infliction of economic loss for personal gain while imposing liability when such loss is caused by accident, and without selfish motive.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Something more must be shown, then, in order to impose a duty on one party to care for the purely economic interests of another, than that the former could foresee that his conduct might cause loss or damage to those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then, may constitute that "something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that question has yet to be definitively answered, it can safely be said that proof of reasonable reliance on the part of the one, which ought to have been known by the other, may in many cases suffice for this purpose. So, perhaps, may the assumption of a contractual duty to one person to do something for the benefit of a third, in circumstances such as those of Ross v. Caunters, although this is not really a duty related to the avoidance of loss or damage, and I think it too early to say with assurance that the decision states a principle of general application in the ordinary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plaintiffs says that this is a case in which that something more can be shown and he must be given an opportunity to make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law is clear that a court will only refuse to certify on this ground if the plaintiff plainly and obviously cannot succeed. See Peppiatt v. Nicol </w:t>
      </w:r>
      <w:hyperlink r:id="rId409" w:history="1">
        <w:r>
          <w:rPr>
            <w:rFonts w:ascii="arial" w:eastAsia="arial" w:hAnsi="arial" w:cs="arial"/>
            <w:i/>
            <w:color w:val="0077CC"/>
            <w:sz w:val="20"/>
            <w:u w:val="single"/>
            <w:shd w:val="clear" w:color="auto" w:fill="FFFFFF"/>
            <w:lang w:val="en-US" w:eastAsia="en-US" w:bidi="ar-SA"/>
          </w:rPr>
          <w:t>(1998), 71 O.T.C. 321</w:t>
        </w:r>
      </w:hyperlink>
      <w:r>
        <w:rPr>
          <w:rFonts w:ascii="arial" w:eastAsia="arial" w:hAnsi="arial" w:cs="arial"/>
          <w:color w:val="000000"/>
          <w:sz w:val="20"/>
          <w:lang w:val="en-US" w:eastAsia="en-US" w:bidi="ar-SA"/>
        </w:rPr>
        <w:t xml:space="preserve"> (Gen. Div.) The novelty of the cause of action will not militate against the plaintiffs. I cannot say that it is plain and obvious that the plaintiffs cannot succeed. The plaintiffs' case may be difficult and, indeed, it may require the plaintiffs to convince a court to extend the law somewhat. In this case, the plaintiffs say that if the law does not yet go so far as to provide a cause of action in these circumstances, it should be extended and he should be given an opportunity to prove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agree with the plaintiffs. I do not know what the plaintiffs will be able to prove. If, for example, the plaintiffs were able to prove that TVL was perpetuating a fraud on the plaintiffs and Oliver knew that and he continued to act for TVL and failed to warn the plaintiffs, the law might be extended to create a duty in Oliver to the plaintiffs. I do not know at the present time whether the plaintiffs will likely be successful, but I cannot say that the plaintiffs are doomed to fail. I find, therefore, that the plaintiffs have met the requirements of showing a cause of action as required by s. 4(1)(a) of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argue that the plaintiffs have pleaded a fiduciary relationship. A fiduciary relationship is individualistic and the question of whether a fiduciary relationship exists and the nature of the duty owed to each plaintiff must be examined on a case-by-case basis. I think this argument overstates the proposition. If I accepted the defendants argument there could never be a class action where a breach of fiduciary duty is alleged. However, there have been at least three cases in which class actions have been certified where a breach of fiduciary duty has been alleged. What is relevant is the nature of the duty alleged to have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L.R. v. British Columbia (1998), 25 C.P.C. (4th) 186 (B.C.S.C.) the class alleged sexual and physical abuse by the staff of Jericho Hill School. The trial judge dismissed the certification application because of the "highly individualistic" nature of the claims alleging a breach of fiduciary duty. The Court of Appeal, </w:t>
      </w:r>
      <w:hyperlink r:id="rId410" w:history="1">
        <w:r>
          <w:rPr>
            <w:rFonts w:ascii="arial" w:eastAsia="arial" w:hAnsi="arial" w:cs="arial"/>
            <w:i/>
            <w:color w:val="0077CC"/>
            <w:sz w:val="20"/>
            <w:u w:val="single"/>
            <w:shd w:val="clear" w:color="auto" w:fill="FFFFFF"/>
            <w:lang w:val="en-US" w:eastAsia="en-US" w:bidi="ar-SA"/>
          </w:rPr>
          <w:t>[1999] B.C.J. No. 2633</w:t>
        </w:r>
      </w:hyperlink>
      <w:r>
        <w:rPr>
          <w:rFonts w:ascii="arial" w:eastAsia="arial" w:hAnsi="arial" w:cs="arial"/>
          <w:color w:val="000000"/>
          <w:sz w:val="20"/>
          <w:lang w:val="en-US" w:eastAsia="en-US" w:bidi="ar-SA"/>
        </w:rPr>
        <w:t>, certified that part of the action that was based on the allegation of systematic causes of sexual assault on students at the school. Individual claims would still have to be proven but the litigation would be moved along by resolving that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Delgrosso v. Paul </w:t>
      </w:r>
      <w:hyperlink r:id="rId411" w:history="1">
        <w:r>
          <w:rPr>
            <w:rFonts w:ascii="arial" w:eastAsia="arial" w:hAnsi="arial" w:cs="arial"/>
            <w:i/>
            <w:color w:val="0077CC"/>
            <w:sz w:val="20"/>
            <w:u w:val="single"/>
            <w:shd w:val="clear" w:color="auto" w:fill="FFFFFF"/>
            <w:lang w:val="en-US" w:eastAsia="en-US" w:bidi="ar-SA"/>
          </w:rPr>
          <w:t>(1999), 45 O.R. (3d) 605</w:t>
        </w:r>
      </w:hyperlink>
      <w:r>
        <w:rPr>
          <w:rFonts w:ascii="arial" w:eastAsia="arial" w:hAnsi="arial" w:cs="arial"/>
          <w:color w:val="000000"/>
          <w:sz w:val="20"/>
          <w:lang w:val="en-US" w:eastAsia="en-US" w:bidi="ar-SA"/>
        </w:rPr>
        <w:t xml:space="preserve"> (Ont. G.D.) the plaintiffs invested in syndicated mortgages through self-directed R.R.S.P.'s arranged by a finance company. The scheme collapsed and the plaintiffs lost money and alleged a breach of fiduciary duty. A class action was certified and Sharpe J. observed at para. 15 of this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are individual issues which make the claim of a particular member of the class stronger, including facts that suggest that that class member had a direct solicitor-client relationship with the solicitor, then that member's interest can be met by opting out of the proceeding and similarly, to the extent that the solicitor is able to demonstrate that there are individual circumstances which might excuse him liability found on the basis of the common issues, provision could be made for individual hearings on that aspect, to determine if further facts in addition to those raised by way of common issues, might exculpate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similar procedure can be followed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Western Canadian Shopping Centres Inc. v. Dutton, </w:t>
      </w:r>
      <w:hyperlink r:id="rId412" w:history="1">
        <w:r>
          <w:rPr>
            <w:rFonts w:ascii="arial" w:eastAsia="arial" w:hAnsi="arial" w:cs="arial"/>
            <w:i/>
            <w:color w:val="0077CC"/>
            <w:sz w:val="20"/>
            <w:u w:val="single"/>
            <w:shd w:val="clear" w:color="auto" w:fill="FFFFFF"/>
            <w:lang w:val="en-US" w:eastAsia="en-US" w:bidi="ar-SA"/>
          </w:rPr>
          <w:t>[1998] A.J. No. 1364</w:t>
        </w:r>
      </w:hyperlink>
      <w:r>
        <w:rPr>
          <w:rFonts w:ascii="arial" w:eastAsia="arial" w:hAnsi="arial" w:cs="arial"/>
          <w:color w:val="000000"/>
          <w:sz w:val="20"/>
          <w:lang w:val="en-US" w:eastAsia="en-US" w:bidi="ar-SA"/>
        </w:rPr>
        <w:t xml:space="preserve"> (Alta C.A.) was a class action alleging breach of fiduciary duty owed by Dutton. Dutton sought to strike the pleadings arguing that the facts and law differed as among the individual investors. The trial judge, </w:t>
      </w:r>
      <w:hyperlink r:id="rId413" w:history="1">
        <w:r>
          <w:rPr>
            <w:rFonts w:ascii="arial" w:eastAsia="arial" w:hAnsi="arial" w:cs="arial"/>
            <w:i/>
            <w:color w:val="0077CC"/>
            <w:sz w:val="20"/>
            <w:u w:val="single"/>
            <w:shd w:val="clear" w:color="auto" w:fill="FFFFFF"/>
            <w:lang w:val="en-US" w:eastAsia="en-US" w:bidi="ar-SA"/>
          </w:rPr>
          <w:t>[1996] A.J. No. 1165</w:t>
        </w:r>
      </w:hyperlink>
      <w:r>
        <w:rPr>
          <w:rFonts w:ascii="arial" w:eastAsia="arial" w:hAnsi="arial" w:cs="arial"/>
          <w:color w:val="000000"/>
          <w:sz w:val="20"/>
          <w:lang w:val="en-US" w:eastAsia="en-US" w:bidi="ar-SA"/>
        </w:rPr>
        <w:t>, certified and the Court of Appeal dismissed the defendant's appeal making the following statement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thrust of the Appellant's argument was that reliance is a key factor in determining whether a fiduciary duty is owed to each individual investor. They argued that because of the different offering memoranda, and the different level of knowledge at different times among the plaintiffs, the respondents did not establish reliance and, as a result, they failed to show that there are similar issues of fact and law among all 231 investors. However, this line of reasoning overlooks the fact that,...actual reliance may not be needed to succeed in an action based on fiduciary duty. Further, it also discounts the fact that in an application under Rule 42 to strike the action, the court must proceed in a cautious manner. If the pleadings were struck as they now stand, it would mean that the 229 unnamed plaintiffs would be required to launch their own separate actions. If this were done, there is a grave risk that many of the unnamed plaintiffs would lose their claims due to the expiration of limitation periods. Given this possibility, and the fact that...it is possible to find a fiduciary duty without actual reliance, the Appellants have not convinced us that the Chambers Judge erred in allowing this action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commented further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to say that we do not see problems in the manner in which this claim is presented. Given the emphasis the Appellants placed on reliance in their submissions, it is impossible to ignore the fact that the Trial Judge may find this to be a case where. ...actual reliance needs to be proven. Such a finding may prove fatal to the class action. As a matter of procedural fairness, the Appellants should not be barred from developing an argument based on actual reliance merely because there is a possibility that actual reliance will not be required. We feel that these concerns can be adequately met by allowing the Appellants the right to examinations for discovery of each of the 231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Here the plaintiffs allege that they can establish a fiduciary duty by the defendant Bank and Oliver in the absence of reliance. If that is the case, then the duty owed may be the same to each investor regardless of individual circumstances. In the case of Oliver, he never met any of the plaintiffs, offered them no advice and had no individual relationship with any of them. If a duty to warn about the undersecurity arises, it may well apply to each individual plaintiff equally. It would still be open to the defendant to show that the duty did not apply in certain individual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case of the Bank it clearly acted at a minimum as a bare trustee. The duty may have been higher than that depending on what the plaintiffs were able to prove. Here the plaintiffs say the documents which evidenced the transaction are identical with each plaintiff. The Bank took the money of each plaintiff and passed it onto Oliver. The Bank knew or ought to have known about the undersecurity and should have warned each investor. The duty to warn was the same for each of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the plaintiffs can prove that reliance on the Bank or Oliver is not necessary to establish a fiduciary duty to warn that is a question which is common to all investors. The trying of that question could well move the litigation along significantly. If the plaintiffs were not successful that would be the end of the entire claim and that is a significant movement in the case. If the plaintiffs are successful, the finding could apply to a significant majority of the members of the class depending on how successful the defendants are in distinguishing individuals from the general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conclude that there are a number of common issues that can be tried: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duty of care and a fiduciary duty owed by the defendant Oliver to the plaintiffs?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Oliver know that the loans were undersecured?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when did Oliver know that they were undersecured?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information about the financial transaction was given to Oliver by the defendant TVL and when was that information given?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loans, in fact, undersecured at the time the loans were made?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TVL perpetrating a fraud on the investors and, if so, did Oliver know about it and when did he know?</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Bank have knowledge that the investments were undersecured?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did the Bank know? Was the Bank under a duty to disclose this knowledge and, if so, when?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the Bank or Oliver breached a duty to the plaintiffs what damages or compensation are the plaintiffs entitled to?</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interest rate runs on the investors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These questions raise a number of legal and factual issues which are common to all of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instance, the trial would be required to be done in stages. The first stage would be a trial of the common questions. During the course of that trial, the defendants may be able to show that there was no duty owed to certain individuals because of particular circumstances that pertain to those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argue that the procedure would deny them an opportunity to properly defend the case because they would not be able to call evidence on whether a fiduciary relationship existed until after a decision was made and I would be required to reverse my decision on a case-by-case basis. This procedure would deprive the defendants of a proper opportunity to cross-examine and present a defence. The defence is that there was no fiduciary relationship and they are entitled to show that with each and every plaintiff individually at the time the plaintiffs are putting in their case. I think this concern can be accommodated. Prior to the trial, a number of sample discoveries can be carried out. If as a result of those sample discoveries the defendant can show that the individual cases will affect the conduct of the common issues as defined and the procedure becomes unfair it may be necessary to decertify. At this stage, however, the plaintiffs are basing their case on facts that they describe are common to all and the legal proposition that will be common to all. I think that those issues can be tried without trying each case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has a broad discretion to determine the preferable procedure for a fair and efficient resolution of the action. Section 4(2) of the Act sets out at least some of the considerations a court must take into account when considering the preferable procedure.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addition to these, the courts in Canada and the United States have considered other factors such as the relative cost of various proceedings and whether meritorious cases will be lost if there are no class proceedings. In this instance, it is clear that few, if any of the members of the class would be able to proceed with individual actions and meritorious claims might well be lost. The only economic way for the plaintiffs in this action to proceed is through a class action. It is clear that the class action will enhance access to the courts. There are no other practical alternatives available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have raised a question about whether they will lose procedural safeguards such as discovery; however, with the minor adjustment in the procedure outlined above I think these problems can be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a class action is the preferable procedure because I do not think there are other procedures which could fairly and efficiently resolve the issues presented by the plaintiffs. I rule that a class action should be certified subject to further discussion and submissions by counsel on the procedure and the common questions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MACZKO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Freer (Guardian ad litem of) v. Okanagan/Skaha School District No. 67, [2003] B.C.J. No. 407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51919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407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232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Kyle Melvin Freer, an infant (a person under disability), by his Guardian ad litem (Committee), Geraldine Freer, and the said Guardian ad litem (Committee), Geraldine Freer, plaintiffs, and The Board of School Trustees of School District No. 67 (Okanagan/Skaha),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23"/>
      <w:bookmarkEnd w:id="160"/>
      <w:r>
        <w:rPr>
          <w:rFonts w:ascii="arial" w:eastAsia="arial" w:hAnsi="arial" w:cs="arial"/>
          <w:b/>
          <w:color w:val="000000"/>
          <w:sz w:val="20"/>
          <w:lang w:val="en-US" w:eastAsia="en-US" w:bidi="ar-SA"/>
        </w:rPr>
        <w:t>Practice — Costs — Party and party costs — Entitlement to party and party costs — Where success or fault divided.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22"/>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Freer brought an action in the Supreme Court against the School District for damages of $50,000 arising from an injury on the school grounds. Freer had broken his knee in an unrelated accident several weeks before the subject injury. He re-broke his knee while walking on a soccer field while attending his physical education class. The teacher was found not negligent in requiring Freer to attend the class without participating. However, the teacher was found negligent in requiring Freer to stand on his leg after the injury and walk back to the school unassisted. Freer was awarded $1,500 in damages. The Rules provided that a plaintiff who recovered an amount within the jurisdiction of the Small Claims Court was not entitled to costs, other than disbursements, unless the Court found that there was sufficient reason for bringing the proceeding in the Supreme Court. The School District argued that there were two separate issues; one whether there was a breach of duty with respect to supervision on the soccer field and the other whether there was a breach of duty with regard to care after the injury, and that liability had only been found on the second issue. The School District argued that the time spent on that issue was minimal.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2" w:name="Holdings of Court_20"/>
            <w:bookmarkEnd w:id="162"/>
            <w:r>
              <w:rPr>
                <w:rFonts w:ascii="arial" w:eastAsia="arial" w:hAnsi="arial" w:cs="arial"/>
                <w:color w:val="000000"/>
                <w:sz w:val="20"/>
                <w:lang w:val="en-US" w:eastAsia="en-US" w:bidi="ar-SA"/>
              </w:rPr>
              <w:t>HELD: Freer and the School District were each entitled to half of their costs and disbursements.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sufficient reason for bringing the proceedings in the Supreme Court, so Freer's costs were not limited to disbursements. While there had been two separate issues, it was necessary to lead much of the evidence whether the claim was founded on either alleged breach of duty.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Legislation Cited_18"/>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2"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57(9), 57(10), 57(15).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23"/>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Vandersluys, for the plaintiffs. J.D. Cotter,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2"/>
      <w:bookmarkEnd w:id="165"/>
      <w:r>
        <w:pict>
          <v:line id="_x0000_s1144"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POWERS J."/>
            <w:bookmarkEnd w:id="166"/>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decision deals with the issue of costs of these proceedings. Mr. Freer, an infant and Geraldine Freer his mother and guardian ad litem sued the defendant school district for damages arising from an injury Mr. Freer suffered at the school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He had broken his knee in a skiing accident with his father several weeks before this injury. He re-broke his knee while walking on a soccer field while attending with his physical education class. He was not participating in the class. His physical education teacher attended upon him and despite being told by Mr. Freer that the knee was broken, asked Mr. Freer if he could stand on his leg and then directed him to walk back to the school to call his mother. It was alleged in the pleadings that the school district was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physical education teacher in requiring Mr. Freer to attend the physical education class and also with regard to his post-injury care. I found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physical education teacher in requiring Mr. Freer to attend the class but not participate in it. I did find the physical education teacher was negligent in the after-injury care in requiring Mr. Freer to stand on his leg and walk back to the school unassisted. I found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extend the time of recovery or further damage the knee but did cause additional pain and suffering and as a result awarded $1,500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dismissed Ms. Freer's claim for loss of income as a result of the care she provided to her son Mr. Freer.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allowed the parties to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issue of costs came before me on February 13, 2003. The plaintiff Mr. Freer seeks costs of the proceedings and the defendant argues that they should receive costs against Ms. Freer as a result of her claims being dismissed, that they should receive costs against Mr. Freer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physical education teacher for requiring Mr. Freer to attend the physical education class. They say these costs should amount to 95% of the costs of the trial on the basis that they occupy the majority of the trial. The defendant then argues that Mr. Freer should only receive 5% of his disbursements based on a division of the costs between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require Mr. Freer to attend the class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may have arisen as a result of the treatment of Mr. Freer by the physical education teacher after his initial injury and on the basis that the action should have been commenced in the small claims division of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Plaintiff's Costs Be Limited To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Rules of Court 57(10) state:</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who recovers a sum within the jurisdiction of the Provincial Court under the Small Claims Act is not entitled to costs, other than disbursements, unless the court finds that there was sufficient reason for brining the proceeding in the Supreme Court and so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claim could have exceeded the jurisdiction of the small claims court which is limited to $10,000. The plaintiff was seeking damages in the range of $40,000 to $50,000 and the defendant in submissions argued that if liability was found against the school district for the injury itself the damages would be in the range of $15,000. Even if the action involved two separate incidents, accidents, or events, as argued the first being the injury sustained when Mr. Freer initially slipped on the soccer field and the second being the pain and suffering as a result of placing weight on the injured leg and walking back to the school, and the damages from the second injury accident or event were clearly within the jurisdiction the small claims court, these claims of necessity were brought together. It would clearly have been unreasonable to bring them as two separate causes of action or claims, whether one was in the small claims division of the provincial court and the other in the supreme court or not. Clearly there was sufficient reason for bringing the proceedings in the supreme court and the plaintiff's costs will not be limited to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Rules of Court 57(9) provide: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and incidental to a proceeding shall follow the event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word "event" must be construed distributively and the determination of a separate issue is an "event" within the rule. (See the Conduct of Civil Litigation in British Columbia: Fraser and Horne p. 1099, citing McLeod Engines Ltd. v. Canadian Atlas Diesel Engines Co. (No. 2) (1951), 1 W.W.R. 803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Rules of Court Rule 57(15) provides: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 that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Fraser and Horne point out at page 1104-1106: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words "part of a proceeding" in Rule 57(15) give the Court a broad discretion and indicate that the rule is not to be applied to issues in a narrow or technical sense. The concept might cover, for example, a part of the trial taken up by evidence which was immaterial to the decision or which was duplicitous. (B.C. (Govt.) v. Worthington (Canada) Inc., </w:t>
      </w:r>
      <w:hyperlink r:id="rId421" w:history="1">
        <w:r>
          <w:rPr>
            <w:rFonts w:ascii="arial" w:eastAsia="arial" w:hAnsi="arial" w:cs="arial"/>
            <w:i/>
            <w:color w:val="0077CC"/>
            <w:sz w:val="20"/>
            <w:u w:val="single"/>
            <w:shd w:val="clear" w:color="auto" w:fill="FFFFFF"/>
            <w:lang w:val="en-US" w:eastAsia="en-US" w:bidi="ar-SA"/>
          </w:rPr>
          <w:t>[1989] 1 W.W.R. 1</w:t>
        </w:r>
      </w:hyperlink>
      <w:r>
        <w:rPr>
          <w:rFonts w:ascii="arial" w:eastAsia="arial" w:hAnsi="arial" w:cs="arial"/>
          <w:color w:val="000000"/>
          <w:sz w:val="20"/>
          <w:lang w:val="en-US" w:eastAsia="en-US" w:bidi="ar-SA"/>
        </w:rPr>
        <w:t xml:space="preserve"> (B.C.C.A.); Bailey v. Victory </w:t>
      </w:r>
      <w:hyperlink r:id="rId422" w:history="1">
        <w:r>
          <w:rPr>
            <w:rFonts w:ascii="arial" w:eastAsia="arial" w:hAnsi="arial" w:cs="arial"/>
            <w:i/>
            <w:color w:val="0077CC"/>
            <w:sz w:val="20"/>
            <w:u w:val="single"/>
            <w:shd w:val="clear" w:color="auto" w:fill="FFFFFF"/>
            <w:lang w:val="en-US" w:eastAsia="en-US" w:bidi="ar-SA"/>
          </w:rPr>
          <w:t>(1995), 4 B.C.L.R. (3d) 389</w:t>
        </w:r>
      </w:hyperlink>
      <w:r>
        <w:rPr>
          <w:rFonts w:ascii="arial" w:eastAsia="arial" w:hAnsi="arial" w:cs="arial"/>
          <w:color w:val="000000"/>
          <w:sz w:val="20"/>
          <w:lang w:val="en-US" w:eastAsia="en-US" w:bidi="ar-SA"/>
        </w:rPr>
        <w:t xml:space="preserve"> (B.C.C.A.); Sailor v. Surrey (1979), 12 C.P.C. 112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argues that the plaintiff's pleadings referred to two distinct events that were called the "first accident" when the plaintiff slipped and fractured his knee on the soccer field and the "second accident" when the plaintiff was instructed to walk back to the school unassisted. The defendant argues that liability was not found for the "first accident" but only the "second accident" and the time spent dealing with the "second accident"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argues that despite the pleadings the plaintiff's claim was really based on "a continuum of facts - the issues were not discreet". There were no admissions as to liability on any particular issue or point and that the evidence related to all of the issues not a particular issue and would have been led in any event. The plaintiff further argues that Rule 57(15) is really designed to allow the court to "effect a just result between parties in cases which have been prolonged by issues" which the otherwise successful party has lost. (B.C. (Govt.) v. Worthington (Canada) Inc.,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points to cases where issues were raised in which the plaintiff was unsuccessful and which prolonged the trial and resulted in the application of Rule 57(15). (Van Halteren v. Wilhelm, </w:t>
      </w:r>
      <w:hyperlink r:id="rId423" w:history="1">
        <w:r>
          <w:rPr>
            <w:rFonts w:ascii="arial" w:eastAsia="arial" w:hAnsi="arial" w:cs="arial"/>
            <w:i/>
            <w:color w:val="0077CC"/>
            <w:sz w:val="20"/>
            <w:u w:val="single"/>
            <w:shd w:val="clear" w:color="auto" w:fill="FFFFFF"/>
            <w:lang w:val="en-US" w:eastAsia="en-US" w:bidi="ar-SA"/>
          </w:rPr>
          <w:t>[1997] B.C.J. No. 2938</w:t>
        </w:r>
      </w:hyperlink>
      <w:r>
        <w:rPr>
          <w:rFonts w:ascii="arial" w:eastAsia="arial" w:hAnsi="arial" w:cs="arial"/>
          <w:color w:val="000000"/>
          <w:sz w:val="20"/>
          <w:lang w:val="en-US" w:eastAsia="en-US" w:bidi="ar-SA"/>
        </w:rPr>
        <w:t xml:space="preserve"> (B.C.S.C.); Crompton Suage Enterprises Inc. v. LEP International Inc., </w:t>
      </w:r>
      <w:hyperlink r:id="rId424" w:history="1">
        <w:r>
          <w:rPr>
            <w:rFonts w:ascii="arial" w:eastAsia="arial" w:hAnsi="arial" w:cs="arial"/>
            <w:i/>
            <w:color w:val="0077CC"/>
            <w:sz w:val="20"/>
            <w:u w:val="single"/>
            <w:shd w:val="clear" w:color="auto" w:fill="FFFFFF"/>
            <w:lang w:val="en-US" w:eastAsia="en-US" w:bidi="ar-SA"/>
          </w:rPr>
          <w:t>[1994] B.C.J. No. 2214</w:t>
        </w:r>
      </w:hyperlink>
      <w:r>
        <w:rPr>
          <w:rFonts w:ascii="arial" w:eastAsia="arial" w:hAnsi="arial" w:cs="arial"/>
          <w:color w:val="000000"/>
          <w:sz w:val="20"/>
          <w:lang w:val="en-US" w:eastAsia="en-US" w:bidi="ar-SA"/>
        </w:rPr>
        <w:t xml:space="preserve"> (B.C.S.C.).) The plaintiff argues that Rule 57(15) should not be regularly applied especially where the issue in which the plaintiff failed did not significantly expand the scope of the proceedings. (Hammond v. Assn. of British Columbia Professional Forresters, </w:t>
      </w:r>
      <w:hyperlink r:id="rId425" w:history="1">
        <w:r>
          <w:rPr>
            <w:rFonts w:ascii="arial" w:eastAsia="arial" w:hAnsi="arial" w:cs="arial"/>
            <w:i/>
            <w:color w:val="0077CC"/>
            <w:sz w:val="20"/>
            <w:u w:val="single"/>
            <w:shd w:val="clear" w:color="auto" w:fill="FFFFFF"/>
            <w:lang w:val="en-US" w:eastAsia="en-US" w:bidi="ar-SA"/>
          </w:rPr>
          <w:t>[1992] B.C.J. No. 3026</w:t>
        </w:r>
      </w:hyperlink>
      <w:r>
        <w:rPr>
          <w:rFonts w:ascii="arial" w:eastAsia="arial" w:hAnsi="arial" w:cs="arial"/>
          <w:color w:val="000000"/>
          <w:sz w:val="20"/>
          <w:lang w:val="en-US" w:eastAsia="en-US" w:bidi="ar-SA"/>
        </w:rPr>
        <w:t xml:space="preserve"> (B.C.S.C.).) The plaintiff also referred to a decision in a motor vehicle case where the plaintiff was unsuccessful in a claim for future loss of income but Rule 57(15) was not applied because there was no evidence called which related exclusively to the issue of loss of income. (Yarrow v. Marsh, </w:t>
      </w:r>
      <w:hyperlink r:id="rId426" w:history="1">
        <w:r>
          <w:rPr>
            <w:rFonts w:ascii="arial" w:eastAsia="arial" w:hAnsi="arial" w:cs="arial"/>
            <w:i/>
            <w:color w:val="0077CC"/>
            <w:sz w:val="20"/>
            <w:u w:val="single"/>
            <w:shd w:val="clear" w:color="auto" w:fill="FFFFFF"/>
            <w:lang w:val="en-US" w:eastAsia="en-US" w:bidi="ar-SA"/>
          </w:rPr>
          <w:t>[2002] B.C.J. No. 1868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argues that if an order for costs were made against them it would be financially devastating. The defendant argues that there is no evidence to that effect. The evidence is that Mr. Freer, the plaintiff, is a high school student who has some part-time employment. The plaintiff Ms. Freer works in a health food store as an employee. They live in rented accommodation. Certainly a significant order of costs would create financial difficulty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agree with the defendant's argument that financial hardship alone is not proper grounds for ordering that costs should not follow the event. (Robinson v. Lakner, </w:t>
      </w:r>
      <w:hyperlink r:id="rId427" w:history="1">
        <w:r>
          <w:rPr>
            <w:rFonts w:ascii="arial" w:eastAsia="arial" w:hAnsi="arial" w:cs="arial"/>
            <w:i/>
            <w:color w:val="0077CC"/>
            <w:sz w:val="20"/>
            <w:u w:val="single"/>
            <w:shd w:val="clear" w:color="auto" w:fill="FFFFFF"/>
            <w:lang w:val="en-US" w:eastAsia="en-US" w:bidi="ar-SA"/>
          </w:rPr>
          <w:t>[1998] B.C.J. No. 1047</w:t>
        </w:r>
      </w:hyperlink>
      <w:r>
        <w:rPr>
          <w:rFonts w:ascii="arial" w:eastAsia="arial" w:hAnsi="arial" w:cs="arial"/>
          <w:color w:val="000000"/>
          <w:sz w:val="20"/>
          <w:lang w:val="en-US" w:eastAsia="en-US" w:bidi="ar-SA"/>
        </w:rPr>
        <w:t xml:space="preserve"> (B.C.C.A.).) This action arose out of one set of circumstances but I agree with the defendant that there were separate issues as referred to in Rule 57(15).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two separate issues in this case related to whether the teacher and, therefore, vicariously, the School District breach its duty to the plaintiff, Mr. Freer, first in its supervision of him on the playing field, and secondly, with regard to his care after the injury. I do not, however, agree with the defendant's position on how the evidence and the trial should be divided with regard to those issues. I agree with the plaintiff that it was necessary to lead much of the evidence with regard to the plaintiff's claim whether it was founded on either alleged breach of duty. I find that the fairest way to deal with costs in this case, is to allow the plaintiff one-half it's costs and disbursements, and to allow the defendant one-half of it's costs and disbursements. There will be no cost to any of the parties with regard to Ms. Freer's claim. In my opinion, it occupied little or almost no time in the proceeding. She was a necessary witness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Gadsby v. British Columbia (Attorney General), [2018] B.C.J. No. 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Crossin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S177350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 Elizabeth Gadsby, Seaview Villa Estates Ltd., Plaintiffs, and Her Majesty the Queen in Right of the Province of British Columbia/BC Ministry of The Attorney General (BCAG), Cove Mortgage Ltd./CMIC Mortgage Investment Corp. (Cove/CMIC), Andrew Bury, Lawyer, Gowlings WLG (Bury), Landquest Realty Corp. (Landquest), Richard Osborne, President, Landquest Realty Corp. (Osborne), Jason Zroback, Selling Realtor, Landquest Realty Corp. (Zroback), Ken Tiderleigh, Agent For Buyer (Tiderleigh) (Deceased), Crown Point Developments, The Strongman Group (Strongman Group), Gerry Strongman (Gerry), Marc Strongman, Buyer (Marc), 1042635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24"/>
      <w:bookmarkEnd w:id="167"/>
      <w:r>
        <w:rPr>
          <w:rFonts w:ascii="arial" w:eastAsia="arial" w:hAnsi="arial" w:cs="arial"/>
          <w:b/>
          <w:color w:val="000000"/>
          <w:sz w:val="20"/>
          <w:lang w:val="en-US" w:eastAsia="en-US" w:bidi="ar-SA"/>
        </w:rPr>
        <w:t xml:space="preserve">Civil litigation — Civil procedure — Costs — Security for costs — Application by defendants for security for costs allowed — Plaintiffs commenced claim against defendants for conspiracy,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good faith in relation to foreclosure proceedings — Plaintiffs had judgment in excess of $700,000 against them — Plaintiffs would be unable to pay costs if defendants successful in defence of claim — Claim essentially sought to re-litigate matters previously decided — Order for security for costs was just and appropriate.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23"/>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security for costs. In 2007, the corporate plaintiff obtained a loan from CMIC, secured by a mortgage, to develop lands. The individual plaintiff provided a covenant in respect of the mortgage. In 2008, the individual plaintiff took out a third mortgage on her home from CMIC. Both the corporate plaintiff and the individual plaintiff defaulted on the mortgages and CMIC foreclosed. CMIC sold the corporate property for $550,000, which was well below the amount owed, resulting in a shortfall of approximately $700,000. The individual plaintiff's home was also sold. In 2016, the plaintiffs and another party commenced a related claim alleging conspiracy on the part of CMIC and others in the foreclosure proceedings. The defendants in the action successfully applied to have it dismissed based on the Limitation Act. After that action was dismissed, the plaintiff appeal and commenced this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21"/>
            <w:bookmarkEnd w:id="16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would be unable to recover their costs if they were successful. The plaintiffs did not own any real property and had unpaid judgments against them in the amount of $700,000. The claim was a re-arguing of the position the plaintiffs took in the foreclosure proceedings. In addition, there were no material facts which supported the claims of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good faith against CMIC. While it could not be said at this stage that the claim amounted to an abuse of process, it bore the hallmarks. An order for security for costs was just and appropriate. The plaintiffs were to post security for costs in the amount of $15,000.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Legislation Cited_19"/>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7"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435" w:history="1">
        <w:r>
          <w:rPr>
            <w:rFonts w:ascii="arial" w:eastAsia="arial" w:hAnsi="arial" w:cs="arial"/>
            <w:i/>
            <w:color w:val="0077CC"/>
            <w:sz w:val="20"/>
            <w:u w:val="single"/>
            <w:shd w:val="clear" w:color="auto" w:fill="FFFFFF"/>
            <w:lang w:val="en-US" w:eastAsia="en-US" w:bidi="ar-SA"/>
          </w:rPr>
          <w:t>S.B.C. 2002, c. 57, s. 236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1" w:name="Counsel_24"/>
      <w:bookmarkEnd w:id="1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Cove Mortgage Ltd./CMIC Mortgage Investment Corp: A. Pearson.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3"/>
      <w:bookmarkEnd w:id="172"/>
      <w:r>
        <w:pict>
          <v:line id="_x0000_s1149"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CROSSIN J. (orally)"/>
            <w:bookmarkEnd w:id="173"/>
            <w:r>
              <w:rPr>
                <w:rFonts w:ascii="arial" w:eastAsia="arial" w:hAnsi="arial" w:cs="arial"/>
                <w:b/>
                <w:color w:val="000000"/>
                <w:sz w:val="30"/>
                <w:lang w:val="en-US" w:eastAsia="en-US" w:bidi="ar-SA"/>
              </w:rPr>
              <w:t>CROSSIN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Cove Mortgage Ltd./CMIC Mortgage Investment Corp. ("CMIC") for an order that one or both of the plaintiffs post security for costs in connection with their claim against CMIC.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Gadsby is the sole shareholder and director of Seaview Villa Estates Ltd. ("Seaview") and appears on behalf of herself and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allegations of the plaintiffs against the numerous defendants arise from the circumstances relating to foreclosure proceedings concerning lands that were owned by Seaview in Sechelt,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necessary for the purpose of this application to at least summarily outline some background in relation to the Sechelt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2007, Seaview, with a view to developing the subject lands borrowed money from CMIC. The loan was secured by a mortgage. Ms. Gadsby provided a covenant in respect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Seaview defaulted under the mortgage and foreclosure proceedings were commenced by CMIC against Seaview and Ms. Gadsby in 2011. In May 2011 Master Scarth granted an order nisi and provided for a redemption period of seven months, ending January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January 2012 Master Tokarek made an order that the redemption period be extended to June 2012. A further application by the plaintiffs to extend the redemption period beyond June 2012 was dismissed by Master Tokarek in August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Over the next two or three years CMIC attempted to sell the property to no avail. Ms. Gadsby, it appears, also made substantial efforts to market the property but with no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July 2015 CMIC accepted an offer for the property from Crown Point Developments in the amount of $550,000. Crown Point Developments assigned the contract to a numbered company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Unfortunately, the selling price was well below the indebtedness.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redemption amount upon the granting of the order nisi in May 2011 was approximately $1,000,000. No mortgage payments had been made by the plaintiffs as at July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application for court approval of sale was heard by Master Harper on July 27, 2015. The plaintiffs opposed the application. Master Harper granted the order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appealed the order of Master Harper. The appeal was dismissed by Mr. Justice Leask on August 7, 2015 and the property was sold August 11, 2015. The shortfall to CMIC was approximately $700,000. This amount remains due and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related litigation that is germane to these proceedings and the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or about 2008 Ms. Gadsby took out a third mortgage on her residential home in North Vancouver. CMIC was also the lender in relation to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2010 Ms. Gadsby was in default and foreclosure proceedings were commenced in this regard (the "home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order nisi was granted in the home foreclosure in May 2011. Again Ms. Gadsby was granted a redemption period and in due course the home was listed for sale in July 2012. CMIC was granted conduct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Over the protestations of Ms. Gadsby, a sale was approved by Master McDiarmid in March 2013. Ms. Gatsby again appealed the order of Master McDiarmid. The appeal was dismissed by Mr. Justice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 application for a stay of the order for sale was subsequently dismissed by Hinkson J.A., as he then was, sitting as a single judge in Chambers in the Court of Appeal. This occurred in April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Some years later, in November 2016, Ms. Gadsby and Seaview (and another party that is not relevant to this analysis) filed a notice of civil claim ("the related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Generally, the related claim alleged,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 conspiracy made up of a number of persons and entities, including Cove/CMIC, the solicitors acting on behalf of Cove/CMIC in the foreclosure proceeding, the real estate personnel involved in the sale, and the purchasers of the home upon the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gravamen of the conspiracy allegation in the related claim is that the defendants agreed to mislead the court during the foreclosure proceeding concerning the home in order to fraudulently cause the home to be sold for much less than the true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June 2017 an application was brought by many of the defendants in the related proceedings, including CMIC, to dismiss the action upon a number of grounds. On June 15, 2017 Mr. Justice Groves dismissed the claim as against most of the defendants, including Cove/CMIC, based upon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result it was not necessary for the court to rule on other aspects of the application. The learned Chambers judge however did observe that in his view there was "not a scintilla" of evidence to be found in the material to suggest there was a conspiracy as alleged,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Gadsby has appealed the decision of Mr. Justice Groves. On October 30, 2017 Mr. Justice Goepel sitting in Chambers ordered that security for costs in the amount of $5,000 be posted by the appellants.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this was unfolding Ms. Gadsby, in August 2017, filed the claim before the court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claim at bar mirrors in many ways the claim in relation to the home foreclosure proceedings. Indeed, Ms. Gadsby advises the conspiracy claim in relation to the herein action is captured concisely in the following paragraph as outlined in her claim:</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SEAVIEW and GADSBY claim that the defendants, through a series of unlawful acts described above, conspired among themselves, and with yet unidentified others, to deliver title of the subject property for the remaining Seaview land for development of planned phases 2 to 4 to a numbered company, the defendant No. 1042635 B.C. Ltd., purposely incorporated July 13,2015 and listing the defendant Marc Strongman as its Director, to purchase the remaining Seaview land at substantially below market value thereby cheating the plaintiff GADSBY, Seaview's sole shareholder and President, who had invested $3,026,000 in Seaview's future planned phases as of December 31,2014 out of its economic interests in the property and in so doing misled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An application for security for costs is highly discretionary. An order for security for costs seeks to address the real prospect of a successful defendant being unable to recover its costs from the unsuccessful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balance to be struck, which is often a delicate balance, is respecting the real prospect of such an outcome and being ever mindful of allowing the public access to our courts in order to air legitimate grievances.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application at bar seeks security for costs against both the corporate plaintiff and Ms. Gadsby.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statutory vehicle for an order for security for costs against an apparent impecunious corporate plaintiff is s.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236 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seminal authority outlining the principles that govern an order in this context is: </w:t>
      </w:r>
      <w:r>
        <w:rPr>
          <w:rFonts w:ascii="arial" w:eastAsia="arial" w:hAnsi="arial" w:cs="arial"/>
          <w:i/>
          <w:color w:val="000000"/>
          <w:sz w:val="20"/>
          <w:lang w:val="en-US" w:eastAsia="en-US" w:bidi="ar-SA"/>
        </w:rPr>
        <w:t>Kropp v. Swaneset Bay Golf Course Ltd</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(C.A.)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888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17 ...</w:t>
            </w:r>
          </w:p>
        </w:tc>
        <w:tc>
          <w:tcPr>
            <w:tcW w:w="870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It appears from the authorities that once an applicant has demonstrated a corporate plaintiff will be unable to pay costs should the claim fail, security is generally ordered unless there appears to be no arguable defence. See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principles and analysis in relation to an individual plaintiff is more nuanced. The approach in that regard is captured succinctly, in my respectful view, by Madam Justice Warren in </w:t>
      </w:r>
      <w:r>
        <w:rPr>
          <w:rFonts w:ascii="arial" w:eastAsia="arial" w:hAnsi="arial" w:cs="arial"/>
          <w:i/>
          <w:color w:val="000000"/>
          <w:sz w:val="20"/>
          <w:lang w:val="en-US" w:eastAsia="en-US" w:bidi="ar-SA"/>
        </w:rPr>
        <w:t>Huang v. Silvercorp Metals Inc.</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2017 BCSC 273</w:t>
        </w:r>
      </w:hyperlink>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different approach is taken in applications for security for costs against natural persons because of a concern to ensure that poverty is not a bar to legitimate access to the courts: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2007 BCSC 1751</w:t>
        </w:r>
      </w:hyperlink>
      <w:r>
        <w:rPr>
          <w:rFonts w:ascii="arial" w:eastAsia="arial" w:hAnsi="arial" w:cs="arial"/>
          <w:color w:val="000000"/>
          <w:sz w:val="20"/>
          <w:lang w:val="en-US" w:eastAsia="en-US" w:bidi="ar-SA"/>
        </w:rPr>
        <w:t xml:space="preserve"> at paras. 26-33. The fact that a plaintiff who is a natural person is not sufficiently wealthy to be able to pay a costs award if he or she loses the case would not, on its own, justify the granting of an order for security for costs because such an order would likely preclude access to the courts. As Shaw J. said in </w:t>
      </w:r>
      <w:r>
        <w:rPr>
          <w:rFonts w:ascii="arial" w:eastAsia="arial" w:hAnsi="arial" w:cs="arial"/>
          <w:i/>
          <w:color w:val="000000"/>
          <w:sz w:val="20"/>
          <w:lang w:val="en-US" w:eastAsia="en-US" w:bidi="ar-SA"/>
        </w:rPr>
        <w:t>Fraser v. Houston</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(1997), 36 B.C.L.R. (3d) 118</w:t>
        </w:r>
      </w:hyperlink>
      <w:r>
        <w:rPr>
          <w:rFonts w:ascii="arial" w:eastAsia="arial" w:hAnsi="arial" w:cs="arial"/>
          <w:color w:val="000000"/>
          <w:sz w:val="20"/>
          <w:lang w:val="en-US" w:eastAsia="en-US" w:bidi="ar-SA"/>
        </w:rPr>
        <w:t xml:space="preserve"> at para. 11 (S.C.), "the court should not make an order which would preclude the right of access except in egregious circumstances amounting to a likely abuse of the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it is clear on the evidence before me the applicants will be unable to recover their costs in the event of a successful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do not own any real property. The plaintiffs have unpaid judgments against them in excess of $700,000. Ms. Gadsby forcefully submits she is hopeful of earning income in the future. She submits there may be a film project in the future based upon her book. She is contemplating writing a second book and, as well, reinvigorating her consulting business. These pursuits however remain aspirational. There is little evidence that there will be a change in her current circumstances anytime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nature of the claim is also a relevant factor and may be weighed in the determination of an application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claim is, in essence, a re-visiting and re-arguing of the positions Ms. Gadsby took before the courts during both foreclosure proceedings. Generally speaking the plaintiffs allege negligent and dishonest conduct against the applicants that can be characterized in two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Firstly the claim alleges the solicitors on behalf of the applicants misled the court during the foreclosure proceedings which conduct caused loss to the plaintiffs. The claim against CMIC, in relation to the allegations against the solicitors, appears to rest on principles of conspiracy and agency. It is captured in this paragraph of the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GADSBY claims that the defendant COVE/CMIC condoned, is complicit with, is bound by and accountable for the actions of its lawyer, the defendant BURY throughout Seaview's foreclosure and sale proceedings as described above and that GADSBY has suffered significant financial losses and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addition, the claim alleges Cove/CMIC "was negligent, breached its duty of good faith, honest performance, and fairness" in relation to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can discern no material facts contained in the claim that remotely support the allegations concerning CMIC.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true that matters such as this can evolve. Evidence can surface. Pleadings may be amended. At this stage however the apparent weakness of the claim supports the granting of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cannot say at this stage the claim amounts to an abuse of process, but it certainly reveals the classic earmarks of such a characterization. The nature of the conspiracy allegation in the case at bar is the same as in the claim relating to the home foreclosure. The pleadings in the claim before me that are directed at the applicants, either directly or indirectly, allege a most serious fraud upon the court. The allegations take the form of re-characterizing the arguments put forward by Ms. Gadsby during the foreclosure proceedings; now coupled with somewhat reckless speculation and conjecture as to the conduct and motives of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Gadsby takes the position no order is justified. In the alternative she says she has the ability to post some security but she would require time to pursue raising the funds if such an order was made. She has indicated to the court that she has a fund raising website for the purposes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summary, I have found on the evidence before me the plaintiffs have no realistic ability to pay the kind of costs that would flow from an unsuccessful claim. I have also found the plaintiffs nevertheless are pressing allegations that essentially seek to re-litigate matters and issues previously determined by the courts under the guise of a theory that the determinations by the court were the result of the defendant's wrongful conduct and oblique motives.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all of the evidence and material I conclude an order for security costs against both plaintiffs is just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must be weighed against the fact that the means of Ms. Gadsby are limited. In my view it is not, as yet, appropriate to effectively kill the claim in the context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applicant seeks security for costs in the amount of $34,107.15. This is based on a draft bill of costs concerning a hypothetical ten day trial. In my view it is far too early in the process to have any real sense of how this matter will unfold. The amount suggested by the applicants, while presented fairly and in good faith, is excessive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order the plaintiffs to post security for costs in the sum of $15,000. The claim is stayed against the applicants pending the posting of security. If the plaintiffs fail to post the security on or before March 29, 2018, the applicants may apply for further relief including an order that the plaintiffs claim be dismissed. The applicants are entitled to their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CROSSIN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John James Rickard Noble Second Generation Family Trust (Trustee of) v. Hueson Pharmaceutical Corp., [2002] B.C.J. No. 2933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3 - 5, 29, May 27 and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55344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2933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1051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1791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Noble, Trustee for and on behalf of John James Rickard Noble Second Generation Family Trust, Allan Ford Gill and Koala Holdings Inc., plaintiffs, and Hueson Pharmaceutical Corporation, Donald W. Hughes, Peter Hughes and Bryan Moore,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1"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25"/>
      <w:bookmarkEnd w:id="174"/>
      <w:r>
        <w:rPr>
          <w:rFonts w:ascii="arial" w:eastAsia="arial" w:hAnsi="arial" w:cs="arial"/>
          <w:b/>
          <w:color w:val="000000"/>
          <w:sz w:val="20"/>
          <w:lang w:val="en-US" w:eastAsia="en-US" w:bidi="ar-SA"/>
        </w:rPr>
        <w:t>Fraud and misrepresentation — Fraudulent misrepresentation (deceit) — What constitutes deceit or fraudulent misrepresentation — Misrepresentation — Negligent misrepresentation — Elements of actionable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24"/>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Noble and Gill for summary judgment for damages against the defendants Hueson Pharmaceutical, Donald Hughes, Peter Hughes and Bryan Moore for damages for fraudulent or negligent misrepresentation. Donald and Bryan were shareholders in Hueson. Peter was Donald's son and was an officer of Hueson. The plaintiffs purchased shares in Hueson in response to offerings made by the company. Hueson specialized in producing various herbal medicines, including a non-steroid cream for Psoriasis known as Miralex. In July 1999, the Health Protection Branch advised Donald that Miralex was a drug, so that there were a number of labelling requirements that had to be met. In September 1999, the Branch advised Donald that the drug contained steroids and could only be sold by way of prescription. Hueson withdrew Miralex from the market. The plaintiffs claimed they lost their entire investment because of the failure of Miralex. They submitted that they relied on certain misrepresentations made by the defendants to invest in Hueson, including repeated representations that Miralex was steroid-free. As well, Noble claimed that he made additional share purchases because Donald and Bryan advised that they also made additional investments in the company. He also claimed that the defendants breached an implied term of one of the agreements when it entered into certain related party transactions.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22"/>
            <w:bookmarkEnd w:id="176"/>
            <w:r>
              <w:rPr>
                <w:rFonts w:ascii="arial" w:eastAsia="arial" w:hAnsi="arial" w:cs="arial"/>
                <w:color w:val="000000"/>
                <w:sz w:val="20"/>
                <w:lang w:val="en-US" w:eastAsia="en-US" w:bidi="ar-SA"/>
              </w:rPr>
              <w:t>HELD: Application and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awarded damages for their entire investment. The defendants were liable in varying amounts. There was nothing misleading or untruthful about the representations about the clinical trials. Both the plaintiffs and the defendants used this term in a casual sense. The statements about the governmental approvals were misleading and were negligently made. They were not fraudulently made. The defendants thought that Miralex was a herbal product that could be marketed without governmental approval. Bryan and Donald did not made fraudulent representations about the presence of steroids. They did not know that the product contained steroids. However, Donald was negligent when he made this representation. He did not know that the product was steroid-free. He should have conducted additional tests. Bryan was not negligent regarding this statement. The plaintiffs reasonably relied upon all of the misrepresentations when they made their investment decisions. The related party transaction contravened the agreement between Noble and the defendants. Statements that Peter and Donald made about this acquisition were fraudulently made. Bryan's negligent misstatements only related to claims he made about the approved status of the product. These statements were not made until July 1997. He was only liable for share purchases made after that date. Peter was not in the special relationship with the plaintiffs that gave rise to duty of care until February 1998 when his name was mentioned as a director and officer in a business plan circulated to the plaintiffs. He was only liable to Noble for his October 1998 investment as his misrepresentations only pertained to the uses that would be made to that investment.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Legislation Cited_20"/>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2"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Rule 18A. Food and Drugs Act, </w:t>
      </w:r>
      <w:hyperlink r:id="rId448"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 xml:space="preserve">. Securities Act,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25"/>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M. Rush, for the plaintiffs. Hueson Pharmaceutical Corp. appeared on its own behalf. Donald W. Hughes appeared on his own behalf. Peter Hughes appeared on his own behalf. Bryan Moore appeared on his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4"/>
      <w:bookmarkEnd w:id="179"/>
      <w:r>
        <w:pict>
          <v:line id="_x0000_s1154" style="position:absolute;z-index:2518364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January 27, 2003.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BARROW J."/>
            <w:bookmarkEnd w:id="180"/>
            <w:r>
              <w:rPr>
                <w:rFonts w:ascii="arial" w:eastAsia="arial" w:hAnsi="arial" w:cs="arial"/>
                <w:b/>
                <w:color w:val="000000"/>
                <w:sz w:val="30"/>
                <w:lang w:val="en-US" w:eastAsia="en-US" w:bidi="ar-SA"/>
              </w:rPr>
              <w:t>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all invested in the defendant company, Hueson Pharmaceutical Corporation ("HPC"). Between November 30, 1996 and April 1, 1998 the plaintiff, Dr. Gill, made four separate purchases of shares in the company. Two of the purchases were made in Canadian funds and totalled $69,000; two of the purchases were made in U.S. funds and totalled $81,000.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Koala Holdings Inc. and Noble Family Trust, are entities through which Dr. Noble made investments in HPC. Between February 14, 1997 and October 1, 1998 these plaintiffs made four separate purchases of shares in the company. The first purchase was made in Canadian funds and totalled $60,000. The other purchases were all made in U.S. funds and totalled $803,000.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this action, the plaintiffs argue that during the course of their dealings with the defendants, the latter made a number of fraudulent or negligent misrepresentations about the state of affairs of HPC and other matters. The plaintiffs argue that they relied on these misrepresentations in making their investment decisions and they seek rescission of all of the share purchase agreements they entered into. They claim rescission on the basis of the torts of fraudulent and negligent misrepresentation, on the basis of breach of contract, and on the basis of an allegation of breach of the Securities Act,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Suitability for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argue that because of the complexity of the factual circumstances of this case it is not suitable for resolution pursuant to an application under Rule 18A. The factual background is not without some complexity but that is not a basis upon which to refuse to deal with the matter in this context. There are, as will become apparent, conflicts in the affidavit evidence. I am satisfied, however, that notwithstanding those conflicts the necessary facts can be found by reference to other evidence or common sense. Given the foregoing, the conflicts in the affidavit evidence are not a basis upon which to decline to deal with this matter under Rule 18A (Coast Wholesale Appliances Ltd. v. Armitstead, </w:t>
      </w:r>
      <w:hyperlink r:id="rId449" w:history="1">
        <w:r>
          <w:rPr>
            <w:rFonts w:ascii="arial" w:eastAsia="arial" w:hAnsi="arial" w:cs="arial"/>
            <w:i/>
            <w:color w:val="0077CC"/>
            <w:sz w:val="20"/>
            <w:u w:val="single"/>
            <w:shd w:val="clear" w:color="auto" w:fill="FFFFFF"/>
            <w:lang w:val="en-US" w:eastAsia="en-US" w:bidi="ar-SA"/>
          </w:rPr>
          <w:t>[1993] B.C.J. No. 162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Moreover I am satisfied that there are no circumstances, including the complexities that the defendants rely on, that would make it unjust to deal with this matter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HPC is a company incorporated under the laws of the State of Washington. Its shareholders, as of August 1996, included the defendants Dr. Hughes and Dr. Moore. Dr. Hughes is both a dermatologist and a veterinarian. Dr. Moore is a retired veterinarian.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10, 1996 Dr. Moore and Dr. Hughes circulated a document on the letterhead of HPC offering for sale shares in that company. This offering was initially made exclusively to "veterinarians and/or their families, relatives or close friends". The curriculum vitae of Dr. Hughes and Dr. Moore formed part of the mailing. The document indicated that, as of April 1996, 5,000,000 shares had been issued by the company at $1 US each. The share offering was for 100 blocks of 6,000 shares each at $1 Cdn per share. It was open for acceptance until November 30,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September 10th share offering set out the background of HPC indicating that it had "acquired, through licensing and invention, 42 pharmaceutical products - consumer and professional - Veterinary and Human". It further stated that the company had an asset base in excess of $10,000,000 US and that it expected to be listed on the NASDAQ exchange within two to four months. It anticipated an opening bid for its shares of $8 to $10 US per share. The offering also contained an outline of the proposed corporate structure of HPC. It explained that Dr. Moore and Dr. Hughes were going to be consolidating all of the Hueson Group of Pharmaceutical Companies Canada into one Canadian company to be known as Consolidated Hueson. That company would in turn be acquired by HPC "by way of share exchange". Existing shareholders in the Hueson Group of Pharmaceutical companies would, in exchange for their shares, receive shares in HPC.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Hueson Group of Pharmaceutical Companies Canada consisted of ten companies including Steven Jenter Laboratories Ltd., I.D.I., and E.P.X. Skin Care Systems Ltd. All of these companies had been founded by or with the involvement of Dr. Hughes. These companies had developed 42 products of which, at the time of the share offering, 11 were on the Canadian market, 19 were Health Protection Branch approved with Drug Identification Numbers ("DIN"), and 28 had been "qualified for sale" in the United States under the Food and Drug Administration Regulations. Further, the material stated that four products had been approved in Hong Kong and two were currently being exported from Canada presumably to that market. Moreover all of the products were "being approved" in the United Kingdom and the European Economic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new company (HPC as restructured) was going to launch an aggressive marketing program "world-wide". As part of that strategy, the company had "formed strategic alliances" with companies which specialized in various things including herbal medicines. An example of this, and one which is of particular importance to the case at hand, is a topical herbal medicine which, the defendants' materials claim "completely eliminates Psoriatic lesions in 1-4 weeks [with] no rebound and normal skin develops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Psoriasis is a chronic skin condition for which there is no known cure. It is characterized by itchy lesions on the skin. It is typically treated by topically applied steroid based creams. There are problems with this treatment in that some report that upon discontinuing the use of creams the condition not only recurs but sometimes in an aggravated state. This phenomenon is known as "rebound".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Dr. Gill, is a veterinarian. He received the September 10th share offering, unsolicited, and became interested in the investment possibility. He knew Dr. Moore because Dr. Moore had previously been the president of the British Columbia Veterinarian Association. He knew of Dr. Hughes because he had used some of the veterinary products sold by some of the companies noted in the offering.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receiving the share offering, Dr. Gill discussed it with his friend Dr. Noble. Dr. Noble is a radiologist and did not receive the September 10th share offering directly. On October 2, 1996 Dr. Gill telephoned Dr. Hughes and spoke to him generally about the company and the offering and asked him to set aside five blocks of shares (that is, 30,000 shares). He telephoned Dr. Moore on October 25, 1996 and also discussed the company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November 5, 1996, Dr. Gill received a letter, again on the HPC letterhead, dated October 28, 1996. It was addressed "Dear Colleague" and it indicated that 60 percent of the September 10th share offering had been taken up. It reiterated that the offer was open until November 30, 1996 and that the company was planning to list on the NASDAQ exchange within two to four months and anticipated an opening share price of $8 to $10 US per share. The letter was signed by Dr. Hughes. It identified Dr. Hughes as the Chairman of the company and Dr. Moore as the Vice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November 1, 1996, Dr. Gill again telephoned Dr. Hughes to discuss his possible investment. They spoke about the company and the share offering and specifically about the herbal psoriasis cream. Dr. Gill was told by Dr. Hughes that the cream was an effective and safe treatment for psoriasis and, specifically, that no rebound was associated with its use. Dr. Gill was also told that clinical trials were ongoing in relation to the cream.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Enthused by the information he had received, Dr. Gill wrote to Dr. Hughes on November 5, 1996 explaining that he would be sending funds for seven units (that is 42,000 shares) within a week and further advising that he and a friend [Dr. Noble] were interested in purchasing a "good part" of the remaining 20 units. He indicated that they might want to do that by way of purchasing options exercisable over the following two or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November 21, 1996, before the completion of the purchase of the shares, Dr. Gill received another share offering from HPC. This offering was on HPC letterhead and was signed by Dr. Hughes. It is in precisely the same terms as the September 10, 1996 offering other than acceptance of it was extended until January 15, 1997 and it contained additional information about the herbal psoriasis cream. Specifically, it provided that HPC had formed strategic alliances with companies that specialize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Herbal Medicines. E.g.: a topical herbal medicine which completely eliminates Psoriatic lesions in 1-4 weeks-no rebound and normal skin develops at site. </w:t>
      </w:r>
      <w:r>
        <w:rPr>
          <w:rFonts w:ascii="arial" w:eastAsia="arial" w:hAnsi="arial" w:cs="arial"/>
          <w:color w:val="000000"/>
          <w:sz w:val="20"/>
          <w:u w:val="single"/>
          <w:lang w:val="en-US" w:eastAsia="en-US" w:bidi="ar-SA"/>
        </w:rPr>
        <w:t>The company has acquired the exclusive North American rights to this product with an option for world rights</w:t>
      </w:r>
      <w:r>
        <w:rPr>
          <w:rFonts w:ascii="arial" w:eastAsia="arial" w:hAnsi="arial" w:cs="arial"/>
          <w:color w:val="000000"/>
          <w:sz w:val="20"/>
          <w:lang w:val="en-US" w:eastAsia="en-US" w:bidi="ar-SA"/>
        </w:rPr>
        <w:t>. Approximately 3% of the population has this disease - a 10% market penetration of the US market over 5 years could achieve annual sales of $80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 details of the other products either owned by or "strategically allied" with HPC were contained in the offering. The offering was for 200,000 shares at $3 Cdn per share to be sold in blocks of 2,000 for $6,000 Cdn per block. The offering indicated that as of November 25, 1996 (curiously some four days after the date of the letter) the company had 6,100,000 shares issued at $3 Cdn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Also on November 21, 1996, Dr. Gill spoke with either Dr. Hughes or Dr. Moore. He was advised that the cream was an effective treatment for psoriasis and that they were selling it very quickly. On November 22, he spoke with Dr. Hughes and discussed the possibility of purchasing options. As to the psoriasis cream, Dr. Hughes told Dr. Gill that the FDA approvals had been obtained. Dr. Gill told Dr. Hughes that Dr. Noble was also interested in investing.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27, 1996, Dr. Gill wrote to Dr. Hughes accepting an offer on behalf of himself and Dr. Noble, to purchase a two-year option for an additional 120,000 shares. The terms of the option were that the shares could be purchased in the first year at $1.50 and in the second year at $2 Cdn. The price of this option is not mentioned. In addition to the foregoing Dr. Gill sent a cheque for $12,000 Cdn to Dr. Hughes for the purchase of 12,000 shares. Sale of these shares from HPC was completed on November 30, 1996. Dr. Gill also sent cheques totalling $12,000 on behalf of other investors (not Dr. Noble) to Dr. Hughes with his November 27, 1996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Noble was, as noted above, a personal friend of Dr. Gill. Dr. Noble met Dr. Hughes and Dr. Moore for the first time at a meeting in Kelowna, British Columbia on January 17, 1997. This meeting was arranged so that Dr. Noble could obtain additional information about the company. Dr. Gill also attended. At the meeting, Dr. Hughes extolled the qualities of the herbal psoriasis cream describing it as "almost miraculous" in its effectiveness. He further said that he had conducted clinical trials on the product. Dr. Noble asked Dr. Hughes whether the product (which would eventually become known as "Miralex") contained steroids. Dr. Hughes responded that it did not. He said that it was an all natural herbal cream.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February 10, 1997 Dr. Gill spoke with Dr. Hughes by telephone. Dr. Hughes advised that the psoriasis cream was so effective that it would be able to sustain the company by itself for a significant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the meeting and the telephone conversation, both Dr. Gill and Dr. Noble received a "newsletter" dated February 10, 1997 on HPC letterhead and signed by Dr. Moore. The newsletter explained that listing of the company on the stock exchange had been delayed due to some technical matters but that it would be "finalized rapidly". The letter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psoriasis clinical trials that have been carried out by dermatologists have been deemed most satisfactory from their professional viewpoint and have been met with near ecstasy from their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letter also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of you have asked about the forty four products that Dr. Hughes has developed during his research years...To put forty four products into perspective, a significant pharmaceutical company would only attempt to market two or three products in any one year. Forty four products for a pharmaceutical company represents a cornucopia of riches sufficient to sustain it for years into the future with all the R&amp;D accomplished and </w:t>
      </w:r>
      <w:r>
        <w:rPr>
          <w:rFonts w:ascii="arial" w:eastAsia="arial" w:hAnsi="arial" w:cs="arial"/>
          <w:color w:val="000000"/>
          <w:sz w:val="20"/>
          <w:u w:val="single"/>
          <w:lang w:val="en-US" w:eastAsia="en-US" w:bidi="ar-SA"/>
        </w:rPr>
        <w:t>regulatory approval already obtained where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14, 1997 Dr. Noble, on behalf of Koala Holdings Inc., and Dr. Gill, each purchased 60,000 shares for $60,000 Cdn.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June 1997, both Dr. Gill and Dr. Noble received another newsletter from HPC dated June 9, 1997 and signed by Dr. Moore. The newsletter stated that the ongoing clinical trials of the psoriasis cream "have produced extremely favourable results and it would appear as if Hueson could thrive just on this one 'star' product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letter closed with Dr. Moore expressing the expectation that listing of the company on the exchange would likely occur by the time of the next newsletter (for which no date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next newsletter sent to Dr. Noble and Dr. Gill was dated July 7, 1997. It contained yet another share offering. There are several representations in the letter of significance. Dr. Moore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...Hueson signed a licensing agreement on May 27/97 for the exclusive rights to an exceptional world-class product for the topical treatment of Psoriasis...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further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 you know Hueson has been responsible for the clinical trials and FDA/HPB government approvals of this product</w:t>
      </w:r>
      <w:r>
        <w:rPr>
          <w:rFonts w:ascii="arial" w:eastAsia="arial" w:hAnsi="arial" w:cs="arial"/>
          <w:color w:val="000000"/>
          <w:sz w:val="20"/>
          <w:lang w:val="en-US" w:eastAsia="en-US" w:bidi="ar-SA"/>
        </w:rPr>
        <w:t>. These trials commenced in September '95 and were completed 1.5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contained a share offering available exclusively to the existing shareholders of the company, their families and friends until August 20, 1997. The offering consisted of a further 300,000 shares available in blocks of 3,000 shares at a price of $2 US per share. The letter promised that any further private share offerings would be at $6 US or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July, both Dr. Noble and Dr. Gill learned that because the cream was herbal in nature it did not require a drug identification number (DIN) from the Health Protection Branch. Based on the July 7, 1997 newsletter however they both understood that the necessary exemption had been approved by the regulatory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August, Dr. Noble and Dr. Gill met with Dr. Hughes in Kelowna to discuss the possibility of future investment in the company. Dr. Hughes repeated that Miralex was safe and extremely effective and that the clinical trials were proceeding exceedingly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September 12, 1997, Dr. Hughes wrote to Dr. Noble regarding the possibility of Dr. Noble purchasing options for the purchase of further shares. Dr. Hughes offered to allow Dr. Noble to purchase 150,000 of Dr. Hughes' shares (or shares owned by a company he controlled) at $1 US per share for 75,000 shares valid for 6 months and $2 US per share for 75,000 shares valid for one year. In addition, the letter invited Dr. Noble to join the Board of Directors of the company in light of his significant investment. Finally Dr. Hughes asserted "[a]s previously stated we agree not to make any major changes in the business mandate of the company without your consideration and input". Dr. Noble sought this assurance about the mandate of the company because he wanted to ensure that it continued to operate as he had been advised. No similar offer was made to Dr.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September 25, 1997, Dr. Gill purchased a further 36,000 shares at $2 US per share for a total of $72,000 US. On the same day Dr. Noble, on behalf of Koala Holdings Inc., purchased 114,000 shares also at $2 US per share for a total purchase price of $228,000 US. Both Dr. Noble and Dr. Gill also purchased options from HPC on September 26, 1997. In the case of Dr. Gill, he acquired an option to purchase 18,000 shares at $1 US per share, open to be exercised until March 26, 1998 and an option to purchase a further 18,000 shares at $2 US, open to be exercised until September 26, 1998. In the case of Dr. Noble the option was in similar terms except it was for the purchase of 114,000 shares, half at $1 US and half at $2 US. It is not clear if either Dr. Gill or Dr. Noble paid anything for these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early 1998 various marketing materials were made available by HPC. A brochure described Miralex as a safe, all natural, form of relief for psoriasis. The brochure cautioned patients who were already using a steroid based product not to suddenly discontinue use of that product because of the possibility of "steroid - rebound - phenomenon". A newspaper ad described Miralex as a "unique natural substance, free of potentially damaging steroids like cortisone". Miralex was being marketed primarily by way of direct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HPC prepared a Business Plan dated January 20, 1998, which it sent to both Dr. Gill and Dr. Noble. The plan covered the five-year period ending February 2003. In it, the company advised that it owned the "exclusive licence to manufacture and market 44 original products" designed to treat 80 percent of the skin diseases of animals and man. It repeatedly described Miralex as the "flagship" product of the company. It reconfirmed the corporate structure outlined in the September 1996 share offering, that is, that HPC would own the various Hueson Group Canada companies as well as a further company, Miralex Inc., which was incorporated to market Miralex. It also stated that HPC owned "the exclusive rights to forty-four (44) dermatological products..." Further, it indicated that HPC had the "world rights" to three Miralex products (the cream, a shampoo and a scalp lotion). The plan stated that HPC had completed "clinical and market testing" of the three Miralex products. The plan identified Dr. Hughes as the Director, CEO and President of the company; Peter Hughes, Dr. Hughes' son, as the Vice President of Marketing and Sales and a director, and Dr. Moore as the Vice President of Shareholder and Customer Relations. The plan also contained some general financial information which was said to be contingent upon raising further capital by way of yet another share offering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January 20, 1998 a newsletter on the corporate letterhead and over the signature of Dr. Moore, was issued. In it Dr. Moore emphasized the excellent prospects of the company particularly in light of Miralex (testimonials from patients were included with the letter). He stated that the company shares could be realistically valued at between $12 and $16 US. He announced that a further share offering would be forthcoming in which 100,000 shares would be offered at $12 US per share. He encouraged the existing shareholders to take up this offer in order that the company might remain in the hands of as few people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January 30, 1998, Dr. Hughes, Dr. Moore, and Peter Hughes came to Kelowna and met at the Capri Hotel with Dr. Noble, Dr. Gill and other potential investors. Peter Hughes made a presentation about the company and many of the earlier claims regarding Miralex were repeated. Samples of the cream were distributed to potential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January or early February of 1998, both Dr. Gill and Dr. Noble were invited by Dr. Hughes to sit on a newly formed management committee of HPC. This committee met four to five times over the next 18 months until it was dissolved by Dr. Hughes in October 1999. According to Dr. Noble and Dr. Gill, they received no financial information about the company despite repeated requests. They were, however, told that substantive information about Miralex, including the results of the clinical trials, were secret corporate information to which they were not privy.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February 6, 1998, Dr. Gill met with Dr. Hughes and Peter Hughes in Vancouver. He specifically asked who the supplier of Miralex was and whether the product was secure. Dr. Hughes advised him that he knew more about the product than he could say and that the supplier was secure. Dr. Gill was advised that the product was coming from Israel and that the composition of it was difficult to determine. This was, in the context of the conversation, considered a good thing in that the parties were concerned, not so much with what was in the product but rather with whether others would be able to duplicate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February 13, 1998, Dr. Gill and Dr. Noble received a newsletter, a further share offering, and a "Business Overview". The share offering was in the terms that had been outlined in the newsletter of January 20, 1998. In the offering, investors were encouraged to contact Dr. Moore if they had questions. The newsletter, over the hand of Dr. Hughes, announced the formation of the management committee consisting of Dr. Moore, Dr. Noble, Dr. Gill, Dr. Hughes, Dr. Moore, and Peter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"business overview" was entitled "Miralex - Nature's Psoriasis Solution - Business Overview". While the document deals with HPC generally, the dominant focus of it is Miralex and the "potential for explosive growth in share value" that this "natural, botanical product" represented. It advised that the value of Hueson's shares was based on the company's product and cash flow projections. It stated "the replacement value for Miralex cream is estimated at $200 million. Therefore, with 7.5 million shares outstanding, Hueson's current minimum share value is estimated to be $26.66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April 1998, both Dr. Gill and Dr. Noble exercised a portion of the options that they had acquired on September 26, 1997. Dr. Noble purchased 75,000 shares at $1 US per share and Dr. Gill purchased 9,000 shares also at $1 US per share. This was the last time Dr. Gill purchased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Noble had discussions regarding a possible further investment in HPC during the spring of 1998. A meeting was held on July 30, 1998, in Richmond, British Columbia between Peter Hughes, Dr. Hughes and Dr. Noble to discuss the possibility of a further equity investment in the company. Dr. Noble wanted to obtain information at this meeting including, specifically, information regarding the clinical trials to which Miralex had been subjected. At the meeting, he was told by Dr. Hughes that clinical trials had been completed on "50 or more patients", that he had undertaken lab work on each patient and that the results of the clinical trials were being held in the United States. Dr. Noble was further told that HPC had the "world rights" to Miralex and had agreements with the suppliers of the raw materials of the cream. Finally, he was told that the formula for Miralex was very complicated and had proven "virtually impossible" to detect by the three chemists Dr. Hughes had retained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Following the meeting, Dr. Noble wrote to Dr. Hughes and confirmed what he had been told. In the letter, Dr. Noble said that "shareholders have invested largely on the basis of Miralex, not in [sic] historical products". Further he wrote "whether we like it or not this company is still in its embryonic stages and this remains a very high risk investment". Dr. Noble wanted the personal commitment of Dr. Hughes and Peter Hughes prior to making a further investment in the company. To that end, he wanted them to sign and return his letter of August 3, 1998. His letter closed with the following: "My investment will be for product development, marketing, insurance, and development of the above divisions." The "above divisions" is a somewhat cryptic reference to a proposed veterinarian division and presumably a Miralex division. Accompanying his letter, Dr. Noble set out the financial terms of a potential further investment in the share capital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August 13, 1998, Dr. Noble received a further share offering. It made available 84,000 shares at $12 US per share in four blocks of 21,000 shares each to the four members of the management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14, 1998, Dr. Hughes replied to Dr. Noble's letter of August 3, 1998 on his own behalf and on behalf of Peter Hughes. In the letter, Dr. Hughes acknowledged that Dr. Noble had been hesitant about further investments. He stated that two of the four blocks of shares mentioned in the August 13, 1998 offering had been spoken for (the only other people eligible to purchase these shares were Dr. Hughes, Dr. Moore, and Peter Hughes). He further said that if Dr. Noble agreed to take the remaining two blocks then HPC would "immediately become more aggressive in marketing Miralex". In response to Dr. Noble's request to have Dr. Hughes and Peter Hughes sign a copy of his notes, Dr. Hughes wrote "Peter and I have no problem making a 'signed statement of fact' which would comfort all your concerns as to the financial position of the company, product world rights (veterinary and human), clinical trials, sales, call center, supply of product, analysis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August 26, 1998, Dr. Hughes, Peter Hughes, Dr. Gill and Dr. Noble met in Kelowna. Dr. Hughes and Peter Hughes provided, in furtherance of their letter of August 14, 1998, a document entitled "Confidential Statement of Facts". This document is of significance. It described the nature of the clinical trials that had been undertaken to that point, about which more will be said later. The document also stated that Miralex had two active ingredients between which there is "some synergism" but both of which were difficult to analyze. Further, it stated that a "financial statement is pending" (it is worthy of note that up to this point no financial statements of the company had been provided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were two further significant statements in the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Hueson USA also owns the world rights to 42 other dermatological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should complete the financing as discussed the capital will be used for product development, marketing, liability insurance, key-man insurance, and advertising and development of new business and new divisions or subsidiaries.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document is signed by Peter Hughes and Dr. Hughes in their personal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September 3, 1998, Dr. Hughes wrote to Dr. Noble and offered a share purchase arrangement that in many respects paralleled the arrangement that Dr. Noble had proposed in his letter of August 3rd. The offer was for 84,000 shares. As part of the offer, Dr. Noble was offered a seat on the board of directors of HPC. It contained a number of further conditions regarding the development of the veterinary division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September 3, 1998, Dr. Hughes told Dr. Noble that he had sent a letter to the Psoriasis Foundation and to Dr. Solly Domingo, a doctor in South Africa, who wanted to license Miralex for South Africa. He provided Dr. Noble with a copy of that letter. In it, he stated that when he first heard of the product he reviewed the medical literature on psoriasis and then clinically tested the product in the manner he earlier described in the "Confidential Statement of Facts". The results of these trials were the best Dr. Hughes had seen in 30 years. Again he reiterated that there were no "systemic or topical side effects". He described Miralex as a "miracle cream" that was "harmless, non-toxic, non-staining, non-allergenic, non-photosensitizing and without rebound as seen in fluorinated corticosteroid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Before purchasing more shares, Dr. Noble required that Dr. Hughes and Dr. Moore make matching investments. In response to that condition, Dr. Hughes wrote to Dr. Noble on September 17, 1998 stating "Bryan and I have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the strength of all of the foregoing Dr. Noble, on behalf of Koala Holdings Inc., and the Noble Family Trust, purchased a further 84,000 shares for $500,000 US during October 1998. This was the last share purchase by Dr. Noble.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April 1999, a further newsletter was issued by HPC over the signature of Dr. Hughes. Among other things, the letter advised that the company was not able to obtain liability insurance because they were "not willing" to disclose the formula for Miralex. It further stated that "after many attempts through 6 qualified labs, chromatography and mass spectrometry, no one has been able to identify the active ingredients" in Miralex.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July 29, 1999, the Health Protection Branch wrote to Dr. Hughes after receiving inquiries about the safety and efficacy of Miralex. Dr. Hughes was advised that under the Food and Drugs Act, R.S. 1985, c. F-27, a "drug" included any product that is promoted for the treatment of a disease or disorder or its symptoms. Since the promotional material for Miralex fell within that description, the Health Protection Branch considered it a drug and as such a number of labelling requirements had to be met including listing the medicinal ingredients of the product. The Health Protection Branch also advised that certain traditional herbal remedies enjoyed some exemption from the requirements of the Food and Drugs Act. In order to clarify the nature of the product, the Branch asked for a quantitative list of the active ingredients in the product and for a sample of it. In due course a sample was forwarded.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September 23, 1999, the Health Protection Branch wrote to Dr. Hughes advising him of the results of their analysis of Miralex. They found that it contained Clobetasol 17-Propionate in concentrations of 0.1 percent. The presence of this form of steroid rendered the product incapable of being lawfully marketed as contemplated by HPC. The active ingredient was required to be sold by way of prescription.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October 4, 1999, the final meeting of the management committee of HPC took place in Vancouver. In attendance were Dr. Hughes, Dr. Moore, Peter Hughes and Dr. Noble. At this meeting Dr. Hughes advised that the management committee would be disbanded and replaced by a Board of Advisors which would consist of, at least, Dr. Noble, Dr. Gill, Peter Hughes, Dr. Moore, and Dr. Hughes. This was confirmed in a letter from Dr. Hughes dated October 18, 1999. In that letter Dr. Hughes discussed ways of compensating Dr. Gill for his time and trouble in conducting tests on animals in his veterinary practise. Dr. Hughes suggested that instead of money he be offered shares in the company. Neither at the meeting nor in the correspondence was any mention made of the findings of the Health Protection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November 14, 1999, Dr. Hughes wrote to Dr. Noble advising him of the fact that the Health Protection Branch had detected the presence of a steroid in Miralex and as a result the product had been withdrawn from the market and the product that was already in circulation was being recalled. Upon Dr. Gill learning of this development he sent four samples of Miralex to the Enviro-Health Research Laboratories Inc. in Richmond, British Columbia for analysis. On December 3, 1999, the lab replied advising that all four samples tested positive for Clobetasol in varying concentrations.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contend that they have lost their entire investment as a result of the failure of the Miralex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tort of negligent misrepresentation has five elements. In Queen v. Cognos Inc., </w:t>
      </w:r>
      <w:hyperlink r:id="rId2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Sopinka and Iacobucci JJ. said at para. 33, on behalf of the majority,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issue of whether a "special relationship" existed between the representor and the representee was not before the court in Queen v. Cognos Inc., supra. It was, however, recently considered by the Supreme Court of Canada in Hercules Managements Ltd. v. Ernst &amp; Young, </w:t>
      </w:r>
      <w:hyperlink r:id="rId91"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La Forest J. at para. 20, affirmed the test for determining whether a "special relationship" exists as being that which was initially articulated by Wilson J. in City of Kamloops v. Nielsen, </w:t>
      </w:r>
      <w:hyperlink r:id="rId45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It was there held at pp. 10-11 that the issue is to be resolved by answering the following questions: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[defendant] and the person who has suffered the damage) so that, in the reasonable contemplation of the [defendant], carelessness on its part might cause damage to that person? If so,</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La Forest J. held at para. 24 that a sufficiently close relationship will be found to exist when "(a) the defendant ought reasonably to foresee that the plaintiff will rely on his or her representation; and (b) reliance by the plaintiff would, in the particular circumstances of the case, be reasonable." Although there is some debate about whether these limitations on the reach of negligent misrepresentation ought to be viewed within the first or the second part of the test in City of Kamloops v. Nielsen, supra, in the case at bar that issue is of no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find that both aspects of the test are clearly met on the circumstances of this case. Although initially the share subscriptions were mailed to all veterinary doctors in the province, prior to any investment being made by the plaintiffs, the defendants Dr. Hughes and Dr. Moore both knew of the plaintiffs' existence and knew that they were specifically considering investing in HPC. The plaintiff, Dr. Gill, had spoken directly to both Dr. Moore and Dr. Hughes about the prospect of investing. Further he had written to Dr. Hughes. The plaintiff, Dr. Noble, before investing in the company, met with Dr. Moore and Dr. Hughes in January 1997 and specifically discussed the prospect of investing. It would have been within the reasonable contemplation of the defendants Dr. Moore and Dr. Hughes, that carelessness on their part might cause damage to the plaintiffs. Further it was reasonable on the part of the plaintiffs to rely on the information they received from the defendants in making their investment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are no circumstances arising from the facts of this case which would serve to limit the scope of the duty in a manner which would place the plaintiffs outside its reach, nor are there any considerations which ought to limit the damages that might otherwise result from any negligent misrepresentation by the defendants. I find therefore that a "special relationship" existed between the defendants, Dr. Hughes and Dr. Moore, and the plaintiffs sufficient to give rise to a duty of care on the part of the defendants towards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Peter Hughes is in a somewhat different position. On the evidence, the first time his name was ever mentioned in relation to the company was in the business plan that was circulated on January 20, 1998. That document identified him as a founding member of the company, a Director, the secretary and the Vice President of Marketing and Sales. His first direct involvement with the plaintiffs was at the meeting in Kelowna on January 30, 1998. He thereafter met with Dr. Gill in Vancouver on February 6, 1998. He was on the management committee with the plaintiffs from its inception in January 1998. I am satisfied that the plaintiffs have established that his role was such that a "special relationship" as that phrase is used in this context, existed with Peter Hughes from early February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nature of the standard of care that arises from that relationship must be determined in light of a variety of circumstances. In Queen v. Cognos Inc., supra, Sopinka and Iacobucci JJ. held at para. 55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applicable standard of care should be the one used in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namely the universally accepted, albeit hypothetical, "reasonable person". The standard of care required by a person making representations is an objective one. It is a duty to exercise such reasonable care as the circumstances require to ensure that representations made are accurate and not misleading [citations omitted]. Professor Klar provides some useful insight on this issue (at p. 160):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advisor does not guarantee the accuracy of the statement made, but is only required to exercise reasonable care with respect to it. As with the issue of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general, this is a question of fact which must be determined according to the circumstances [page122] of the case. Taking into account the nature of the occasion, the purpose for which the statement was made, the foreseeable use of the statement, the probable damage which will result from an inaccurate statement, the status of the advisor and the level of competence generally observed by others similarly placed, the trier of fact will determine whether the advisor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Aside from any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allege in this case that the representations made by Dr. Hughes and the other defendants were fraudulent. In Armstrong v. London Life Insurance Co., </w:t>
      </w:r>
      <w:hyperlink r:id="rId451" w:history="1">
        <w:r>
          <w:rPr>
            <w:rFonts w:ascii="arial" w:eastAsia="arial" w:hAnsi="arial" w:cs="arial"/>
            <w:i/>
            <w:color w:val="0077CC"/>
            <w:sz w:val="20"/>
            <w:u w:val="single"/>
            <w:shd w:val="clear" w:color="auto" w:fill="FFFFFF"/>
            <w:lang w:val="en-US" w:eastAsia="en-US" w:bidi="ar-SA"/>
          </w:rPr>
          <w:t>[1999] O.J. No. 3507</w:t>
        </w:r>
      </w:hyperlink>
      <w:r>
        <w:rPr>
          <w:rFonts w:ascii="arial" w:eastAsia="arial" w:hAnsi="arial" w:cs="arial"/>
          <w:color w:val="000000"/>
          <w:sz w:val="20"/>
          <w:lang w:val="en-US" w:eastAsia="en-US" w:bidi="ar-SA"/>
        </w:rPr>
        <w:t xml:space="preserve"> (Ont. S.C.) Flinn J. cited with approval at para. 34 the following excerpt from Perell &amp; Engell, Remedies and the Sale of Land, 2d ed. (Toronto: Butterworths, 1998), at pp. 92-93: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makes a fraudulent misrepresentation when he or she makes a false statement without belief in its truth and with the intent to deceive. Fraud involves intentional dishonesty, the intent being to deceive. Thus, to succeed in an action for deceit or for fraudulent misrepresentation, the plaintiff must show not only that the defendant spoke falsely and contrary to belief, but that the defendant had the intent to deceive, which is to say he or she had the aim of inducing the plaintiff to act mistakenly. There is an element of proximity associated with the intent to deceive; the plaintiff must show that the defendant's design was directed at the plaintiff or at a class of persons that includes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elements of the tort of deceit are four in number: first, there must be a false representation of fact; second, the representation must be made with knowledge of its falsity; third, it must be made with the intention that it should be acted on by the plaintiff; and fourth, it must be established that the plaintiff acted upon the statement and in doing so sustained damage (Diamond v. Bank of London &amp; Montreal Ltd., [1979] Q.B. 333 at p. 349).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As to the burden of proof required to establish an allegation of fraud, I am mindful of the remarks of Laskin C.J.C. in Continental Insurance Co. v. Dalton Cartage Co. Ltd. et al. </w:t>
      </w:r>
      <w:hyperlink r:id="rId452" w:history="1">
        <w:r>
          <w:rPr>
            <w:rFonts w:ascii="arial" w:eastAsia="arial" w:hAnsi="arial" w:cs="arial"/>
            <w:i/>
            <w:color w:val="0077CC"/>
            <w:sz w:val="20"/>
            <w:u w:val="single"/>
            <w:shd w:val="clear" w:color="auto" w:fill="FFFFFF"/>
            <w:lang w:val="en-US" w:eastAsia="en-US" w:bidi="ar-SA"/>
          </w:rPr>
          <w:t>(1982), 131 D.L.R. (3d) 559</w:t>
        </w:r>
      </w:hyperlink>
      <w:r>
        <w:rPr>
          <w:rFonts w:ascii="arial" w:eastAsia="arial" w:hAnsi="arial" w:cs="arial"/>
          <w:color w:val="000000"/>
          <w:sz w:val="20"/>
          <w:lang w:val="en-US" w:eastAsia="en-US" w:bidi="ar-SA"/>
        </w:rPr>
        <w:t xml:space="preserve"> at p. 563 where he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necessarily a matter of judgment involved in weighing evidence that goes to the burden of proof, and a trial Judge is justified in scrutinizing evidence with greater care if there are serious allegations to be established by the proof that is offered. I put the matter in the words used by Lord Denning in Bater v. Bater, [[1950] 2 All E.R. 458] [at p. 459]: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true that by our law there is a higher standard of proof in criminal cases than in civil cases, but this is subject to the qualification that there is no absolute standard in either case. In criminal cases the charge must be proved beyond reasonable doubt, but there may be degrees of proof within that standard. Many great judges have said that, in proportion as the crime is enormous, so ought the proof to be clear. So also in civil cases. The case may be proved by a preponderance of probability, but there may be degrees of probability, within that standard. The degree depends on the subject-matter. A civil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plaintiffs claim against HPC and Dr. Hughes, Dr. Moore and Peter Hughes personally. It is settled law that directors and officers of companies may be personally liable for their negligent or fraudulent misrepresentations (NBD Bank, Canada v. Dofasco Inc. et al. </w:t>
      </w:r>
      <w:hyperlink r:id="rId453" w:history="1">
        <w:r>
          <w:rPr>
            <w:rFonts w:ascii="arial" w:eastAsia="arial" w:hAnsi="arial" w:cs="arial"/>
            <w:i/>
            <w:color w:val="0077CC"/>
            <w:sz w:val="20"/>
            <w:u w:val="single"/>
            <w:shd w:val="clear" w:color="auto" w:fill="FFFFFF"/>
            <w:lang w:val="en-US" w:eastAsia="en-US" w:bidi="ar-SA"/>
          </w:rPr>
          <w:t>(1999), 181 D.L.R. (4th) 37</w:t>
        </w:r>
      </w:hyperlink>
      <w:r>
        <w:rPr>
          <w:rFonts w:ascii="arial" w:eastAsia="arial" w:hAnsi="arial" w:cs="arial"/>
          <w:color w:val="000000"/>
          <w:sz w:val="20"/>
          <w:lang w:val="en-US" w:eastAsia="en-US" w:bidi="ar-SA"/>
        </w:rPr>
        <w:t xml:space="preserve"> (Ont. C.A.); Knight's Mineral Exploration &amp; Co. v. Corcoran &amp; Co., </w:t>
      </w:r>
      <w:hyperlink r:id="rId454" w:history="1">
        <w:r>
          <w:rPr>
            <w:rFonts w:ascii="arial" w:eastAsia="arial" w:hAnsi="arial" w:cs="arial"/>
            <w:i/>
            <w:color w:val="0077CC"/>
            <w:sz w:val="20"/>
            <w:u w:val="single"/>
            <w:shd w:val="clear" w:color="auto" w:fill="FFFFFF"/>
            <w:lang w:val="en-US" w:eastAsia="en-US" w:bidi="ar-SA"/>
          </w:rPr>
          <w:t>[1995] B.C.J. No. 278</w:t>
        </w:r>
      </w:hyperlink>
      <w:r>
        <w:rPr>
          <w:rFonts w:ascii="arial" w:eastAsia="arial" w:hAnsi="arial" w:cs="arial"/>
          <w:color w:val="000000"/>
          <w:sz w:val="20"/>
          <w:lang w:val="en-US" w:eastAsia="en-US" w:bidi="ar-SA"/>
        </w:rPr>
        <w:t xml:space="preserve"> (S.C.); Olorenshaw v. International Chem-Pro Industries Inc., </w:t>
      </w:r>
      <w:hyperlink r:id="rId455" w:history="1">
        <w:r>
          <w:rPr>
            <w:rFonts w:ascii="arial" w:eastAsia="arial" w:hAnsi="arial" w:cs="arial"/>
            <w:i/>
            <w:color w:val="0077CC"/>
            <w:sz w:val="20"/>
            <w:u w:val="single"/>
            <w:shd w:val="clear" w:color="auto" w:fill="FFFFFF"/>
            <w:lang w:val="en-US" w:eastAsia="en-US" w:bidi="ar-SA"/>
          </w:rPr>
          <w:t>[1989] B.C.J. No. 1227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will deal with the material representations individually and determine whether any of them amount to misrepresentations and, if so, whether they were negligently or fraudulently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Representations, Misrepresentations,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are five representations that the plaintiffs allege are misrepresentations, specifically they are as follows: representations about the qualifications and experience of Dr. Hughes; representations about the "clinical trials" that were undertaken; representations about whether Miralex had been approved by the Health Protection Branch and the Drug Enforcement Agency; representations about the steroid-free nature of the product; and finally representations about the matching investments that Dr. Hughes and Dr. Moore were to have made.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experience and expertise of Dr.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claim that they relied on the experience and expertise of Dr. Hughes in developing various pharmaceuticals in making their investment decisions. The representations of this nature are contained in the various newsletters and the curriculum vitae of Dr. Hughes. The representations are to the effect that the Hueson Group of Companies had "developed 42 products Human and Veterinary". Of those products, 11 were being sold in Canada; 19 were Health Protection Branch approved and 28 had been approved under the Food and Drug Administration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argue that in fact Dr. Hughes' research and development experience consisted almost exclusively of simply reconstituting existing products and presumably marketing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not satisfied that the plaintiffs have established that the representations in the newsletters or Dr. Hughes' curriculum vitae about his qualifications are false or misleading. All Dr. Hughes said was that his companies had "developed" 42 dermatological products and most of them were classified as "new drugs", presumably by the Health Protection Branch. There is no evidence that he did not do just that. Whether that was done by mixing existing products or developing new products was not specified in the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Noble had no prior association with Dr. Hughes and thus to the extent he relied at all on his reputation and the representations he made about his past achievements, they are to be found in the material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Gill had purchased products that Dr. Hughes' companies sold and from that considered that Dr. Hughes had extensive experience in the development of products. There is no evidence that those products did not work satisfactorily nor is there any evidence that they were not "developed" by Dr.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not satisfied that anything said by any of the defendants about Dr. Hughes' qualifications or experience amounted to a misrepresentation.</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Clinical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argue that the defendants, and in particular Dr. Hughes, claimed to have conducted "clinical trials" when in fact the testing they had done did not approach a "clinical trial" as that phrase is understood in the context of pharmaceutical research. One of the difficulties with this aspect of the plaintiffs' claim is the general lack of precision as to what the parties meant by the phrase "clinical trials". The plaintiffs contend that they understood it was being used in the sense that it is used by the regulatory authorities, namely, implying very sophisticated testing under highly controlled circumstances. The defendants argue that they were using it in a much more general way and if understood in that light, their statements were not misleading or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Before turning to the issue directly, there are two matters surrounding the claims made by Dr. Hughes regarding the clinical testing that bear on his credibility generally. First, the evidence is clear that with very few exceptions, no tests were conducted on the trial participants to determine the systemic effects, if any, of use of the cream. Notwithstanding this, Dr. Hughes and Peter Hughes stated in the "Confidential Statement of Facts" that "there were no adverse effects topically or systemically". The same claim was repeated by Dr. Hughes in the letter of September 3, 1998 to Dr. Domingo, which he provided to Dr. Noble. It is difficult to understand how this claim could be made absent the necessary testing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Second, Dr. Hughes maintained at one point during his examination for discovery that he was of the view that the tests he was conducting were sufficient to ground an application for approval of a new drug by the regulatory authorities. Shortly thereafter, he swore that he knew the tests or trials were not sufficient for that purpose. It is impossible to reconcile his evidence on this point. In my view, it was clear to Dr. Hughes that the sort of tests he had conducted would not satisfy officials at either the Health Protection Branch or the Food and Drug Administration were the results of them to be submitted in support of an application for approval of a new drug. His evidence was that an application to obtain regulatory approval would cost in excess of a million dollars and that much of that cost would be incurred in the testing of the drug. The tests he conducted were without any of the scientific rigor required by the regulatory authorities and were, as a result, very inexpensive to undertake.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Turning to the main issue, the testing that was done by Dr. Hughes was described in the August 1998 "Confidential Statement of Facts" noted above. It stated that "initial clinical trials" were done on 30 recalcitrant cases in which the candidates had used several of the traditional treatments for psoriasis. All had suffered from the condition for over 20 years; all responded excellently. Some had remissions of up to five months. There were no adverse effects "topically or systemically" and the records of these trials were safely stored by HPC. Finally, the format used to record data was described as "standard clinical trial procedures". Some 70 further cases of less severe psoriasis patients were tested after the initial 30 patients were studied.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noted above, I am satisfied that Dr. Hughes did not systemically test the results of the patients involved in his trials. I am not satisfied however that if he had, the results would have been any different. There is no evidence that systemic testing would have detected the presence of steroids in Miralex. The plaintiffs' contention is, however, that by using the phrase "clinical trials" much more was being conveyed. They point to the requirements of the Health Protection Branch when considering a new drug submission. The protocols required by that organization are rigid and costly.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not satisfied that the plaintiffs have established that the phrase was being used in the manner they now contend. There are several reasons for my conclusion in that regard. First, the plaintiffs knew in some detail what the trials in fact consisted of. They were described in the "Confidential Statement of Facts". They had been earlier described more generally in the February 10, 1997 newsletter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to explain a little. In a clinical trial, when treating an area of skin for example, applying treatment to one half of a lesion and leaving the other half untreated, graphically displays the effectiveness of the treatment. There is no trying to remember what it looked like before treatment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clear that these descriptions of the trials that were being undertaken do not accord with the more formal meaning of "clinical trials" that the plaintiffs argue they understood was being used. Moreover, when the trials were described neither Dr. Gill nor Dr. Noble queried Dr. Hughes about the matter. Neither asked about the seemingly casual nature of the trials being undertaken. Dr. Noble continued to invest.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Second, on October 30, 1998, after all of the investments by the plaintiffs had been completed, a newsletter was issued by the HPC in which Dr. Moore wrote "[a]fter initial investigation involving some clinical cases, we have received confirmation from Dr. Hughes who has now initiated a formal clinical trial". The clear implication of this statement is that the earlier trials were not "formal clinical trials". Neither of the plaintiffs raised any concern about this disclosure. Their failure to do so supports the notion that they did not understand that the earlier references to "clinical trials" meant anything more than that which had been described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Finally, Dr. Noble himself used the term "clinical trials" in the casual sense that the defendants contend they understood the term. Dr. Gill was, in the spring and summer of 1998, testing Miralex in a veterinary context. In a letter dated August 3, 1998 Dr. Noble wrote to Dr. Hughes about these tests stating "Allan needs our support in his enthusiasm to continue </w:t>
      </w:r>
      <w:r>
        <w:rPr>
          <w:rFonts w:ascii="arial" w:eastAsia="arial" w:hAnsi="arial" w:cs="arial"/>
          <w:b/>
          <w:color w:val="000000"/>
          <w:sz w:val="20"/>
          <w:lang w:val="en-US" w:eastAsia="en-US" w:bidi="ar-SA"/>
        </w:rPr>
        <w:t>clinical trials</w:t>
      </w:r>
      <w:r>
        <w:rPr>
          <w:rFonts w:ascii="arial" w:eastAsia="arial" w:hAnsi="arial" w:cs="arial"/>
          <w:color w:val="000000"/>
          <w:sz w:val="20"/>
          <w:lang w:val="en-US" w:eastAsia="en-US" w:bidi="ar-SA"/>
        </w:rPr>
        <w:t>" (emphasis added). There is no suggestion that the tests that Dr. Gill was undertaking were "clinical trials" within the meaning of that phrase as the plaintiffs now contend.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summary while there is no doubt that Dr. Hughes and Dr. Moore repeatedly claimed that clinical trials had been undertaken in relation to Miralex, I am not satisfied that in doing so they were being inaccurate, misleading or untruthful.</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HPB and FDA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argue that the defendants misrepresented the state of affairs as to the status of Miralex in relation to the Health Protection Branch and the Food and Drug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Dr. Gill swore that Dr. Hughes advised him during a telephone conversation on November 21, 1996 that Food and Drug Administration approval had been obtained in relation to Miralex. This was of sufficient significance to Dr. Gill that he made note of it in recording the substance of his conversation with Dr. Hughes. Dr. Hughes in effect admits that the conversation took place as Dr. Gill recalled it but argues that Dr. Gill misinterpreted what Dr. Hughes told him. Dr. Hughes explains his remarks as follows: "Again, clearly Dr. Gill has misinterpreted what he is hearing - FDA approval was based on FDA "not requiring" herbal medicine approvals at that time and by deduction, approved </w:t>
      </w:r>
      <w:r>
        <w:rPr>
          <w:rFonts w:ascii="arial" w:eastAsia="arial" w:hAnsi="arial" w:cs="arial"/>
          <w:color w:val="000000"/>
          <w:sz w:val="20"/>
          <w:u w:val="single"/>
          <w:lang w:val="en-US" w:eastAsia="en-US" w:bidi="ar-SA"/>
        </w:rPr>
        <w:t>for sale</w:t>
      </w:r>
      <w:r>
        <w:rPr>
          <w:rFonts w:ascii="arial" w:eastAsia="arial" w:hAnsi="arial" w:cs="arial"/>
          <w:color w:val="000000"/>
          <w:sz w:val="20"/>
          <w:lang w:val="en-US" w:eastAsia="en-US" w:bidi="ar-SA"/>
        </w:rPr>
        <w:t xml:space="preserve"> by FDA" (emphasis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July 7, 1997 newsletter Dr. Moore wrote, on behalf of the corporation, in relation to Miralex - "as you know Hueson has been responsible for the clinical trials and the FDA/HPB government approvals of this product". Dr. Hughes' explanation for this statement is that "at this time according to our expert on regulatory affairs, herbal products did not require DIN's [drug identification numbers] or approval by FDA in the US." Dr. Moore explained his statement in argument by asserting that Miralex had the "tacit" approval of the Food and Drug Administration and the Health Protection Branch because it was a botanical product and did not require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While it may be that the Food and Drug Administration and the Health Protection Branch did not require approval of herbal remedies, the representation does not say that. Nor does it say that "tacit" approval had been obtained. The representation does not reasonably bear either of the foregoing interpretations in my view. Indeed, elsewhere in HPC's own materials it is apparent that when they meant that approvals were not required, they said so. For example in the company's February 10, 1997 newsletter, when discussing the other 44 products of HPC, Dr. Moore wrote (on behalf of the company) that in relation to those products "regulatory approval already obtained </w:t>
      </w:r>
      <w:r>
        <w:rPr>
          <w:rFonts w:ascii="arial" w:eastAsia="arial" w:hAnsi="arial" w:cs="arial"/>
          <w:color w:val="000000"/>
          <w:sz w:val="20"/>
          <w:u w:val="single"/>
          <w:lang w:val="en-US" w:eastAsia="en-US" w:bidi="ar-SA"/>
        </w:rPr>
        <w:t>where necessary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of November 21, 1996 neither plaintiff had purchased any shares in HPC. Dr. Gill had indicated in his November 5, 1996 letter that he was going to send funds for the purchase of shares within a week. He did not do that. It was not until November 27, 1996, after receiving the impugned assurances from Dr. Hughes, that he formally accepted the offer to purchase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statements as to the regulatory status of Miralex as made initially in the conversation with Dr. Hughes on November 21, 1996 and repeated in the July 7, 1997 newsletter are misleading. They are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All of the statements made by Dr. Moore and Dr. Hughes regarding the status of Miralex as "Health Protection Branch and Drug Enforcement Agency approved", were made when they knew that Dr. Gill and Dr. Noble were contemplating making significant investments in HPC. They knew, indeed they promoted the notion, that the company's primary asset was its ability to market Miralex. I can only conclude that the statements about the regulatory status of Miralex were made to both encourage investors to invest and to allay any concerns they might otherwise have as to the company's ability to sell this product. In these circumstances, to make this claim when it was so obviously misleading was to fall well below the standard of care necessary. It is no answer for the defendants to say they received expert advice that regulatory approval was not needed. First, they did not say that regulatory approval was not needed. They said that it had been obtained. Second, the "expert" referred to has not been identified nor has any evidence been led as to his or her qualifications. I find it odd that if that advice had been received that nothing was put before the court in the way of communications with that expert after the Health Protection Branch advised that an exemption did not exist in light of the medicinal claims being made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view the statements were negligently made by Dr. Hughes and Dr.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not satisfied that the statements were fraudulently made by Dr. Moore. I accept Dr. Moore's evidence that he believed that what he had written fairly bore the interpretation that he maintains he intended. In light of that, one of the elements necessary to ground a finding of fraud is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Nor am I satisfied that the same representations made in this regard by Dr. Hughes were fraudulent. While in several respects I find the evidence of Dr. Hughes wanting I accept that he believed, albeit negligently, that an herbal product which he thought Miralex was, could be marketed without Health Protection Branch or Food and Drug Administration approval. I recognize that the representations he made conveyed more than this limited conclusion. Nevertheless, I am not satisfied that he made those representations knowing them to be false.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of Steroids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is no dispute that Dr. Hughes and Dr. Moore repeatedly asserted that Miralex was steroid-free. The issue is whether these assertions were misleading, inaccurate or untruthful and if so, whether they were negligently or fraudulently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steroid-free nature of Miralex was central to its value. According to Dr. Hughes, the only effective treatments for psoriasis up until he became aware of Miralex were steroid based creams. These products were only partially successful and they had unfortunate side effects. Miralex, on the other hand, achieved results that Dr. Hughes and Dr. Moore repeatedly described in superlative terms. They claimed that it was better than the steroid based treatments and that it did not have any of the negative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determining whether the claims made by Dr. Hughes and Dr. Moore were inaccurate or misleading, it is necessary to examine what each of them knew of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Hughes, on examination for discovery, stated that he met Mr. Zamir, the president of Manon Pharmaceuticals &amp; Cosmetics and the supplier of Miralex, in connection with his attempts to market his other products in the Middle East. He knew that Mr. Zamir was an economist and he doubted, from the outset, his understanding of psoriasis and the manner in which Miralex worked. The marketing and distribution agreement that was reached between Manon Pharmaceuticals &amp; Cosmetics and HPC in May 1997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[HPC] will have the right to test and evaluate and have tested and evaluated the Product to determine its content and properties for the purpose of assisting us in our internal analysis of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[Manon Ltd.] will provide HPC on request with available product information required for HPC to obtain and maintain product approvals and/or filings, notwithstanding that the information may be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clear that neither Dr. Hughes nor HPC were relying on any representations made by Mr. Zamir or Manon Pharmaceuticals &amp; Cosmetics as to the constituent elements of Miralex. All Dr. Hughes knew from Manon Pharmaceuticals &amp; Cosmetics is that Mr. Zamir claimed the product was herbal in origin. He knew that Manon Pharmaceuticals &amp; Cosmetics was not the manufacturer of the product. There is no evidence that he knew anything about the manufacturing of it. He knew from his own observations that the product produced markedly varied results on patients and that at least in some cases the affected skin "responded as if the herbal action was similar to a fluorinated steroid". As a result Dr. Hughes asked Mr. Zamir what Miralex was made of. He did not, on the evidence adduced, receive a response. It was not until April 1999 that Dr. Hughes received a written response from the lab that he had requested analyze the product. To categorically assert in this context, at least prior to being informed of the results of the laboratory analysis, that the product was steroid-free was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Before turning to the question of whether either Dr. Moore or Dr. Hughes acted negligently or fraudulently in making these statements it is worth noting the relationship between them in relation to Hueson Pharmaceutical Corporation. It is apparent that Dr. Moore was involved primarily in a public relations role. There is no evidence that he made any of the significant decisions in relation to the company. All of the negotiations regarding the purchasing of shares were conducted without Dr. Moore's involvement. He had nothing to do with Mr. Zamir the principal of Manon Pharmaceuticals &amp; Cosmetics the company that supplied HPC with Miralex. Indeed he did not know until long after the fact of significant decisions being made by the company, for example the related party transactions referred to below. He did not sign the "Confidential Statement of Facts" and was not requested to by Dr. Noble. He had no background in pharmaceuticals; he was, as of December 1996 a retired veterinarian.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Hughes was clearly the leader of the defendant company. The name of the company is a reference, at least apparently, to him and his son. Dr. Hughes was the one with pharmacological expertise. He was the one with the relationship with Mr. Zamir. He was the one that had developed or helped to develop the Hueson Group of Companies. He was the one that made the significant financial decisions in relation to the company, including specifically the sale of shares. There are several instances in which his evidence does not make common sense or is otherwise inconsistent with the other uncontroverted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will deal first with the issue of fraud as it relates to these statements. I am not satisfied that Dr. Moore made these statements fraudulently. Indeed I accept his evidence that to this day he believes the product is steroid-free. It is his view, unreasonably but honestly held, that the testing that has been done to date is in some way wanting or it reflects such a small portion of the product that the results are both unreliable and largely unimportant.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not satisfied that Dr. Hughes knew the product contained steroids. The plaintiffs point to two pieces of evidence that they argue establish that Dr. Hughes knew that Miralex contained steroids. The first is the letter of February 21, 1997 referred to above. In that correspondence he specifically asked about the presence of steroids and he never received a reply. The second and more significant matter involves Dr. Hughes' dealings with a report he received from Enviro-Health Research Laboratories Inc. dated April 12, 1999. In the first version of the report the following sentence appears: "It is possible that these compounds may be plant sterols and bound to isoprenoids." At Dr. Hughes' direction the lab reissued the report without the sentence noted. He said that he did this because the statement was speculative and added nothing to the substance of the report. I am suspicious of his actions and I reject his explanation for them. The report appears to have been intended for the management of the company and if that is so, there would be no reason for Dr. Hughes to be concerned about any of them being misled or unduly alarmed by the sentence that was expunged. On the contrary, it may well have been helpful for them to know the laboratory's musings on the nature of Miralex and the limitations of their analysis. On the other hand there is no evidence that "sterols" are "steroids". I accept that the report, as initially drawn, was a matter of concern to Dr. Hughes but not for the reasons that he suggests. I am not prepared to find however on that basis that he knew that Miralex contained steroids. It follows that I do not accept that he made the assertions he did fraudulently.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remains to be determined whether in making these misrepresentations, either Dr. Moore or Dr. Hughes were negligent. For the very reasons the statements were misleading I find that Dr. Hughes was negligent in making them. He did not know the product was steroid-free. Mr. Zamir did not know what was in the product. Dr. Hughes was suspicious that it might contain a steroid and yet he made the assertions he did before his suspicions were quelled. Even after receiving the report from the lab which concluded that the one sample they had been asked to analyze was steroid free it was negligent for Dr. Hughes to continue to make the statements he did. He knew that patients responded differently to the product. He knew nothing about its manufacture. I am not satisfied on the evidence that the report that was received would have allayed or did allay his concerns. In these circumstances the standard of care requires more than simply testing one sample, and receiving a troubling if not ambiguous report at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am not satisfied that Dr. Moore was negligent in relation to these statements. He has sworn that he was not aware that the product behaved like a steroid. He was not, after all, the person who was conducting the clinical trials. He never expressed any doubt that the product was steroid-free. There is no evidence to suggest that he had any dealings with Mr. Zamir or Manon Pharmaceuticals &amp; Cosmetics. It has not been established that he knew or ought to have known anything about the circumstances of the products' manufacture. He relied, I find, on the assurances of his colleague Dr. Hughes. In doing so, it has not been established he was negligent.</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Match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is noted above Dr. Noble was not prepared to make a further investment in HPC in the fall of 1998 unless Dr. Hughes and Dr. Moore made similar matching investments. Dr. Hughes wrote to Dr. Noble in response to his request stating "Bryan and I have committed". Dr. Noble reasonably took that statement to mean that Dr. Hughes and Dr. Moore had committed to making a matching investment. Dr. Noble states in his affidavit that no matching investment was ever made by Dr. Hughes or Dr. Moore. This is not denied by Dr. Hughes, Dr. Moore, or Peter Hughes. Indeed none of them have addressed this issue at all in their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important to note that there is no evidence that Dr. Moore knew of Dr. Hughes' correspondence or of the requirement that he make a matching investment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During argument Dr. Hughes explained his version of this agreement. He said that the matching investment was to be made with the money he received from Dr. Noble or Dr. Gill when they exercised the options they owned to purchase some of the shares that Dr. Hughes owned. If Dr. Hughes' version of the meaning of this statement is accepted then it does not amount to a misrepresentation. On the other hand, if he did not intend the statement in the manner he maintains, the statement is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are several difficulties with Dr. Hughes' argument regarding his interpretation of the statement. First, the interpretation he suggests is not in accord with his own words. He did not respond by saying that "I will commit once you exercise your options". He did not say his commitment was contingent on any future event. He wrote "Bryan and I have committed". Second, it would not make any business sense for Dr. Noble to agree to such an arrangement. If, as must have been obvious to Dr. Hughes, Dr. Noble's intention was to ensure that Dr. Hughes and Dr. Moore were both at risk to the degree that he would be upon completing the contemplated investment, that would not be accomplished on Dr. Hughes' view of the arrangement. On Dr. Hughes' version there would be no matching of the additional investment by Dr. Noble because in order for Dr. Hughes to invest Dr. Noble would have to exercise his options on Dr. Hughes shares, thus reducing Dr. Hughes' exposure and increasing his own exposure. Third, there is no evidence that Dr. Noble ever acquired any options from Dr. Moore and thus, unless the arrangements for Dr. Hughes and Dr. Moore were different, they could not be accomplished on Dr. Hughes' interpretation. He made no distinction between himself and Dr. Moore in his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reject Dr. Hughes' explanation that he meant the statement in the manner he suggested. I find that the statement was intended to mean what it says, namely, that Dr. Hughes and Dr. Moore had made or were committed to make investments matching those being contemplated by Dr. Noble. It was a misrepresentation. It was made by Dr. Hughes when he knew it to be false. There was no matching investment in the sense that Dr. Noble required and Dr. Hughes knew that. I do not accept that he honestly intended his response to mean anything other than that which the words fairly convey. The statement was made for the purpose of convincing Dr. Noble to make a further investment in the company. It was fraudulently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It is a necessary element of the torts of deceit and negligent misrepresentation that the plaintiff establish that he or she relied, reasonably, on the statements said to ground the torts. As the plaintiffs state in their written submissions, it is sufficient to establish reliance if it can be demonstrated that the impugned assertions were one of a number matters relied upon. In Kripps v. Touche Ross &amp; Co., </w:t>
      </w:r>
      <w:hyperlink r:id="rId456" w:history="1">
        <w:r>
          <w:rPr>
            <w:rFonts w:ascii="arial" w:eastAsia="arial" w:hAnsi="arial" w:cs="arial"/>
            <w:i/>
            <w:color w:val="0077CC"/>
            <w:sz w:val="20"/>
            <w:u w:val="single"/>
            <w:shd w:val="clear" w:color="auto" w:fill="FFFFFF"/>
            <w:lang w:val="en-US" w:eastAsia="en-US" w:bidi="ar-SA"/>
          </w:rPr>
          <w:t>[1997] B.C.J. No. 968</w:t>
        </w:r>
      </w:hyperlink>
      <w:r>
        <w:rPr>
          <w:rFonts w:ascii="arial" w:eastAsia="arial" w:hAnsi="arial" w:cs="arial"/>
          <w:color w:val="000000"/>
          <w:sz w:val="20"/>
          <w:lang w:val="en-US" w:eastAsia="en-US" w:bidi="ar-SA"/>
        </w:rPr>
        <w:t>, Finch J.A. (as he then was) wrote on behalf of the majority of the Court of Appeal at para.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sufficient, therefore, for the plaintiff in an action for negligent misrepresentation to prove that the misrepresentation was at least one factor which induced the plaintiff to act to his or her detriment. I am also of the view that where the misrepresentation in question is one which was calculated or which would naturally tend to induce the plaintiff to act upon it, the plaintiff's reliance may be inferred. The inference of reliance is one which may be rebutted but the onus of doing so rests on the representor.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is clear that the plaintiffs relied on all of the misrepresentations in making their investment decisions. The misrepresentations all would naturally tend to induce the plaintiffs to act on them. There is no doubt that other factors influenced their decisions to invest but I am satisfied that the misrepresentations were at least one of the factors upon which their decisions were founded. There has been no evidence led by the defendants that would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defendants argue that even if the plaintiffs did rely on their statements they did not act reasonably in so doing. In support of this argument the defendants point to Dr. Noble's own statement in his August 3, 1998 letter in which he commented "whether we like it or not this company is still in its embryonic stages and this remains a very high risk investment." I accept that this was an investment fraught with risks. The risks did not include however the risk of being misled by the principals of the company in which the investment was being made. The defendants to a greater or lesser degree held themselves out as having particular knowledge and qualifications in relation to the matter they were promoting. It was not unreasonable, in my view, for the plaintiffs to reply on their statements in making their investment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Related Party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Aside from the foregoing allegations, the plaintiff Dr. Noble argues that the defendants breached an implied term of one of the contracts of purchase and sale by entering into what are described as "related party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January 2000, Dr. Gill and Dr. Noble received an annual report and financial statements for HPC. These were the first financial statements that the plaintiffs had received. The unaudited financial statements were for the period from January 1997 to June 30,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were two notes to the statements that deal with the "related party transactions". The first stated that HPC had paid $278,390 US of the $350,000 US purchase price to acquire the "world rights" (except Canada, Australia and the U.K.) to 11 products of Steven Jenter Laboratories Ltd., International Dermatologicals Inc., and E.P.X. Skin Care Systems Ltd. These are all companies identified as being part of the Hueson Group Canada in the first September 10, 1996 share offering. The financial statements do not indicate when this transaction was entered into but they do state that the balance of the purchase price would be due January 1, 2002. The statements do however indicate that the companies that form part of the Hueson Group Canada were owned by companies that were controlled by an officer and director of HPC.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second note to the statements relates to the purchase of an option to purchase all of the issued and outstanding shares of Discovery Health Care Ltd., by HPC for $150,000 US. The price of the shares, should the option be exercised, was $360,000 US. Again the statements do not indicate when this transaction was entered into but the option was to be exercised, if at all, by May 1, 2001. The statements indicate that Discovery Health Care Ltd. was owned by "an officer and director" of HPC.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will deal separately with each of these transactions.</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Acquisition of Rights to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noted above HPC entered into an agreement to acquire the world rights (except Canada, Australia and the U.K.) to 11 products owned by Steven Jenter Laboratories Ltd., International Dermatologicals Inc., and E.P.X. Skin Care Systems Ltd. The price for this acquisition was $360,000 US and by the time the financial statements were first seen by the plaintiffs, $278,390 of that price had already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financial statements show the acquisition of these rights as an asset. The statements reveal that payment for the rights was made partly in 1997 and partly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take the position that these rights were already represented by HPC as being the property of that company when the first share transactions were entered into. The fact that the company was paying for them later establishes that the initial representations were false or in the alternative the company was buying something it already owned.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argue that neither scenario is the case. Dr. Hughes asserts that HPC had the marketing rights for the United States for these products and that the acquisition of the rights for the remainder of the world (except Canada, Australia and the U.K.) was done to increase the value of HPC. Peter Hughes asserts that the rights being acquired through this transaction were different than the original rights owned by HPC. They relate to the same products but deal with different geographic locations. The purpose of the transaction was to bolster HPC's "product rights inventory". Dr. Moore has not responded at all to this allegation perhaps because, according to his examination for discovery evidence, he was never consulted about it and the first he learned of it was at the annual general meeting of the company held in January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September 10, 1996 share offering document is not entirely clear on what the status of the rights associated with these products were. It initially states, "Hueson USA has acquired, through licensing and invention, 42 pharmaceutical products - consumer and professional - Veterinary and Human..." The document further provides that "Hueson USA by these product rights has acquired an asset base of [more than] $10,000,000 US". The next reference to these products states "we have developed 42 products Human and Veterinary and incorporated ten pharmaceutical companies (Hueson Group Canada)..." and it then lists the companies. Included in the list are all the companies named as the vendors of the rights being purchased for $350,000. The document then describes how all of these companies were to be consolidated into one company, Consolidated Hueson Canada, which company would then be acquired by HPC. This acquisition was to be accomplished "by way of a share exchange". The document notes that "if you are a previous investor of the Canadian Companies (e.g., Care Vet) your shares will be converted to shares in Hueson USA. A formal offer to tender your shares will be sent to you in the very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September 10, 1996 share offering was accompanied by a corporate structure document schematically representing how HPC would look following the transactions described in the offering. Specifically the document provides that HPC would own Consolidated Hueson Canada, which in turn would own the very companies noted in the financial statements. In the box on the organizational chart occupied by HPC, the only other words are "World Marketing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On examination for discovery, Dr. Moore acknowledged that he thought the various Canadian companies that were to be acquired by HPC would be acquired, as the document implies, by "share swap".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view the only reasonable interpretation to be placed on the September 10, 1996 share offering documents is that HPC would be acquiring, through a share exchange, the Canadian companies and all that they owned, that is including specifically the rights to market the 42 products they had developed. There is nothing in the documents to suggest that these marketing rights would be limited to the United States or any other geographic location. Indeed the organizational chart can only be interpreted to mean that once the share transactions were complete, HPC would own the "world marketing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expressly reject the evidence of Peter Hughes and Dr. Hughes in which they state that the rights being purchased were different than the rights that the company already owned. Their assertions cannot be reconciled with the plain meaning of the company's own promotional material. Moreover, I find it odd in the extreme that an acquisition of this sort would not have been raised with the management committee of the company never mind with Dr. Moore. Further this transaction, which is of some significance given its size, is not mentioned in the January 1998 five-year business plan nor is it mentioned in the Business Overview that accompanied the February 1998 newsletter.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While this transaction is telling in relation to Peter and Donald Hughes' credibility, it is not otherwise relevant to this action. I find that the company owned what it said it owned in the promotional material referred to above. In the result there was no misrepresentation. If the transaction is fraudulent or is otherwise improvident, then the remedy for it belongs to the company not the individual plaintiffs in this action.</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Acquisition of Discovery Health Care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Discovery Health Care Ltd. was not one of the Hueson Group of companies. It owned, according to the financial statements of HPC, the rights to six products and specialized in direct marketing of health care products. The financial statements further disclose that the company was owned by an officer and director of HPC.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transaction at issue involved the purchase by HPC, of an option to acquire all of the outstanding shares of Discovery Health Care Ltd. for a total of $360,000 US. The cost of this option was $150,000 and if the option was exercised, this amount would be applied towards the purchase price. The option was open to be exercised until May 1, 2001. The option was acquired by HPC in 1998. Peter Hughes could not recall when in that year the transaction was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Peter Hughes was the President of Discovery Health Care. He was one of four shareholders in the company. One of their other shareholders was a company in which Dr. Hughes had an interest. The entire $150,000 purchase price of the option was paid to Peter Hughes. This transaction was negotiated, according to Peter Hughes, on behalf of HPC by Dr. Hughes, and on behalf of Discovery Health Care Ltd., by Peter Hughes. Dr. Moore was not involved and indeed did not learn about the transaction until he read the financial statements in which it was disclosed. Discovery Health Care Ltd., at the time the option was purchased, had one employee, Peter Hughes. It had one product of any significance, an anti-inflammatory called Arthroflex. For the period ending December 1999, the sales of that product were less than $20,000 US. For the period ending December 1998, Peter Hughes was unsure if the sales of that product exceeded $10,000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allegation of the plaintiff Dr. Noble is that this transaction contravened the "Confidential Statement of Facts" that was a precondition to his investment of October 1998. Prior to making that purchase, Dr. Noble requested various assurances from Peter Hughes and Dr. Hughes. On August 3, 1998 Dr. Noble wrote to Dr. Hughes stating, among other things, "my investment will be for product development, marketing, insurance, and development of the above divisions". In response to this letter Dr. Noble received the "Confidential Statement of Facts" signed by Peter Hughes and Dr. Hughes. It contained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should complete the financing as discussed the capital will be used for product development, marketing, liability insurance, key-man insurance, and advertising and development of new business and new divisions or subsidiaries.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issue posed by the transaction involving the purchase of the option to acquire the Discovery Health Care Ltd. shares, is whether that transaction falls within the scope of the terms of Dr. Noble's investment. Put another way, did it violate the ongoing representation contained in the "Confidential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Dr. Noble's letter is not entirely clear, what is clear is that the entire focus of his concern was Miralex in both its human and veterinary applications. Miralex is the "product" being referred to in the phrase "product development". There is nothing in his correspondence, or in the meeting that generated it, to suggest that HPC was going to branch out into other products or other endeavours at least in the near term. It is clear that Dr. Hughes understood the letter in that way. In his August 14, 1998 response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would consider taking 2 of the remaining blocks we could immediately become more aggressive in marketing </w:t>
      </w:r>
      <w:r>
        <w:rPr>
          <w:rFonts w:ascii="arial" w:eastAsia="arial" w:hAnsi="arial" w:cs="arial"/>
          <w:color w:val="000000"/>
          <w:sz w:val="20"/>
          <w:u w:val="single"/>
          <w:lang w:val="en-US" w:eastAsia="en-US" w:bidi="ar-SA"/>
        </w:rPr>
        <w:t>Miralex</w:t>
      </w:r>
      <w:r>
        <w:rPr>
          <w:rFonts w:ascii="arial" w:eastAsia="arial" w:hAnsi="arial" w:cs="arial"/>
          <w:color w:val="000000"/>
          <w:sz w:val="20"/>
          <w:lang w:val="en-US" w:eastAsia="en-US" w:bidi="ar-SA"/>
        </w:rPr>
        <w:t xml:space="preserve"> now that the "bugs" have been worked out and the newspaper ads have given us the template to achieve success.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particularly anxious to proceed with a Veterinary wholly-owned subsidiary. With the financing completed we would have a meeting with you and Allan regarding </w:t>
      </w:r>
      <w:r>
        <w:rPr>
          <w:rFonts w:ascii="arial" w:eastAsia="arial" w:hAnsi="arial" w:cs="arial"/>
          <w:color w:val="000000"/>
          <w:sz w:val="20"/>
          <w:u w:val="single"/>
          <w:lang w:val="en-US" w:eastAsia="en-US" w:bidi="ar-SA"/>
        </w:rPr>
        <w:t>Miralex</w:t>
      </w:r>
      <w:r>
        <w:rPr>
          <w:rFonts w:ascii="arial" w:eastAsia="arial" w:hAnsi="arial" w:cs="arial"/>
          <w:color w:val="000000"/>
          <w:sz w:val="20"/>
          <w:lang w:val="en-US" w:eastAsia="en-US" w:bidi="ar-SA"/>
        </w:rPr>
        <w:t xml:space="preserve"> Vet to identify a "management team" (Allan &amp; John?) and arrange formal agreements, budgets, equity opportunities, and inventory to be agreed upon and "go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mention any other products or any other contemplated endeavours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Later in August the "Confidential Statement of Facts" was forwarded to Dr. Noble. The entire focus of that document was Miralex. While there is passing reference to the 42 other products owned by HPC, the reference to "new business and new divisions or subsidiaries" can only mean new Miralex divisions, such as the veterinary division, the new business means the new applications of Miralex to other skin disorders, such as eczema and dermatitis.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my view, Peter Hughes and Dr. Hughes agreed by the terms of the "Confidential Statement of Facts" that they would use Dr. Noble's investment only for the purposes noted above. By causing the company to purchase the option for the outstanding shares in Discovery Health Care Ltd., they were in breach of this term. I am fortified in this conclusion by the secrecy that surrounded this transaction. Dr. Moore was not advised of it; the management committee was never consulted about it; the company's business plan and business overview, issued the year the transaction was entered into are both silent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investment by Dr. Noble to which the "Confidential Statement of Facts" related was made on October 1, 1998. I find that as of that date that both Peter Hughes and Dr. Hughes were actively negotiating for that sale, or were at least contemplating the sale. In either case the representation at the time it was made was misleading and was misleading about the existing state of affairs in relation to the purchase and sale of this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It was, I find, fraudulently made. Peter Hughes knew that limitations on the use of funds that Dr. Noble was demanding. So did his father. They both knew, I am satisfied, that the purchase of the option from Discovery Health Care Ltd. was in contravention of that agreement. They both had that transaction in contemplation if it was not under active negotiation at the time the representation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plaintiffs have also claimed, in the alternative, relief based on alleged breaches of the Securities Act. I will not deal with that issue in that, to a considerable degree, the foregoing findings would, at best, do no more than ground relief under that Act similar to that which follows at common law or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plaintiffs contend that they have lost their entire investment as a result of the failure of Miralex. Whether their claims are viewed from the perspective of breach of the contracts of purchase and sale of the shares or from the perspective of the tort of negligent or fraudulent misrepresention, they take the position that the measure of their damages is the same. They seek to be put in the position that they would have been in but for the misrepresentations, that is, they seek judgment in the amount of their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defendants argue that the plaintiffs have not proven that HPC is, in fact, worthless. This submission however misses the point. Throughout the promotional period during which the company was attempting to raise money, its own materials indicated that its primary value was the promise of Miralex. It is clear on the evidence that HPC is certainly worth substantially less than it would have been had the representations about Miralex been true. To the extent there is a diminution in the value of the company as a result of the misrepresentations the plaintiffs have suffered a detriment and are entitled to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damages they are entitled to in tort is that which is necessary to put them in the position they would have been in had the misrepresentations not been made. I am satisfied that they would not have made the investments they did but for the representations and hence they are entitled to the return of their investments. The company is of course entitled to the return or cancellation of its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first misrepresentations predate the first share purchase by Dr. Gill. He is therefore entitled to judgment against HPC for the entire amount of his investment. His damages consist of $12,000 as of November 30, 1996; a further $60,000 as of February 14, 1997; the Canadian dollar equivalent of $72,000 US as of September 24, 1997; and the Canadian dollar equivalent of $9,000 US as of April 1, 1998. Similarly, the plaintiff, Koala Holdings Inc., is entitled to judgment against HPC for the entire amount of its investment. Its damages consist of $60,000 as of February 14, 1997; the Canadian dollar equivalent of $228,000 US as of September 25, 1997; and the Canadian dollar equivalent of $250,000 US as of October 1, 1998. The plaintiff, Noble Family Trust, is entitled to judgment against HPC for the amount of its investment, being the Canadian dollar equivalent of $75,000 US as of April 2, 1998 and the Canadian equivalent of $250,000 as of October 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With respect to the individual defendants, the plaintiff, Dr. Gill, is entitled to damages as against Dr. Hughes for the entire amount of his investment as set out above, because the misrepresentations made by Dr. Hughes were made prior to the first investments by the plaintiffs. Similarly the plaintiffs, Noble Family Trust and Koala Holdings Inc., are entitled to judgment against Dr. Hughes for the entire amount of their respective investments as set out above. Finally they are entitled to recover on the basis of fraud, their respective losses in relation to their October 1998 investments; namely, they are each entitled to judgment in the amount of the Canadian equivalent of $250,000 US as of October 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to the defendant, Dr. Moore, his negligent misstatements relate only to the claims he made about the approved status of the product. Those statements were not made by him until July 1997. His liability is for those share purchases which were made subsequent to that date. In relation to the plaintiff, Dr. Gill, Dr. Moore is liable for the Canadian dollar equivalent of those purchases made on September 25, 1997 and April 1, 1998. In relation to the plaintiffs, Koala Holdings Inc. and the Noble Family Trust, his liability is for the entirety of their investments less the $60,000 investment made in February 1997 by Koala Holdings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to Peter Hughes, he was not in a "special relationship" with the plaintiffs until February 1998. Although a "special relationship" existed from that point, the only negligent or fraudulent misstatements that were made and for which he is liable are those relating to the uses to which the October 1998 investments would be put. The plaintiffs, Koala Holdings Inc. and Noble Family Trust, are accordingly entitled to recover damages on the basis of fraudulent and negligent misrepresentation against Peter Hughes in relation to those investments that were made in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plaintiffs are entitled to prejudgment interest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 have not heard from the defendants on the issue of contribution as between themselves. In the event they are unable to agree on that matter, they are at liberty to apply for a determination of their respective contributions as contemplated by s. 4(2)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plaintiffs are entitled to costs on Scale 3 as against each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27,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dated and filed on December 31,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first page of the Reasons for Judgment inadvertently omitted the trial dates of April 3, 4 and 5, 2002. These dates should have been indicated in addition to the April 29, May 27 and May 30, 2002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As reflected in the title page, reference to the trial dates will now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and Place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3 - 5, 29, 2002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Hearing</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27 &amp; 30, 2002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amendments underlined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Further, paragraph 58 on page 28 is amended in the seventh line by changing the word "breach" to "reach". Paragraph 58, therefore, is amended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 Forest J. held at para. 24 that a sufficiently close relationship will be found to exist when "(a) the defendant ought reasonably to foresee that the plaintiff will rely on his or her representation; and (b) reliance by the plaintiff would, in the particular circumstances of the case, be reasonable." Although there is some debate about whether these limitations on the reach of negligent misrepresentation ought to be viewed within the first or the second part of the test in City of Kamloops v. Nielsen, supra, in the case at bar that issue is of no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 The Reasons for Judgment are amended accordingly. In all other aspects, the Reasons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Kaston v. Amex Bank of Canada, [2004] B.C.J. No. 1230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03/0755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809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866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Jack Kaston, plaintiff, and Amex Bank of Canada and NCO Financial Services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26"/>
      <w:bookmarkEnd w:id="181"/>
      <w:r>
        <w:rPr>
          <w:rFonts w:ascii="arial" w:eastAsia="arial" w:hAnsi="arial" w:cs="arial"/>
          <w:b/>
          <w:color w:val="000000"/>
          <w:sz w:val="20"/>
          <w:lang w:val="en-US" w:eastAsia="en-US" w:bidi="ar-SA"/>
        </w:rPr>
        <w:t>Civil procedure — Discovery — Examination for discovery — Persons who may be examined.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25"/>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Kaston for an order compelling the defendant Amex to produce Horowitz, the chief executive officer and president of Amex, for discovery. Amex applied for an order that De Sousa, a manager at Amex, be examined in place of Horowitz. Kaston, who was unrepresented, had commenced an action alleging libel against Amex and libel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NCO, a second defendant. Kaston claimed that NCO, as agent for Amex, filed a credit report falsely stating that Kaston owed $6,500 to the defendants. In November 2003, Kaston contacted Amex to schedule a time for discovery. At that time, he forwarded conduct money for travel between Toronto and Vancouver, and left to Amex the choice of appropriate representative for discovery. Two months later, Amex returned the conduct money and informed Kaston that he had failed to identify who he wished to examine. In late January, Kaston forwarded conduct monies and a notice of appointment to examine Horowitz on February 9, 2003, stating that Horowitz was the only person he knew at Amex. Amex replied that Horowitz was unavailable for discovery on that date.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23"/>
            <w:bookmarkEnd w:id="183"/>
            <w:r>
              <w:rPr>
                <w:rFonts w:ascii="arial" w:eastAsia="arial" w:hAnsi="arial" w:cs="arial"/>
                <w:color w:val="000000"/>
                <w:sz w:val="20"/>
                <w:lang w:val="en-US" w:eastAsia="en-US" w:bidi="ar-SA"/>
              </w:rPr>
              <w:t>HELD: Application granted.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Kaston was entitled to examine Horowitz. Amex's application was dismissed. Counsel for Amex unilaterally overrode Kaston's right to choose a representative to examine, and ignored Amex's obligation to apply for a change of representative before the scheduled discovery. Kason had a prima facie right to examine his chosen representative. Amex proffered little evidence that producing Horowitz for discovery would be prejudicial, and any prejudice was insufficient to outweigh Kaston's right to choose the representative to be examined.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Legislation Cited_21"/>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7"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27(4), 27(6).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5" w:name="Counsel_26"/>
      <w:bookmarkEnd w:id="1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Kaston: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Amex Bank of Canada: J. Harry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6" w:name="Judgment_25"/>
      <w:bookmarkEnd w:id="186"/>
      <w:r>
        <w:pict>
          <v:line id="_x0000_s1159"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7" w:name="MACAULAY J."/>
            <w:bookmarkEnd w:id="187"/>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Two cross-applications raise a common issue respecting the choice of representative of a corporate party for examination for discovery. The plaintiff, Mr. Kaston, applies for an order compelling the defendant, Amex, to produce Beth Horowitz for examination for discovery. Ms. Horowitz is the current chief executive officer and president of Amex. Amex applies for an order that Greg De Souza be examined in place of Ms. Horowitz. Mr. De Souza is employed by Amex in a managerial capacity. Both applications necessarily depend on the interpretation of Supreme Court Rule 27(4) which is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Kaston also applied for other orders in his notice of motion but did not proceed with them except to the extent that he sought an order that "a negative inference should be drawn against the defendant [Amex] at the trial" for failure to attend the scheduled examination for discovery described below. I dismissed that application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Rule 27(4) entitles the examining party to choose who to examine on behalf of an opposing party provided the individual chosen is a person listed in the rule. The opposing party may then apply to the court before the examination to replace the chosen individual with another person within the list. The rule reads: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or has been a director, officer, employee, agent or external auditor of a party may be examined for discovery, but that party may apply to the court at any time before the examination for an order requiring the examining party to examine instead of that person some other person who is or has been a director, officer, employee, agent or external auditor of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Kaston raised, as a preliminary matter, the failure of Amex to file its application until after the scheduled examination of Ms. Horowitz but I declined to give effect to that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is necessary to briefly review Mr. Kaston's claim and the defences advanced to provide context for the issues before setting out the history leading up to the aborted discovery. Mr. Kaston commenced the action in February 2003 alleging libel against both defendants and, against NCO, also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 read the statement of claim (before recent amendments in May 2004 adding further particulars and a similar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Amex), the essence of the plaintiff's claim is that the defendant, NCO, as agent for Amex, sometime after April 2001, filed a credit report falsely stating that Mr. Kaston owed about $6,500 to the defendants and that, as a result, Mr. Kaston sustained damages, including the refusal of a loan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filed a joint statement of defence in March 2003 alleging that the plaintiff owed the debt in April 2001 as an unpaid Amex credit card debt and that NCO purchased the debt at that time from Amex. Further, according to the defendants, NCO only reported the debt to credit reporting agencies after unsuccessful attempts to locate the plaintiff. Eventually, according to the statement of defence, Mr. Kaston contacted NCO and, after investigating, NCO satisfied itself that the plaintiff did not owe the money. NCO then notified the credit reporting agencies to remove the earlier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an amended statement of defence filed in March 2004 and without seeking leave to withdraw its earlier admission that no debt was owed in fact, NCO now alleges a different outcome to its investigation and says that it was unable to "procure sufficient evidence to either confirm or deny the existence of the debt". NCO has since counterclaimed for $3,900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exchange of letters respecting the proposed discovery preceded any amendments to the pleadings. Initially, Mr. Kaston left it to Amex to decide who to produce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Kaston wrote to counsel for the defendants in late November 2003 to arrange a one day discovery of "your witness" in Victoria between January 10 and March 10, 2004. He invited counsel to inform him of two alternate dates convenient to counsel and her client. Mr. Kaston also forwarded conduct money based on anticipated return airfare from Toronto as well as one night's hotel accommodation and related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did not respond to the letter until January 27, 2004. At that time, she wrote to Mr. Kaston and returned the conduct money. While the explanation for doing so might have been reasonable if it had been timely, the delay likely contributed significantly to the response it elicited from the plaintiff. Without any explanation for her delay in responding, counsel for the defendants tersely explained the return of the money in her letter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conduct money was calculated on the basis that the representative would be travelling from Toronto. However, you have not identified who it is you would like to examine on behalf of Amex Bank of Canada, so it is not clear whether that representative would be travelling from Toronto or somewhere else. Please advise the name of who you wish to examine or, if you can advise of what general area the witness should be familiar with, we can advise of the appropriate representative. We will then be in a position to advise of available dates and conduct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Kaston responded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Under cover of letter dated January 29, 2004, the plaintiff forwarded a notice of appointment to examine Ms. Horowitz for discovery in Victoria on February 9, 2004. He also re-forwarded conduct money based on return airfare from Toronto and pointed out that counsel had advised the previous August that the Amex representative would be someone from Markham, near Toronto. Mr. Kaston stated, in part, "Given that you wasted two months, I now select the only person at Amex that I know", and also pointed out that Amex had never disclosed "the name of a person to be examined who is knowledgeable concerning the matters in question in the action" as required by Rule 27(6).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letter dated January 30, 2004, counsel for the defendants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advised that Ms. Horowitz is not available on February 9, 2004. In any event, she will have no knowledge whatsoever of this matter and is not an appropriate representative for discovery. I am also not available the week of February 9. Accordingly, Ms. Horowitz will not be attending a discovery on February 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went on to invite Mr. Kaston to advise "what general area" he wished to examine on so that Amex could determine the name of the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the non-attendance at the scheduled examination for discovery, Mr. Kaston filed the notice of motion described earlier in my reasons. On March 4, 2004, counsel to Amex wrote to the plaintiff to advise him that the Amex representative for discovery purposes was Mr. De Souza, who resides in Markham, Ontario. Once again, the defendant challenged the amount of conduct money forwarded earlier and returned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history set out above reveals that Mr. Kaston, an in-person litigant, endeavoured to scrupulously comply with both the Rules of Court and common courtesy. Unfortunately, I cannot say the same about counsel to Amex. She waited an unconscionably long time to respond to the plaintiff's original request that Amex provide the name of a representative and to set down the examination. When she did finally respond, she, in effect, stonewalled the plaintiff. Counsel unilaterally overrode the plaintiff's right to choose a representative to examine and ignored Amex's obligation under the rule to apply for a change of representative before the scheduled discovery. The application probably would have required nothing more than delivering the notice of motion and offering Mr. De Souza as the representative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Rules do not require an examining party to tell the other side anything about the proposed discovery as the ambit is defined necessarily by the pleadings. Instead of relying on the pleadings to determine the issues, counsel for Amex also required Mr. Kaston to commit himself to the general areas of examination in advance before Amex would choose the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doubt that counsel for Amex would have treated a lawyer for an opposing party in such a manner; I strongly condemn this cavalier treatment of an unrepresented litigant. The inescapable conclusion is that Amex and its counsel stonewalled the plaintiff because they consider his lawsuit trivial and wanted to discourage him from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applicable law respecting Rule 27(4) may be briefly stated. In MacMillan Bloedel Ltd. v. Binstead, </w:t>
      </w:r>
      <w:hyperlink r:id="rId464" w:history="1">
        <w:r>
          <w:rPr>
            <w:rFonts w:ascii="arial" w:eastAsia="arial" w:hAnsi="arial" w:cs="arial"/>
            <w:i/>
            <w:color w:val="0077CC"/>
            <w:sz w:val="20"/>
            <w:u w:val="single"/>
            <w:shd w:val="clear" w:color="auto" w:fill="FFFFFF"/>
            <w:lang w:val="en-US" w:eastAsia="en-US" w:bidi="ar-SA"/>
          </w:rPr>
          <w:t>[1981] B.C.J. No. 1698</w:t>
        </w:r>
      </w:hyperlink>
      <w:r>
        <w:rPr>
          <w:rFonts w:ascii="arial" w:eastAsia="arial" w:hAnsi="arial" w:cs="arial"/>
          <w:color w:val="000000"/>
          <w:sz w:val="20"/>
          <w:lang w:val="en-US" w:eastAsia="en-US" w:bidi="ar-SA"/>
        </w:rPr>
        <w:t xml:space="preserve"> (C.A.) at para. 11, the court confirmed that the party taking out an appointment to examine the representative of a corporate party opposed in interest has "the right at first instance to select the representative who is to be examined". This principle was earlier affirmed in British Columbia Lightweight Aggregate Ltd. v. Canada Cement Lafarge Ltd. </w:t>
      </w:r>
      <w:hyperlink r:id="rId465" w:history="1">
        <w:r>
          <w:rPr>
            <w:rFonts w:ascii="arial" w:eastAsia="arial" w:hAnsi="arial" w:cs="arial"/>
            <w:i/>
            <w:color w:val="0077CC"/>
            <w:sz w:val="20"/>
            <w:u w:val="single"/>
            <w:shd w:val="clear" w:color="auto" w:fill="FFFFFF"/>
            <w:lang w:val="en-US" w:eastAsia="en-US" w:bidi="ar-SA"/>
          </w:rPr>
          <w:t>(1978), 87 D.L.R. (3d) 737</w:t>
        </w:r>
      </w:hyperlink>
      <w:r>
        <w:rPr>
          <w:rFonts w:ascii="arial" w:eastAsia="arial" w:hAnsi="arial" w:cs="arial"/>
          <w:color w:val="000000"/>
          <w:sz w:val="20"/>
          <w:lang w:val="en-US" w:eastAsia="en-US" w:bidi="ar-SA"/>
        </w:rPr>
        <w:t xml:space="preserve"> (C.A.). There, at 739, the court also referred with approval to authority that recognized that "serious injustice might be done if the right of examination for discovery was in any way to be regulated by the adverse party". These principles reflect that Mr. Kaston has a prima facie right to examine his chosen representative, Ms. Horowitz, as she is a person within Rule 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Generally, the choice of the examining party should only give way to a proposed substitute where the party to be examined demonstrates prejudice. In Macdonald v. Roth et al, </w:t>
      </w:r>
      <w:hyperlink r:id="rId466" w:history="1">
        <w:r>
          <w:rPr>
            <w:rFonts w:ascii="arial" w:eastAsia="arial" w:hAnsi="arial" w:cs="arial"/>
            <w:i/>
            <w:color w:val="0077CC"/>
            <w:sz w:val="20"/>
            <w:u w:val="single"/>
            <w:shd w:val="clear" w:color="auto" w:fill="FFFFFF"/>
            <w:lang w:val="en-US" w:eastAsia="en-US" w:bidi="ar-SA"/>
          </w:rPr>
          <w:t>[2000] B.C.J. No. 2309</w:t>
        </w:r>
      </w:hyperlink>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2000 BCSC 1670</w:t>
        </w:r>
      </w:hyperlink>
      <w:r>
        <w:rPr>
          <w:rFonts w:ascii="arial" w:eastAsia="arial" w:hAnsi="arial" w:cs="arial"/>
          <w:color w:val="000000"/>
          <w:sz w:val="20"/>
          <w:lang w:val="en-US" w:eastAsia="en-US" w:bidi="ar-SA"/>
        </w:rPr>
        <w:t xml:space="preserve"> at paras. 34 to 37, Wong J. stated that it is not enough to simply propose someone with more or better knowledge of the matters in issue. The chosen representative must demonstrate something more than insufficient knowledge to demonstrate prejudice capable of overcoming the prejudice associated with depriving the examining party of his choice. Wong J. referred to the need to demonstrate overwhelming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an earlier case, Rainbow Indust. Caterers Ltd. v. C.N.R. </w:t>
      </w:r>
      <w:hyperlink r:id="rId467" w:history="1">
        <w:r>
          <w:rPr>
            <w:rFonts w:ascii="arial" w:eastAsia="arial" w:hAnsi="arial" w:cs="arial"/>
            <w:i/>
            <w:color w:val="0077CC"/>
            <w:sz w:val="20"/>
            <w:u w:val="single"/>
            <w:shd w:val="clear" w:color="auto" w:fill="FFFFFF"/>
            <w:lang w:val="en-US" w:eastAsia="en-US" w:bidi="ar-SA"/>
          </w:rPr>
          <w:t>(1986), 6 B.C.L.R. (2d) 268</w:t>
        </w:r>
      </w:hyperlink>
      <w:r>
        <w:rPr>
          <w:rFonts w:ascii="arial" w:eastAsia="arial" w:hAnsi="arial" w:cs="arial"/>
          <w:color w:val="000000"/>
          <w:sz w:val="20"/>
          <w:lang w:val="en-US" w:eastAsia="en-US" w:bidi="ar-SA"/>
        </w:rPr>
        <w:t xml:space="preserve"> (S.C.), Proudfoot J. (as she then was) held that substituting the person with the greatest knowledge may be necessary to avoid an injustice where the plaintiff makes serious allegations of misrepresentation, recklessness and fraud. Although I can find no specific discussion on the point, she apparently concluded that the particular allegations gave rise to a significant risk of prejudice if anyone other than the most informed person was examined. To the extent that decision may be said to modify the test for substituting a person to be examined, I would not apply it in the case at bar due to the different nature of the allegations here which do not necessarily carry any degree of personal culpability.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Amex proffered little evidence of prejudice. Counsel for Amex contended that Ms. Horowitz did not become CEO and president of the company until after the relevant timeframe and that she has no knowledge of either the specifics or the applicable corporate policies at the time. Accordingly, counsel says that considerable time will be required so that Ms. Horowitz can inform herself and respond to the questions asked. Counsel pointed out that Mr. De Souza, on the other hand, is better equipped to deal with the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doubt that these factors extend beyond inconvenience to Ms. Horowitz and Amex but, even if they do, any resulting prejudice is insufficient to outweigh the plaintiff's right to choose the representative to be examined. Mr. Kaston is apparently prepared to run the risk that the discovery process will be inefficient. I am not persuaded that he should be compelled to examine a different representative to promote efficiency or to justify his current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grant the plaintiff's application for an order compelling the defendant, Amex, to produce Ms. Horowitz for examination for discovery upon payment of necessary conduct money. I dismiss the application by Amex for an order that Mr. De Souza be examined in place of Ms. Horowitz.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unlikely that either of these applications would have been necessary if Amex had responded within a reasonable time to the plaintiff's initial request. Counsel for Amex eventually responded but only in a high handed dismissive manner. The plaintiff is entitled to costs on the applications in any event of the cause. I fix the costs for the two applications as a lump sum of $750, including disbursements, payable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Lewis v. Robinson, [2001] B.C.J. No. 866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6,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1, 2001.</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3333/97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866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643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105 A.C.W.S. (3d) 189</w:t>
      </w:r>
    </w:p>
    <w:p>
      <w:pPr>
        <w:spacing w:before="120" w:line="260" w:lineRule="atLeast"/>
        <w:rPr>
          <w:lang w:val="en-US" w:eastAsia="en-US" w:bidi="ar-SA"/>
        </w:rPr>
      </w:pPr>
      <w:r>
        <w:rPr>
          <w:rFonts w:ascii="arial" w:eastAsia="arial" w:hAnsi="arial" w:cs="arial"/>
          <w:color w:val="000000"/>
          <w:sz w:val="20"/>
          <w:lang w:val="en-US" w:eastAsia="en-US" w:bidi="ar-SA"/>
        </w:rPr>
        <w:t>Between Kenneth Herbert Lewis, plaintiff, and Will Robinson, Marci Salach and Yvonne Hourigan,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1"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8" w:name="Keywords_27"/>
      <w:bookmarkEnd w:id="18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Animals — Duty of possessor of domestic animals — Foreseeability — Evidence and proof.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89" w:name="Case Summary_26"/>
            <w:bookmarkEnd w:id="18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Motion by the defendant, Salach, for an order dismissing the action by the plaintiff, Lewis. While performing his duties as a delivery man, Lewis entered Salach's backyard. Salach's dog, which was chained to its dog house in the backyard, began to bark. Salach asked Lewis why he was entering the property but Lewis did not hear the question because of the dog's barking. Salach warned Lewis that the dog did not like strangers, but Lewis did not hear the warning. Lewis approached the dog to pat him and the dog bit him. Prior to the incident the dog had never bitten, lunged at or otherwise harassed persons. There was no evidence of complaints of potential harm to neighbours or friends and the evidence was that the dog was a non- aggressive, obedient dog who responded well to commands. </w:t>
            </w:r>
            <w:r>
              <w:rPr>
                <w:lang w:val="en-US" w:eastAsia="en-US" w:bidi="ar-SA"/>
              </w:rPr>
              <w:cr/>
            </w:r>
          </w:p>
          <w:p>
            <w:pPr>
              <w:spacing w:before="120" w:line="260" w:lineRule="atLeast"/>
              <w:ind w:left="240"/>
              <w:jc w:val="both"/>
              <w:rPr>
                <w:lang w:val="en-US" w:eastAsia="en-US" w:bidi="ar-SA"/>
              </w:rPr>
            </w:pPr>
            <w:bookmarkStart w:id="190" w:name="Holdings of Court_24"/>
            <w:bookmarkEnd w:id="190"/>
            <w:r>
              <w:rPr>
                <w:rFonts w:ascii="arial" w:eastAsia="arial" w:hAnsi="arial" w:cs="arial"/>
                <w:color w:val="000000"/>
                <w:sz w:val="20"/>
                <w:lang w:val="en-US" w:eastAsia="en-US" w:bidi="ar-SA"/>
              </w:rPr>
              <w:t>HELD: Motion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Salach neither knew nor ought she to have known of any propensity on the part of the dog to attack, bite, or otherwise cause harm. The evidence was that the dog was obedient and properly trained. Salach was not negligent and took reasonable care to prevent any harm by securing the dog in his own backyard. There was no basis upon which Lewis could found his action and his claim was dismissed. </w:t>
            </w:r>
            <w:r>
              <w:rPr>
                <w:lang w:val="en-US" w:eastAsia="en-US" w:bidi="ar-SA"/>
              </w:rPr>
              <w:cr/>
            </w:r>
          </w:p>
          <w:p>
            <w:pPr>
              <w:rPr>
                <w:lang w:val="en-US" w:eastAsia="en-US" w:bidi="ar-SA"/>
              </w:rPr>
            </w:pPr>
          </w:p>
        </w:tc>
      </w:tr>
    </w:tbl>
    <w:p>
      <w:pPr>
        <w:jc w:val="both"/>
        <w:rPr>
          <w:lang w:val="en-US" w:eastAsia="en-US" w:bidi="ar-SA"/>
        </w:rPr>
      </w:pPr>
      <w:bookmarkStart w:id="191" w:name="Legislation Cited_22"/>
      <w:bookmarkEnd w:id="19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62"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Occupier's Liability Act, s.  2.</w:t>
      </w:r>
      <w:r>
        <w:rPr>
          <w:lang w:val="en-US" w:eastAsia="en-US" w:bidi="ar-SA"/>
        </w:rPr>
        <w:cr/>
      </w:r>
    </w:p>
    <w:p>
      <w:pPr>
        <w:keepNext/>
        <w:spacing w:before="240" w:line="340" w:lineRule="atLeast"/>
        <w:rPr>
          <w:lang w:val="en-US" w:eastAsia="en-US" w:bidi="ar-SA"/>
        </w:rPr>
      </w:pPr>
      <w:bookmarkStart w:id="192" w:name="Counsel_27"/>
      <w:bookmarkEnd w:id="19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3" style="position:absolute;z-index:2517893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A.R. Atwood-Brewka, for the plaintiff. J.D. Martin, for the defendants.</w:t>
      </w:r>
      <w:r>
        <w:rPr>
          <w:lang w:val="en-US" w:eastAsia="en-US" w:bidi="ar-SA"/>
        </w:rPr>
        <w:cr/>
      </w:r>
    </w:p>
    <w:p>
      <w:pPr>
        <w:spacing w:after="240"/>
        <w:rPr>
          <w:lang w:val="en-US" w:eastAsia="en-US" w:bidi="ar-SA"/>
        </w:rPr>
      </w:pPr>
      <w:bookmarkStart w:id="193" w:name="Judgment_26"/>
      <w:bookmarkEnd w:id="193"/>
      <w:r>
        <w:pict>
          <v:line id="_x0000_s1164" style="position:absolute;z-index:25183846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4" w:name="MELVIN J."/>
            <w:bookmarkEnd w:id="194"/>
            <w:r>
              <w:rPr>
                <w:rFonts w:ascii="arial" w:eastAsia="arial" w:hAnsi="arial" w:cs="arial"/>
                <w:b/>
                <w:color w:val="000000"/>
                <w:sz w:val="30"/>
                <w:lang w:val="en-US" w:eastAsia="en-US" w:bidi="ar-SA"/>
              </w:rPr>
              <w:t>MELVIN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their notice of motion filed February 14, 2001, the defendants apply for an order that the plaintiff's action be dismissed with costs, pursuant to R. 18A of the Rules of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circumstances surrounding the plaintiff's cause of action relate to his attendance at the defendants' residence on August 28, 1996, at which time he was bitten by a dog owned by the defendants. The plaintiff was performing his duties as a deliveryman, attending at the premises in a fashion in which he had in the past, knowing that the defendants were the new owners and occupants of the property, but not knowing that the defendants had a dog. The plaintiff entered the defendants' property from the rear, not via the driveway, and was confronted by the defendant Salach and her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Prior to this incident, the defendants' dog had not been a problem in terms of biting or harassing persons. The defendants neither knew, nor should they ought to have known, of any propensity on the part of their dog to attack, bite, lunge at, or otherwise harass persons.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all times material, the defendants' dog was chained to its doghouse on the defendants' property. When the plaintiff emerged around the corner of the property, he startled the defendant Salach and her dog. As a result, the dog barked, and the defendant Salach asked the plaintiff why he was entering the property, as she had not seen him before.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respect, in his affidavit filed March 19, 2001, the plaintiff deposed that he saw the defendant Salach who spoke to him but he could not hear what she said as the dog was barking. He deposed that he tried to pet the dog and then tried to move out of the dog's range and as he was backing up the dog bit his hand. The plaintiff's evidence is substantially different from that of the defendants. The defendant Salach deposed in her affidavit, filed February 14, 2001, that when she saw the plaintiff unexpectedly enter her property, she called out to him to identify himself and she received no response. She warned him that her dog did not like strangers but the response she heard from the plaintiff was that the dog liked him. She was apprehensive as a result of some concerns over strangers in the area. She deposed that on no prior occasion had the dog caused any difficulty to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case is based on two alleged areas of liability. The first is liability by scienter which may give rise to strict liability if the owner knew, or ought to have known, that the animal had a propensity to cause harm. In the case at bar, there is absolutely no evidence of any prior conduct of the dog which would establish liability by scienter. To the contrary, the evidence is that the dog was obedient and properly trained and had not manifested a propensity to cause harm such as in the case at bar.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second head of liability that is advanced is with reference to the Occupier's Liability Act. Again, in order for liability to be imposed, it must be established that the defendants knew or ought to have known that the dog was likely to create a risk of harm to third parties including the plaintiff, and that the defendants failed to take reasonable care to prevent such harm. In this respect, it is to be noted, it is not negligent to have a dog on one's own property, nor is it negligent to have that dog secured as the defendants' dog was at the relevant period of time. I am satisfied that the defendants discharged the duty of care imposed on them by s. 2 of the Occupiers Liability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there is absolutely no evidence that the defendants knew or ought to have known their dog was a risk of creating harm. There was no evidence of complaints of potential harm to neighbours or friends, and the evidence of the dog groomer who was involved in the care of the dog establishes that the dog is obedient and responds well to commands. The dog groomer, in her affidavit filed February 14, 2001, describes the dog as "obedient, friendly, well socialized, non aggressive" and further, at paragraph 6, "I had no concern that this dog had any vicious or aggressive tendencies in relation to either people or other animals."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Based on all of the evidence and the authorities cited, the plaintiff's action is dismissed with costs to the defendants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MELVIN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Logan v. Dermatech, [2011] B.C.J. No. 1544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19 and 20,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S090937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1097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2106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901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Sharon Lynn Logan, Plaintiff, and Dermatech, Intradermal Distribution Inc. and Vivier Pharma Inc., Defendants, and Dr. Harlow Hollis,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6"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28"/>
      <w:bookmarkEnd w:id="195"/>
      <w:r>
        <w:rPr>
          <w:rFonts w:ascii="arial" w:eastAsia="arial" w:hAnsi="arial" w:cs="arial"/>
          <w:b/>
          <w:color w:val="000000"/>
          <w:sz w:val="20"/>
          <w:lang w:val="en-US" w:eastAsia="en-US" w:bidi="ar-SA"/>
        </w:rPr>
        <w:t>Civil litigation — Civil procedure — Parties — Class or representative actions — Certification — Application by the plaintiff to certify an action as a class action on her own behalf and on behalf of all persons who were injected with a product called Dermalive in Canada and who thereafter developed granulomas in the injected areas, allowed — Plaintiff alleged the defendants were negligent in failing to provide adequate warnings about the known risks and dangers associated with using Dermalive — Court agreed that a class action was the preferable procedure for this type of product liability claim that raised issues of the inherent characteristics of a widely distributed product — Class Proceedings Act — Business Practices and Consumer Protection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7"/>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certify an action as a class action on her own behalf and on behalf of all persons who were injected with a product called Dermalive in Canada and who thereafter developed granulomas in the areas injected with Dermalive. Dermalive was a product that was designed to be injected into patients to reduce wrinkles and other cosmetic characteristics associated with aging. The plaintiff alleged that after being injected by Dermalive she developed red bumps or granulomas on her face, and that she suffered permanent disfigurement as a result. The plaintiff argued that the defendants provided substantially misleading information about the risks associated with the use of Dermalive. She alleged that the defendants were negligent in failing to warn of the known risks and dangers associated with the use of Dermalive. Further, the plaintiff argued that the actions of the defendants in marketing and supplying Dermalive constituted consumer transactions within the meaning of the Business Practices and Consumer Protection Act. The defendants' position was that a class action would be less efficient than individual actions by class members, arguing that it could not be said that the common issues predominated over those affecting individual class members.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5"/>
            <w:bookmarkEnd w:id="19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emphasized that at the certification stage the issue was whether it was more in keeping with the purpose of class proceeding legislation to determine threshold questions, such as the inherent risks involved in using a particular device or procedure and whether those risks were adequately disclosed to the public, collectively or through a series of individual actions. Going through the statutory conditions set out in the Class Proceedings Act, the Court found that first, the pleadings disclosed a cause of action, both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Business Practices and Consumer Protection Act. It was not plain and obvious that the plaintiff's claim was barred by any limitation period and there was no basis for concluding that she did not have a cause of action against certain of the defendants. Second, there was an identifiable class. The lack of any temporal limits on the class was not fatal. Each class member would have concluded that they had a sufficient basis for an action at different periods and thus would have different applicable limitation periods. Third, the claims of the class members raised generic issues of causation and intended use of Dermalive, which were acceptable common issues. The common issues related to the Business Practices and Consumer Protection Act, however, were restricted to class members whose claims were not statute-barred. Fourth, the Court agreed that a class action was the preferable procedure for this type of product liability claim that raised issues of the inherent characteristics of a widely distributed product. The common issues of the inherent characteristics of Dermalive and its consequences in common use would be complex and expensive to litigate, and were the issues that would have to be established in each successful claim. Finally, the Court agreed that the plaintiff was a proper representative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Legislation Cited_23"/>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7"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hyperlink r:id="rId482" w:history="1">
        <w:r>
          <w:rPr>
            <w:rFonts w:ascii="arial" w:eastAsia="arial" w:hAnsi="arial" w:cs="arial"/>
            <w:i/>
            <w:color w:val="0077CC"/>
            <w:sz w:val="20"/>
            <w:u w:val="single"/>
            <w:shd w:val="clear" w:color="auto" w:fill="FFFFFF"/>
            <w:lang w:val="en-US" w:eastAsia="en-US" w:bidi="ar-SA"/>
          </w:rPr>
          <w:t>SBC 2004, CHAPTER 2,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483" w:history="1">
        <w:r>
          <w:rPr>
            <w:rFonts w:ascii="arial" w:eastAsia="arial" w:hAnsi="arial" w:cs="arial"/>
            <w:i/>
            <w:color w:val="0077CC"/>
            <w:sz w:val="20"/>
            <w:u w:val="single"/>
            <w:shd w:val="clear" w:color="auto" w:fill="FFFFFF"/>
            <w:lang w:val="en-US" w:eastAsia="en-US" w:bidi="ar-SA"/>
          </w:rPr>
          <w:t>RSBC 1996, CHAPTER 50, s. 4</w:t>
        </w:r>
      </w:hyperlink>
      <w:r>
        <w:rPr>
          <w:rFonts w:ascii="arial" w:eastAsia="arial" w:hAnsi="arial" w:cs="arial"/>
          <w:color w:val="000000"/>
          <w:sz w:val="20"/>
          <w:lang w:val="en-US" w:eastAsia="en-US" w:bidi="ar-SA"/>
        </w:rPr>
        <w:t>, s. 4(2), s.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6(4), s.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Medical Devices Regulation, </w:t>
      </w:r>
      <w:hyperlink r:id="rId484" w:history="1">
        <w:r>
          <w:rPr>
            <w:rFonts w:ascii="arial" w:eastAsia="arial" w:hAnsi="arial" w:cs="arial"/>
            <w:i/>
            <w:color w:val="0077CC"/>
            <w:sz w:val="20"/>
            <w:u w:val="single"/>
            <w:shd w:val="clear" w:color="auto" w:fill="FFFFFF"/>
            <w:lang w:val="en-US" w:eastAsia="en-US" w:bidi="ar-SA"/>
          </w:rPr>
          <w:t>SOR 98-282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9" w:name="Counsel_28"/>
      <w:bookmarkEnd w:id="1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M. Rosenberg, Q.C., David Klein and Graham Kosakoski.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Intradermal Distribution Inc. and Vivier Pharma Inc.: John A. Vamplew.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Cameron B. Elder.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27"/>
      <w:bookmarkEnd w:id="200"/>
      <w:r>
        <w:pict>
          <v:line id="_x0000_s1169" style="position:absolute;z-index:2518394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August 16, 2011;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R.J. SEWELL J._0"/>
            <w:bookmarkEnd w:id="201"/>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Sharon Lynn Logan applies to certify this action as a class proceeding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on her own behalf and on behalf of all persons who were injected with a product called Dermalive in Canada and who thereafter developed granulomas in the areas injected with Dermalive.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her notice of application Ms. Logan seeks the following relief:</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certifying this action as a class proceeding;</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defining the class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persons who were injected with Dermalive in Canada and who thereafter developed granulomas in the area injected with Dermalive."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Sharon Logan as the Representative Plaintiff for this class;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certifying the following issues as common issues: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Dermalive cause granulomas at a rate that materially exceeds 0.12%?</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Dermalive unfit for its intended purpose?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fail to warn class members and/or Health Canada of the true risk of developing granulomas from using Dermalive?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breach a duty of care to class members and if so, when and how?</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conduct of any of the Defendants warrant an award of punitive damages, and if so, what amount of punitive damages should be awarded?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solicitations, offers, advertisements, promotions, sales and supply of Dermalive for personal use by class members fall within the meaning of "consumer transactions"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sales in British Columbia of Dermalive to class members for their personal use, are any of the Defendants "suppliers" as defined in the </w:t>
      </w:r>
      <w:r>
        <w:rPr>
          <w:rFonts w:ascii="arial" w:eastAsia="arial" w:hAnsi="arial" w:cs="arial"/>
          <w:i/>
          <w:color w:val="000000"/>
          <w:sz w:val="20"/>
          <w:lang w:val="en-US" w:eastAsia="en-US" w:bidi="ar-SA"/>
        </w:rPr>
        <w:t>BPCPA?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class members "consumers" as defined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any of the Defendants engage in conduct that was deceptive acts or practices contrary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as alleged in the Amended Statement of Claim?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Court finds that the Defendants' conduct was contrary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should a monetary award be made in favour of the class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Dermalive is a product which is designed to be injected into patients to reduce wrinkles and other cosmetic characteristics associated with aging. It was originally developed and tested by the defendant Dermatech. In the amended notice of civil claim, Ms. Logan alleges that Dermalive was manufactured, marketed and distributed and sold in Canada by the defendants. 10,902 syringes of Dermalive were distributed in Canada between the period 2003 and 2007. In 2007 sales of Dermalive ceased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her affidavit filed in support of this application Ms. Logan deposes that on May 18, 2006 the third party Dr. Harlow Hollis injected Dermalive into her nasolabial areas, lip line, lip roll edges and marionette puppet area. She states that five or six months after being injected with Dermalive she developed lumps on her face. Ms. Logan says that her condition became progressively worse and areas of her face became ropy and indurated. Her symptoms included red bumps or granulomas in her facial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Logan states that between January and July 2007, Dr. Hollis treated her for granulomas. She states that the injections that he gave her were very painful. Unfortunately, the treatments were ineffective and what she describes as the unsightly bumps on her face got bigger and worse. She alleges that she has permanent disfigurement on her face as a result of the granulomas. Both in her affidavit and amended notice of civil claim she asserts that the problems described above resulted from her being injected with Dermalive.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Logan also states that she was not warned about the true risks associated with the use of Dermalive. On this application she filed medical evidence to the effect that there was a significant statistical risk of adverse side effects from using Dermalive. According to one study, about 5.5% of patients who were injected with Dermalive developing symptoms similar to those experienced by Ms.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Logan's case is that Dermalive was inherently defective in that there was an unacceptably high risk of developing the side effects that she experienced after its use. She also alleges that the defendants provided substantially misleading information about the risks associated with the use of Dermalive. Her position is that that misleading information vitiated any consent given by class members to the injection of Dermalive.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Logan alleges that the defendants were negligent in failing to warn her and Health Canada of the known risks and dangers associated with the use of Dermalive. She further alleges that the defendants were negligent in manufacturing, marketing and selling Dermalive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paragraph 24 of the amended notice of civil claim Ms. Logan alleges that the defendants jointly and severally owed a duty of care to her to ensure that Dermalive was safe for its intended use. Particulars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meet that duty of care are alleged to include: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disclose and warn the plaintiff and class members that Dermalive had potentially serious adverse effects;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Dermalive in such a way as to give the plaintiff and class members no reason to suspect that Dermalive had potentially harmful and serious effects;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Dermalive when it was unreasonable in all of the circumstances for it to have done so; and</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recall Dermalive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paragraph 25 of the amended notice of civil claim Ms. Logan alleges that the actions of the defendants in marketing and supplying Dermalive constituted consumer transactions within the meaning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plaintiff alleges that she and other potential class members who purchased Dermalive for personal use are consumers and that the defendants are suppliers within the meaning of the </w:t>
      </w:r>
      <w:r>
        <w:rPr>
          <w:rFonts w:ascii="arial" w:eastAsia="arial" w:hAnsi="arial" w:cs="arial"/>
          <w:i/>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paragraph 26 of the amended notice of civil claim Ms. Logan alleges that the manner in which the defendants promoted and advertised Dermalive had the ability and tendency or effect of deceiving or misleading consumers regarding the safety and contents of Dermalive and that the defendants' practices were deceptive acts and practices contrary to s. 4 of the </w:t>
      </w:r>
      <w:r>
        <w:rPr>
          <w:rFonts w:ascii="arial" w:eastAsia="arial" w:hAnsi="arial" w:cs="arial"/>
          <w:i/>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Paragraph 28 of the amended notice of civil claim alleges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deceptive practices have caused the plaintiff and class members to suffer loss and damage, that such loss and damage was foreseeable by the defendants and that the loss and damage was caused or materially contributed to by the acts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Logan also alleges that the defendants' conduct was reprehensible, showed a reckless disregard for the well-being of the plaintiff and members of the potential class and was arrogant and offended the ordinary community standards of moral and decent conduct. The plaintiff accordingly seeks punitive and aggravated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Dermatech took no part in this application. It is a French corporation and was ordered to be liquidated by the commercial court of Paris. The theory of the case set out in the amended notice of civil claim is that the three named defendants engaged in a joint enterprise or joint venture to promote and sell Dermalive in Canada and accordingly all defendants are jointly and severally liable for the wrongful acts of the others in so far as they affect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law applicable to applications to certify proceedings pursuant to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well settled. The starting point for a consideration of whether certification is appropriate is of course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Sections 4 and 5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The court must certify a proceeding as a class proceeding on an application under section 2 or 3 if all of the following requirements are met:</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Certification application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(1) An application for a certification order under section 2 (2) or 3 must be supported by an affidavit of the applicant.</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notice of application and supporting affidavit must be filed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served by ordinary service on all persons by whom or on whose behalf a pleading has been filed in the proceeding,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served by personal service on any other persons named in the style of proceedings.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otherwise ordered, there must be at least 14 days between</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 of a notice of application and supporting affidavit,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named in the notice of application for the hearing.</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otherwise ordered, a person to whom a notice of application and affidavit is served under this section must, not less than 5 days or such other period as the court may order before the date of the hearing of the application, file an affidavit and serve a copy of the filed affidavit by ordinary service on all persons by whom or on whose behalf a pleading has been filed in the proceeding.</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filing an affidavit under subsection (2) or (4) must</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in the affidavit the material facts on which the person intends to rely at the hearing of the application,</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swear that the person knows of no fact material to the application that has not been disclosed in the person's affidavit or in any affidavits previously filed in the proceeding,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person's best information on the number of members in the proposed class.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adjourn the application for certification to permit the parties to amend their materials or pleadings or to permit further evidence.</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certifying a proceeding as a class proceeding is not a determination of the merits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4 contains mandatory language requiring the court to certify a proceeding if the five conditions set out in the section are present. The onus is of course on the applicant to establish that the requisite conditions are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defendants have raised a number of specific arguments that they submit make this case unsuitable for a class proceeding. I will deal with those arguments later in these reasons. However, I think the principal point relied on by the defendants is that it cannot be said that the common issues predominate over those affecting individual class members and that therefore a decision on the proposed common issues would not substantially advance a resolution of the claims of class members. The defendants' position is that a class action would be less efficient than individual actions by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class action jurisprudence establishes that there are fundamental policy and procedural considerations that should inform a judge in determining whether to certify an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policy considerations are set out in the Supreme Court of Canada decision in </w:t>
      </w:r>
      <w:r>
        <w:rPr>
          <w:rFonts w:ascii="arial" w:eastAsia="arial" w:hAnsi="arial" w:cs="arial"/>
          <w:i/>
          <w:color w:val="000000"/>
          <w:sz w:val="20"/>
          <w:lang w:val="en-US" w:eastAsia="en-US" w:bidi="ar-SA"/>
        </w:rPr>
        <w:t>Western Canada Shopping Centres Inc. v. Dutton</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I agree with plaintiff's counsel's submission that that case identified the three goals of class proceeding legislation as being the promotion of access to justice, judicial economy and behaviour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important procedural consideration is that the question on a certification application is what procedure is most appropriate to move the litigation forward to further the objects of access to justice and judicial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 case involving an allegedly dangerous medical device or procedure, the threshold questions that usually arise are the inherent risks involved in the use of the device or procedure and whether the risks were adequately disclosed to the public. A determination of these issues will not establish that any individual class member is entitled to relief, although it may determine definitively that they are not. At the certification stage, however the issue is whether it is more in keeping with the purpose of class proceeding legislation to determine those threshold questions collectively or through a series of individual actions. That is the essential point made by the Court of Appeal in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With these considerations in mind I turn to the statutory conditions set out in the </w:t>
      </w:r>
      <w:r>
        <w:rPr>
          <w:rFonts w:ascii="arial" w:eastAsia="arial" w:hAnsi="arial" w:cs="arial"/>
          <w:i/>
          <w:color w:val="000000"/>
          <w:sz w:val="20"/>
          <w:lang w:val="en-US" w:eastAsia="en-US" w:bidi="ar-SA"/>
        </w:rPr>
        <w:t>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amended notice of civil claim does disclose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statutory cause of action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It alleges that the defendants were jointly responsible for the fabrication, distribution and sale of Dermalive in Canada and that the defendants continued to make, distribute and market Dermalive in Canada despite the discovery that its use had serious adverse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However, the defendants submit that the amended notice of civil claim is defective in at least two respects and that it therefore fails to meet the low threshold for alleging a cause of action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The two defects relied upon are that the action was commenced after the expiration of the limitation period and that there is no allegation that Vivier or Intradermal was a manufacturer of Dermalive as that term is defined in the </w:t>
      </w:r>
      <w:r>
        <w:rPr>
          <w:rFonts w:ascii="arial" w:eastAsia="arial" w:hAnsi="arial" w:cs="arial"/>
          <w:i/>
          <w:color w:val="000000"/>
          <w:sz w:val="20"/>
          <w:lang w:val="en-US" w:eastAsia="en-US" w:bidi="ar-SA"/>
        </w:rPr>
        <w:t>Medical Devices Regulation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SOR 98-282</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see no merit in either submission. In this case it is not plain and obvious that Ms. Logan's claim is barred by the expiration of any limitation period. She began to have treatments for her granulomas only in January 2007. It is impossible to determine when she had the requisite knowledge for the limitation period to commence to run against her, as set out in s. 6(4) and (5)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It is however not plain and obvious that her claim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amended notice of civil claim does allege that all three defendants acted jointly in the manufacture and distribution of Dermalive. In addition there is a specific allegation that Vivier produced Dermalive in Canada for Dermatech. As it is not plain and obvious that these allegations are bound to fail, there is no basis for concluding that there has been no cause of action alleged against Vivier and Intradermal pursuant to the </w:t>
      </w:r>
      <w:r>
        <w:rPr>
          <w:rFonts w:ascii="arial" w:eastAsia="arial" w:hAnsi="arial" w:cs="arial"/>
          <w:i/>
          <w:color w:val="000000"/>
          <w:sz w:val="20"/>
          <w:lang w:val="en-US" w:eastAsia="en-US" w:bidi="ar-SA"/>
        </w:rPr>
        <w:t>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there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proposed class is "All persons who were injected with Dermalive in Canada and who thereafter developed granulomas in the area(s) injected with Dermalive". On the face of it this would appear to set out a clearly identifiable class. However the defendants make two somewhat inconsistent objections to the definition. They say that the class is too broad. They also say that the class size is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assertion that the class definition is too broad is based on the absence of any temporal limits on class membership. The defendants say that without some temporal limits the class will clearly include many members whose claims are barred by the expiration of an applicable limitation period. They point out that Dermalive was licensed in Canada on July 11, 2003 but this action was not commenced until February 2009, so there are probably persons within the class as defined whose claims are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do not agree with this objection to the class definition. In my view a temporal limitation contained in the class definition would prejudge what is an individual issue, that is, when the limitation period for each individual class member began to run. In so doing it may exclude persons who have legitimate claims from participating in the class action. I think that that danger is particularly present in this action, given that the running of a limitation period does not commence until a reasonably informed class member would have had sufficient information to conclude that she had a basis to commence an action. Given this consideration it seems to me impossible to place any workable temporal limits on the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also of the view that it is premature to conclude that the class size is insufficient. The evidence is that just under 11,000 syringes of Dermalive were distributed in Canada while it was available. There was evidence before me of one study that suggested that 5.5% of users of Dermalive developed complications. Anecdotal evidence from Dr. Hollis indicated that 4 out of the 150 patients his office injected with Dermalive developed granulomas. In addition, there has been no notice published inviting class members to enrol in the class action. At a minimum therefore, this objection is premature. It also seems to me that the complex questions of the extent to which Dermalive causes granulomas and the extent of what the defendants ought to have known about the risks of its use would make a class proceeding a preferable procedure even with a relatively small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therefore satisfied that there is a sufficiently large identifiable class to warrant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 the Claims of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agree with Ms. Logan's submissions that the proposed common issues raise what have been called generic issues of causation. I take that phrase to mean preliminary underlying issues that must be proved in the chain of causation necessary to establish the claims of class members. A common issue need not be determinative of liability as long its resolution will be of material assistance in resolving the claims of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argue that an issue cannot be a common issue unless it is a substantial common ingredient of each class members claim. However, I think that this argument overlooks the ability of the court to constitute subclasses that have within them common issues not shared by all members of the class. It is obvious that there will have to be subclasses for those members who reside in and those members who do not reside in British Columbia for purposes of determining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issues. The establishment of such subclasses is sufficient to address the objections made to the proposed common issues relating to that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object to the inclusion of common issue 4(2), set out in paragraph 2 of these reasons, on the grounds that it will inherently require an inquiry into the particular circumstances of each claimant. I do not agree. It seems to me that the question of whether Dermalive was unfit for its intended use does not depend on the particular circumstances of any individual claimant. It is a question that requires an examination of the properties and consequences of its intended use over the whole spectrum of its intended users. A constituent element of that question presumably will be whether the benefits of its use outweigh the risks of any adverse side effects. All of these questions are generic and therefore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think that the same analysis applies to the objection raised to proposed issue 4(4), breach a duty of care. That issue is of course not raised in a vacuum, but in the circumstances that gave rise to this litigation. Those circumstances include the fact that this is essentially a product liability case. The question of whether there has been a breach of a duty of care essentially requires analysis at a general as opposed to specific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may well be that some modification or refinement of some of the common issues is appropriate. However any application in that regard can be made at a case planning conference as the litigation proceeds. At this stage with one qualification I am satisfied that all of the proposed common issues are suitable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qualification to my general conclusion on common issues arises from the inclusion of the claims for punitive damages and damages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in favour of class members. It seems to me problematic to award damages to any person whose claim is statute barred. This specific issue was not argued before me. Rather than delay the issuance of these reasons to permit further submissions on this point, I think it appropriate to order that proposed common issues 4(5) and 4(10) be modified to restrict any award of damages to those class members whose claims are not otherwise statute barred. I do however grant leave to the parties to address this question further at the case planning conference referred to in paragraph 48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a Class Proceeding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Section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directs that a court consider all relevant matters including those set out in ss. (a) to (e) of s. 4(2) in deciding whether a class proceeding is the preferable procedure. While this is of course a critical issue in deciding whether a proceeding should be certified I do not think it requires extensive comment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I have already indicated, this is a product liability case involving a medical device with allegedly injurious side effects. In such cases, it is the common issues of the inherent characteristics of the medical device and its consequences in common use that will usually predominate. These issues certainly tend to be the most complex and expensive to litigate. They are also of course issues that must be established in every successful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argue that the resolution of the common issues will not move the litigation forward in any significant way. However, there is no suggestion in their submissions that they concede in any way that any of the allegations made with respect to the inherent (or generic) properties of Dermalive are correct. Therefore, unless those issues can be determined for all class members in a class proceeding, they will have to be relitigated by each claimant. It seems to me that the cost of litigating that issue in each individual case will far outweigh the cost of determining the causation issues specific to each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also agree with Ms. Logan's counsel that the vast majority of the jurisprudence suggests that product liability claims raising issues of the inherent characteristics of a widely distributed product are especially well suited for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submissions on this question counsel for the defendants placed particular emphasis on the complexities in this case arising out of the involvement of the individual physicians who administered Dermalive to class claimants. Counsel referred to the danger of this case becoming a monster of complexity in which the common issues will be overwhelmed by the individual issues of whether Dermalive was appropriately prescribed and administered in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it seems to me that this argument does not stand up to close analysis. The argument confuses the two stages of a class proceeding; the determination of the common issues and the establishment of individual entitlement by each member. The complexities relied upon by the defendants will arise at the second stage, should the defendants not be successful on the common issues. There seems to me to be little danger that those complexities will overwhelm the determination of the common issues. On the other hand I think that there is a considerable risk that the costs of determining the common issues will preclude many litigants from pursuing their claims if this action is not certified. In addition, questions of physician error cannot be segregated from questions of the inherent nature of the device being applied. A common determination of the generic issues proposed will be of great assistance in determining the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I conclude that a class proceeding is the preferable procedure for determining the 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Ms. Logan a Proper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submit that Ms. Logan is not a proper representative plaintiff. Their first submission is that Ms. Logan has not provided an adequate explanation as to why she has not pursued Dermatech. However I am satisfied that there is sufficient evidence before me to allow me to conclude that there would be no utility in pursuing Dermatech in this proceeding. The evidence is that Dermatech has been ordered liquidated by a French tribunal having jurisdiction over it. The criticisms made about the plaintiff's investigation into the status of Dermatech seem to me to be more theoretical and technical than practical. In addition, it seems to me that the defendants are much better placed to have knowledge of these factors and make a decision as to whether to make a third party claim against Dermatech if they see any practical benefit in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the defendants criticize the litigation plan proposed by Ms. Logan. They point out that the plan makes no provision for the examination of individual class members on what they characterize as the overlapping factual matrix of the issue of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think that there are two reasons why this submission is misplaced. The first is that all parties agree that the proposed litigation plan will require some refinement. It is my intention to order that the parties be given the opportunity to make submissions as to changes or improvements to the litigation after certification at a further case planning conference. The second reason is that the question of reliance is not a common issue. In my view it will arise at the stage of the determination of individual claims if it is decided that there was a failure to discharge a duty to warn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I am satisfied that this case should be certified. The common issues will initially be those set submitted by Ms. Logan as modified in these reasons. The parties have leave to arrange a case planning conference to make further submissions with respect to the proposed litigation plan, and refinements to the common issues. While I consider the proposed plan to be workable, it may well be that it can be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Sewell dated August 11, 2011, have been edited.</w:t>
      </w:r>
      <w:r>
        <w:rPr>
          <w:rFonts w:ascii="arial" w:eastAsia="arial" w:hAnsi="arial" w:cs="arial"/>
          <w:sz w:val="20"/>
          <w:lang w:val="en-US" w:eastAsia="en-US" w:bidi="ar-SA"/>
        </w:rPr>
        <w:cr/>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of the style of cause counsel for the Plaintiff should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David Mr. Rosenberg, Q.C., David Klein and Graham Kosakoski</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Lowe v. Greyhound Canada Transportation Corp., [2008] B.C.J. No. 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 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74560 and 55640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865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62 M.V.R. (5th) 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Phillip Matthew Lowe, Plaintiff, and Greyhound Canada Transportation Corp., Greyhound Lines Inc., Lori Einfeld and Ronald G. Sentell, Defendants And between Lori Einfeld, Plaintiff, and Greyhound Canada Transportation Corp. and Ronald G. Sentell,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1"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2" w:name="Keywords_29"/>
      <w:bookmarkEnd w:id="20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The defendant bus driver was found 100 per cent liable for the motor vehicle accident — He had not seen the plaintiff's vehicle before attempting to merge, and the snowy road conditions made it impossible for her to take evasive action without losing control of her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3" w:name="Case Summary_28"/>
            <w:bookmarkEnd w:id="2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these two actions for damages for injuries arising out of a single motor vehicle accident, the issue of liability was severed from that of damages -- The plaintiffs alleged that the defendant bus driver had pulled into their laneway on a snowy day, causing the plaintiff driver to lose control of her vehicle and spin out of control into the opposing lanes, where they were struck by a third party vehicle -- The bus driver argued the vehicle had passed him at a considerable speed and lost control on its own -- HELD: The defendants were liable for the accident -- The accident had occurred eight years ago and there was conflict on the evidence -- The best the court could do was to determine the matter on the balance of probabilities -- The court found the plaintiff driver was driving at 60 km/ hr, that the bus had pulled into her lane, and the plaintiff lost control while attempting to avoid a collision -- The defendant bus driver had simply not seen the plaintiff's vehicle before attempting to merge -- There was no liability on the plaintiff driver's part, as she was not travelling at an excessive speed, nor was she acting unreasonably -- The bad road conditions made it impossible for her to take evasive action without losing control of her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Legislation Cited_24"/>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2"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1976, c. 318, s. 151(b), s. 156, s. 175, s. 176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5" w:name="Counsel_29"/>
      <w:bookmarkEnd w:id="2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R.M. Moffat.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Beukman.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28"/>
      <w:bookmarkEnd w:id="206"/>
      <w:r>
        <w:pict>
          <v:line id="_x0000_s1174"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R.E. POWERS J."/>
            <w:bookmarkEnd w:id="207"/>
            <w:r>
              <w:rPr>
                <w:rFonts w:ascii="arial" w:eastAsia="arial" w:hAnsi="arial" w:cs="arial"/>
                <w:b/>
                <w:color w:val="000000"/>
                <w:sz w:val="30"/>
                <w:lang w:val="en-US" w:eastAsia="en-US" w:bidi="ar-SA"/>
              </w:rPr>
              <w:t>R.E. 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have agreed that in each of these actions the issue of liability and quantum of damages shall be severed and that the issue of liability in both actions will be tried together. In the Lowe action, Mr. Lowe has settled his claim against Miss Einfeld. The issue in this trial is whether Miss Einfeld or Mr. Sentell are liable or if they are both liable, what is the division of liability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actions arise out of a motor vehicle accident on January 3, 2000, which occurred north of Winfield, British Columbia and south of Vernon. The accident involved an automobile driven by Miss Einfeld in which Mr. Lowe was a passenger and a Greyhound bus driven by Mr. Sentell. Highway 97 is a four lane highway with two driving lanes in each direction, north and south. The north and south driving lanes are separated by a painted median at least as wide as one of the travelled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Miss Einfeld and Mr. Lowe left Kelowna late in the afternoon or early evening travelling north from Kelowna towards Vernon, British Columbia. It was snowing when they left Kelowna and before they reached Winfield, conditions had become severe. It was dark, but Miss Einfeld's evidence was that she was able to see very well. The snow was falling and the highway was completely covered. The marking lines on the highway were completely obliterated. There were two sets of vehicle tracks heading north and two sets of vehicle tracks heading south. The highway is a four lane highway with two lanes north and two south, one set in each lane. Just prior to the small community of Winfield, Miss Einfeld moved from the right lane to the left lane travelling north. A transit bus was stopped on the right or on the right lane. Miss Einfeld continued in the left lane travelling north through Winfield and north of Winfield. The speed limit north of Winfield is 70 kilometres per hour. She estimates her speed at 60 kilometres per hour. A short distance past the downtown section of Winfield, the highway curves to the left and around the curve on the left side is a service station. Miss Einfeld says that there was a white car travelling behind her in the right lane. This vehicle was slowly gaining on her. Miss Einfeld saw a Greyhound bus at the service station. It had not yet entered the highway; it hesitated and then proceeded onto the highway in a curve towards the left. Miss Einfeld may have slowed slightly and was aware of the bus. She believed the safest course for her to follow, was to continue in the left lane. The snow could have been five or six inches deep. Basically the vehicles were travelling in the ruts created by vehicles that had preceded them. It is not clear whether there were any ruts in the portion of the road that the Greyhound had entered. When the road is visible, the two northbound and two southbound lanes are clearly marked and there is a marked median area which is paved between these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Miss Einfeld said she believed the bus was going to proceed into the median in the centre of the travelled lanes, and that it would be safe for her to pass the bus and maintain her course. As she came up to the bus, her car and the bus were travelling in approximately parallel lines, side by side. She believes the white car had just come up behind her and perhaps into her blind side. When the front bumper of her vehicle was approximately even with the passenger's door on the front side of the bus, she believes the white car was to her side, but is not exactly sure where. She believed that the bus was beginning to move towards her vehicle and when the white car passed her, she immediately took evasive action, turning quickly to the right. She said that her car began to fish-tail or swerve left to right and back and forth. She attempted to counter-steer to regain control. Her vehicle continued past the front of the bus, sliding around almost 180 degrees coming to rest facing in a southerly direction and in the centre southbound lane. Almost immediately her vehicle was struck by a vehicle travelling south. There was never any physical contact with the bus itself. Miss Einfeld recalls Mr. Lowe getting out of their vehicle and approaching the bus which had stopped. She recalls him waving his arms and the bus then leaving.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Mr. Sentell was driving a Greyhound coach owned by Greyhound Canada Transportation Corp. He proceeded from the service station, on to Highway 97, turning left in a northerly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Lowe gave his evidence and recollection of events of January 3, 2000. He was 21 years of age at the time of the accident and had known Miss Einfeld for approximately six years as boyfriend/girlfriend. They were engaged at the time of the accident and have since been married. He had driven the car which was involved in the accident and confirmed her evidence that the lights and fog lights came on automatically when the vehicle was started. He confirms her evidence about the weather conditions on January 3 and that the markings on the road were not visible. He was familiar with the area of the road where the accident occurred, just north of Winfield. He said that the traffic was light, but does recall one vehicle behind them, which was also northbound and which was gaining on them. He recalls seeing the Greyhound bus at the service station at the north exit. At that period he does not recall seeing the lights on the bus. He said that it was early evening but not dark as night. He recalls the bus making a left turn onto the highway at approximately a 45 degree angle and moving to the center of the highway. He recalls a white vehicle passing them on the right and the bus beginning to move into the lane they were travelling in. He said that the bus was moving fairly slow and he did not see a turn signal. He said that at no time did he see the entire back of the bus, indicating that they were not directly behind it. He said that their car was at approximately the front passenger's door of the bus when the bus began to move towards them. He said that Miss Einfeld began to move to the right; the car began to fish-tail with the back of the car moving back and forth and then swung around the front of the bus coming to a stop, facing a southerly direction. They were hit shortly thereafter by a Jeep travelling in a southbound direction. His evidence is that he made sure Miss Einfeld was alright, checked on the people in the Jeep and then waived towards the bus driver to stop. He said that he was approximately ten feet from the driver and believes the driver made eye contact with him, shook his head and then drove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does not recall whether Ms. Einfeld slowed her vehicle at all before the accident. He says that there was no difficulty in seeing the bus at the service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Lowe does not remember any signal lights or any lights on the bus at all and Miss Einfeld does not recall if she saw any signal lights on the bus. Mr. Sentell is clear that all of the bus lights were on and I accept that evidence. Mr. Sentell could not estimate the speed of the Einfeld car when it passed him. All that he could say was that it was going at a considerable speed. It is possible that he remembers the car being closer to the curb when he first saw it because that is where it may have gone when it fish-tailed. Even if there was no white car present as Miss Einfeld and Mr. Lowe describe, they should have been visible to Mr. Sentell given the line of sight from the north exit. He certainly should have seen them in his rear view mirrors before he began to pull over. This would be so even if she was travelling at a higher rate of speed than Miss Einfeld recalls. His evidence and hers is reasonably consistent where he says that he starts to move over and that he sees the vehicle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Lowe's evidence conflicted with Miss Einfeld's when he said that there was only one set of tracks moving in a northerly direction. He did say that there were blizzard conditions, but he did recall how far that they could see. He did say that he was able to see the bus as they came around the curve in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examinations for discovery, page 12 question 89, it was recorded that he said that he saw the bus on the left, or pulling into the station. He then said that he did not recall saying that, that is not how he recalled those events and if he did say that, it was in error. He could not estimate the distance from the Einfeld car and the bus when he first saw the bus. He does recall a white car being beside the Einfeld car approximately, as the bus pulled into the centre lane. He did say that things happened quickly and he could not place the white car exactly.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does recall the front of the bus beginning to come into their lane of traffic as they were overtaking the bus. He said that when Miss Einfeld began to move away from the bus, the car began to fish-tail. He indicated on the photographs the approximate place the car was at when it made the last loop on Exhibit 1, tab 2, photographs number 1 and 5, he indicated the third power pole, and circled it in red. He believed that the car was moved by the impact of the Jeep towards the south and towards the curb. He said that the bus had stopped and when he approached it, it was in the northbound left lane, or at least some portion of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Harvey West, an accident reconstruction expert, gave expert opinion evidence. His report is part of Exhibit 1. He gave evidence to try and estimate how far the car was from the north exit from the service station when the bus entered the highway. He did this by calculating how long it would have taken the bus to enter the highway and begin moving parallel to the car along the highway in the centre lane. He assumed that is approximately where the car converged with the bus. He assumed that the car was travelling 55 to 60 kilometres per hour and calculated the distance that the car would have covered until it came abreast of the bus. He estimated the distance the bus was from the north exit to the service station and deducted this from the distance the car would have travelled and the time it took the bus to travel that distance. This allowed him to estimate that the car was approximately 126 and 163 meters from the north exit of the service station when the bus started its turn. He noted that the Lodge Road intersection shown on prints or diagrams attached to his report, are approximately 185 meters from the intersection at the Lodge Road. He estimated that visibility that day was approximately 1500 meters based on evidence given at an examination for discovery that someone had been able to see approximately one mile.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did note from the photographs in Exhibit 1 that the photographs taken by an adjuster shortly after the accident show some trees or bushes on the south side of the north exit, which may have restricted visibility towards the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Mr. Sentell gave evidence. He had been a Greyhound bus driver for approximately 29 and a half years. He is now retired. He has had a drivers licence since 1955. He is an experienced professional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January of 2000 his home depot was in Vancouver and his scheduled route was from Vancouver to Vernon and Vernon to Vancouver. He would leave Vancouver at approximately 10:00 a.m. and was scheduled to arrive in Vernon at approximately 4:50 p.m. The next day he would leave Vernon at approximately 8:15 a.m. scheduled to arrive in Vancouver at 3:15 p.m. He would do three round trips in one week and two round trips the following week. The service station north of Winfield, close to where this accident occurred was a scheduled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had driven the highway in similar winter conditions many times. He recalls that on January 3, 2000 it had been snowing from Chilliwack and the Fraser Canyon, with various levels of intensity. He was running approximately 30 minutes behind schedule when he was in Kelowna. This was due to the heavy snowfall. He said that there was four to five inches of snow on the ground that had been churned up by vehicles. Near Winfield the snowflakes were large. Traffic was light. He entered the service station north of Winfield at the south exit, drove around the building and stopped. He then checked for passengers or freight, got back in the bus. He pulled up to the highway at the north exit and stopped. He said this was approximately 5:15 p.m. He said that he was not in a hurry. He did not have far to go to Vernon. His evidence is that the company policy is, if you are late, simply continue to run late. His evidence is that he had checked the bus in the morning and all of the lights were working and the bus was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said that on January 3 he followed his normal routine, which was to stop before entering the highway and check for traffic in both directions. He could see head lights to the north approximately one mile away. He did not see any vehicles to the south. He said that he had a clear line of vision. He entered the highway on a gentle curve, crossing the two southbound lanes and into the median lane. He said that the bus that he was driving was a standard shift and that he would leave the vehicle in first gear until he got into the median lane, moving in a straight line. In other words, he would not shift while he was making his curve onto the highway. He said that he would reach a maximum speed in first gear, of approximately 15 kilometres per hour. He had just shifted into second gear and checked his mirrors to make sure that it was safe to move towards the right into the travelled portion of the highway. The mirrors are ten inches by ten inches or twelve inches by ten inches, plus a three inch by five inch convex mirror below that. The convex mirror allows him to see down the entire side of the bus. His evidence is that he checked his mirror and he did not see any vehicles behind him. He put his signal light on and continued to travel in the median before gradually moving towards the right. He said that he continued to check his mirrors. He saw nothing. He may have just started to move in towards the right when he saw a green car in the curb lane. This was just towards the right front portion of the windshield. He said that he just saw a mass go by at what he thought was a considerable speed. His speed was less than 25 kilometres per hour at that point. He said that the car was in the far right lane closest to the cement barrier. He saw no other traffic and never saw a white car. His evidence in chief was that the car passed him and was about 100 feet ahead when it began to fish-tail, lost control and went completely across the highway to the far side curb. He said that the Jeep that was travelling in the southbound direction hit the side of the car almost immediately. He stopped his bus and saw people getting out of both vehicles. He said that nobody approached his bus and he did not see Mr. Lowe waving at him. He did not stop, because the accident did not appear to be very significant. The Jeep hit the car at a fairly low speed. He did not believe that he had been involved in the accident, so continued on 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Greyhound bus company's policy is that if an accident does occur, the driver is to hand out witness sheets to the passengers to have them record what they observed. He did not do this because he did not believe that the bus was involved in the accident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sum of his evidence in chief is that he did not see the car, that he was operating in a normal and careful fashion and that the car passed him at a considerable speed in the curb lane and approximately 100 feet after it had passed him lost control sliding across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Sentell in cross-examination confirmed that there was four to five inches of snow on the road and the traffic was light. The driving conditions that day were not good. This was the fifth accident that he had seen since leaving Vancouver in the morning. He described his procedure at this particular service station in which he had entered and left two or three hundred times over the two and half years that he had this route. He stops and checks traffic in both directions and when it is clear, pulls into the median lane, turns on his signal light to the right, checks his mirrors and when it is clear, moves into the travelled portion of the northbound lanes. It was pointed out to him in cross-examination that during his examinations for discovery, he did not mention looking to the right before he pulled into traffic. It is correct that he did not mention that in his examination for discovery, but I accept his evidence that his practice is to look both ways. Mr. Sentell is a professional driver, with many years experience and I find that it highly unlikely that he would fail to look in both directions. He did confirm in his evidence however, that when he looked to the right, he did not see any vehicles coming from the southerly direction heading north. He also confirmed that his mirrors would not assist him in seeing vehicles on the highway on the bus, until the bus became more or less parallel to travel on the highway. He confirmed that the mirrors are set up on the bus to allow him to see as far back and out from the side of the bus as possible and that a convex mirror allows him to see the front bumper and wheel of the bus on the right side and more of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His evidence in chief was that he had straightened the bus out and travelled approximately a quarter of a mile before he began to move into the travelled lane. He said at that point he saw a green mass go by the front of the bus in the curb lane at a considerable speed. He said that it travelled about 100 feet then it lost control ending up on the other side of the highway. However, during cross-examination, it was shown to him that at his examination for discovery he said that the car was fish-tailing immediately upon seeing it, at the front portion of the bus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confirmed that it was snowing heavily, but it was not a blizzard. He could see, what he estimated to be a mile and half to the north, and there is no reason to believe that he would not have been able to see a considerable distance to the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Sentell believes that the reason that he did not see the car is that when he pulled out of the road, it was not close enough to be seen. He surmises that it was travelling at a high enough rate of speed, that by the time he was in a position to move into the northbound travelling lanes, the car came upon him suddenly, attempted to take evasive action and then simply lost control once it was safely past him. However, this does not explain why he did not see the lights of the car in his rear view mirrors if he were in fact travelling as far as a quarter of a mile before beginning to merge into the travelling lane. Both Miss Einfeld and Mr. Lowe confirm that the lights on the car were on. They said that the lights came on automatically when the vehicle was started and that it was their habit to drive the vehicle with the fog lights on at all times. It was dark and it is difficult to imagine Miss Einfeld would have been travelling without any lights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conflict in the evidence between the plaintiffs and the defendant. It must be kept in mind that the accident occurred almost eight years ago. The examinations for discovery did not occur until March 2003, three years after the accident. I accept that all of the witnesses are giving their evidence to the best of their ability and relating what they had seen. Miss Einfeld and Mr. Lowe were not completely consistent with each other; that is also some indication that they have not simply tailored their evidence in the most favourable light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is a civil matter and the standard of proof is balance of probabilities. It is not certainty or even proof beyond a reasonable doubt. The best that I can do is to consider the evidence and all the surrounding circumstances and try and determine what was more likely than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Miss Einfeld was driving her vehicle at approximately 60 kilometres per hour or a little less. She was travelling north in the northbound lane, closest to the centre of the road. She and Mr. Lowe saw both saw the bus being operated by Mr. Sentell, just as it started to enter the highway. They were approximately 126 to 163 metres from the exit of the service station when Mr. Sentell began his turn. This is consistent with Miss Einfeld's and Mr. Lowe's evidence and consistent with the calculations performed by Mr. West, the accident reconstruction expert regarding times, distances and acceleration of the bus. This is also consistent with Mr. Sentell's evidence that he had just shifted into second gear and started to move into the north travelling lane. It is inconsistent with his estimate that he had travelled approximately a quarter of a mile in the median before pulling into the north travelling lane. I find that although he is trying to be as accurate as he can, the estimate of one-quarter mile is inaccurate. Miss Einfeld was aware of the bus and concerned about whether or not it might move into her lane. However, she did not feel it posed any immediate danger. She and Mr. Lowe gave evidence that there was a second vehicle approaching from behind them in the curb lane. Miss Einfeld said that this was one of the reasons she did not pull over into the curb lane when she saw the bus. She was also confirmed about the snow on the highway and whether there would be difficulty in changing lanes. She may have slowed slightly. Her evidence was that she felt the best course of action was simply to continue as she was. At that point in time she did not have any reason to believe the bus would merge into her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satisfied with regard to the speeds and the distances between Miss Einfeld and the bus, that this was a reasonable assumption. In fact, Mr. Sentell's own evidence is that it was his practice to move the bus across the southbound lanes and into the median, turn his right signal light on and watch for traffic and then move into the northbound travelling lanes only when safe to do so. This is the course of action which Miss Einfeld believed he would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are some differences between Miss Einfeld's and Mr. Lowe's evidence about specific distances and positions of the vehicles. However I find the car was beside the bus and close to the front of the bus when Miss Einfeld and Mr. Lowe noticed it start to pull into their lane. Miss Einfeld turned quickly to try and avoid a collision with the bus and at that point the white car had already passed her. She said that the car began to fish-tail and it did this a couple of times before she lost control as it passed the bus and spun around across the highway. It was suggested that in her examination for discovery, her evidence was that she had regained control of the vehicle. This was the interpretation which the defence counsel suggested I give to that evidence. However, having read that, considered her evidence at trial, I am satisfied that she did not indicate that she had regained control of the vehicle at any time. She simply indicated that when the car skidded, she corrected. When it skidded again, she corrected and then the snow caught the tires and the car spun out of control, facing in the other direction. This was really one continuous event. There was no break in the chain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it is more likely than not that for whatever reason, Mr. Sentell simply did not see Miss Einfeld's vehicle when he began his turn onto the highway and when he began to merge into the right lane. I am satisfied that he looked, as he was attempting to be careful. However for whatever reason, he did not see what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circumstances where Mr. Sentell is entering the highway and Miss Einfeld is driving along the highway, Mr. Sentell would be described as the servient driver and Miss Einfeld as the dominant driver. The duties in these drivers have been discussed in the case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para. 47 to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duty of a driver having the statutory right-of-way has been discussed in many cases. In my opinion it is stated briefly and accurately in the following passage in the judgment of Aylesworth J.A., concurred in by Robertson C.J.O., in Woodward v. Harris, </w:t>
      </w:r>
      <w:hyperlink r:id="rId496"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xml:space="preserve"> at p. 223: "Authority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While the judgment of the Court of Appeal in that case was set aside and a new trial ordered [ </w:t>
      </w:r>
      <w:hyperlink r:id="rId497" w:history="1">
        <w:r>
          <w:rPr>
            <w:rFonts w:ascii="arial" w:eastAsia="arial" w:hAnsi="arial" w:cs="arial"/>
            <w:i/>
            <w:color w:val="0077CC"/>
            <w:sz w:val="20"/>
            <w:u w:val="single"/>
            <w:shd w:val="clear" w:color="auto" w:fill="FFFFFF"/>
            <w:lang w:val="en-US" w:eastAsia="en-US" w:bidi="ar-SA"/>
          </w:rPr>
          <w:t>[1952] 1 D.L.R. 82</w:t>
        </w:r>
      </w:hyperlink>
      <w:r>
        <w:rPr>
          <w:rFonts w:ascii="arial" w:eastAsia="arial" w:hAnsi="arial" w:cs="arial"/>
          <w:color w:val="000000"/>
          <w:sz w:val="20"/>
          <w:lang w:val="en-US" w:eastAsia="en-US" w:bidi="ar-SA"/>
        </w:rPr>
        <w:t>] there is nothing said in the judgments delivered in this Court to throw any doubt on the accuracy of the statement quoted.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In applying this principle it is necessary to bear in mind the statement of Lord Atkinson in Toronto R.W. Co. v. King, </w:t>
      </w:r>
      <w:hyperlink r:id="rId498" w:history="1">
        <w:r>
          <w:rPr>
            <w:rFonts w:ascii="arial" w:eastAsia="arial" w:hAnsi="arial" w:cs="arial"/>
            <w:i/>
            <w:color w:val="0077CC"/>
            <w:sz w:val="20"/>
            <w:u w:val="single"/>
            <w:shd w:val="clear" w:color="auto" w:fill="FFFFFF"/>
            <w:lang w:val="en-US" w:eastAsia="en-US" w:bidi="ar-SA"/>
          </w:rPr>
          <w:t>7 C.R.C. 408</w:t>
        </w:r>
      </w:hyperlink>
      <w:r>
        <w:rPr>
          <w:rFonts w:ascii="arial" w:eastAsia="arial" w:hAnsi="arial" w:cs="arial"/>
          <w:color w:val="000000"/>
          <w:sz w:val="20"/>
          <w:lang w:val="en-US" w:eastAsia="en-US" w:bidi="ar-SA"/>
        </w:rPr>
        <w:t xml:space="preserve"> at p. 417, </w:t>
      </w:r>
      <w:hyperlink r:id="rId498"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referred to s. 175 and 176 of the Motor Vehicle Act, R.S.B.C. 1976, c. 318: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Entering through highway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(1) If a vehicle that is about to enter a through highway has stopped in compliance with section 186,</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Emerging from alleys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(1) The driver of a vehicle in a business or residence district and emerging from an alley, driveway, building or private road must stop the vehicle immediately before driving onto the sidewalk or the sidewalk area extending across an alleyway or private driveway, and must yield the right of way to a pedestrian on the sidewalk or sidewalk area.</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Section 175 does not apply in the circumstances of this case because this is not an intersection. Section 175 refers to s. 186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Stopping at intersections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Except when a peace officer directs otherwise, if there is a stop sign at an intersection, a driver of a vehicle must stop</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service station in our case was on the west side of highway 97. This was not at an intersection. In order to exit or to leave the intersection and turn in a northerly direction it was necessary to cross the two southerly bound lanes, a median, which is as wide or wider than a normal travelling lane and then enter the northbound lanes. The "painted median" is the area where there was a solid yellow line along the left side of the innermost southbound lane and along the left side of the innermost northbound lane. Mr. Sentell described it as a safety lane. But there are not markings to indicate that it is a lane in which traffic may travel. However, the plaintiff did not suggest that Mr. Sentell was acting unreasonably by pulling his bus into that lane and then attempting to move into the northbound lanes if it was clear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am satisfied that s. 176(2) applies in this case and that the bus entering the highway must yield the right of way to traffic approaching on the highway so closely that it constitutes an immediate hazard. The issue of what constitutes an immediate hazard was discussed in the decision </w:t>
      </w:r>
      <w:r>
        <w:rPr>
          <w:rFonts w:ascii="arial" w:eastAsia="arial" w:hAnsi="arial" w:cs="arial"/>
          <w:b/>
          <w:i/>
          <w:color w:val="000000"/>
          <w:sz w:val="20"/>
          <w:lang w:val="en-US" w:eastAsia="en-US" w:bidi="ar-SA"/>
        </w:rPr>
        <w:t>Sullivan (Next Friend of) v. Mitcham</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[1979] B.C.J. No. 1959</w:t>
        </w:r>
      </w:hyperlink>
      <w:r>
        <w:rPr>
          <w:rFonts w:ascii="arial" w:eastAsia="arial" w:hAnsi="arial" w:cs="arial"/>
          <w:color w:val="000000"/>
          <w:sz w:val="20"/>
          <w:lang w:val="en-US" w:eastAsia="en-US" w:bidi="ar-SA"/>
        </w:rPr>
        <w:t>, at para. 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to what constitute an immediate hazard, as those words are used in s. 165(1)(a), and as to the importance of evidence, not just of distances, but of time - the crucial factor in the present case - I cite the following passage from the judgment of Davey J.A. (later C.J.B.C.) in Keen v. Stene </w:t>
      </w:r>
      <w:hyperlink r:id="rId500"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at p. 359: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circumstances of this appeal Raie and Raie v. Thorpe </w:t>
      </w:r>
      <w:r>
        <w:rPr>
          <w:rFonts w:ascii="arial" w:eastAsia="arial" w:hAnsi="arial" w:cs="arial"/>
          <w:color w:val="000000"/>
          <w:sz w:val="20"/>
          <w:u w:val="single"/>
          <w:lang w:val="en-US" w:eastAsia="en-US" w:bidi="ar-SA"/>
        </w:rPr>
        <w:t>(1963), 43 W.W.R. 405</w:t>
      </w:r>
      <w:r>
        <w:rPr>
          <w:rFonts w:ascii="arial" w:eastAsia="arial" w:hAnsi="arial" w:cs="arial"/>
          <w:color w:val="000000"/>
          <w:sz w:val="20"/>
          <w:lang w:val="en-US" w:eastAsia="en-US" w:bidi="ar-SA"/>
        </w:rPr>
        <w:t xml:space="preserve">, sufficiently defines what constitutes an immediate hazard for the purposes of s. 165 of the Motor-vehicle Act, R.S.B.C. 1960, c. 253. The essence of the decision is that an approaching car is an immediate hazard if the circumstances are such as to require the driver of that car to take some sudden or violent action to avoid threat of a collision if the servient driver fails to yield the right-of-way. I agree with Currie J. in Peek et al. v. S. Cunard &amp; Co. </w:t>
      </w:r>
      <w:hyperlink r:id="rId501" w:history="1">
        <w:r>
          <w:rPr>
            <w:rFonts w:ascii="arial" w:eastAsia="arial" w:hAnsi="arial" w:cs="arial"/>
            <w:i/>
            <w:color w:val="0077CC"/>
            <w:sz w:val="20"/>
            <w:u w:val="single"/>
            <w:shd w:val="clear" w:color="auto" w:fill="FFFFFF"/>
            <w:lang w:val="en-US" w:eastAsia="en-US" w:bidi="ar-SA"/>
          </w:rPr>
          <w:t>(1958), 40 M.P.R. 236</w:t>
        </w:r>
      </w:hyperlink>
      <w:r>
        <w:rPr>
          <w:rFonts w:ascii="arial" w:eastAsia="arial" w:hAnsi="arial" w:cs="arial"/>
          <w:color w:val="000000"/>
          <w:sz w:val="20"/>
          <w:lang w:val="en-US" w:eastAsia="en-US" w:bidi="ar-SA"/>
        </w:rPr>
        <w:t xml:space="preserve"> at p.241, that "Speed and distance generally determine what constitutes an immediate hazard", or as it was put by Cannon J. in Swartz Bros. Ltd. v. Wills </w:t>
      </w:r>
      <w:r>
        <w:rPr>
          <w:rFonts w:ascii="arial" w:eastAsia="arial" w:hAnsi="arial" w:cs="arial"/>
          <w:color w:val="000000"/>
          <w:sz w:val="20"/>
          <w:u w:val="single"/>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[1935] 3 D.L.R. 277</w:t>
        </w:r>
      </w:hyperlink>
      <w:r>
        <w:rPr>
          <w:rFonts w:ascii="arial" w:eastAsia="arial" w:hAnsi="arial" w:cs="arial"/>
          <w:color w:val="000000"/>
          <w:sz w:val="20"/>
          <w:lang w:val="en-US" w:eastAsia="en-US" w:bidi="ar-SA"/>
        </w:rPr>
        <w:t xml:space="preserve"> at p. 279, </w:t>
      </w:r>
      <w:hyperlink r:id="rId502"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at p. 632: "... distances must be translated into time in order to determine what are the rights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satisfied that Miss Einfeld's vehicle was not an immediate hazard when Mr. Sentell entered the highway and moved into the median. However that changed when he began to move from the median into the northbound lane. Although he did not see the Einfeld vehicle, it was immediately beside the bus in that northbound lane and did present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Section 151(b)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Driving on laned roadway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 driver who is driving a vehicle on a laned roadway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if that action necessitates crossing a solid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Section 156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Suspension of sections 151 and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156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 driver of a vehicle is causing the vehicle to enter or leave a highway and the driver has ascertained that he or she might do so with safety and does so without unreasonably affecting the travel of another vehicle, the provisions of sections 151 and 155 re suspended with respect to the driver while the vehicle is entering or leaving the highway..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s. 175(2) does not apply to our case because this is not an intersection case, the common law would require a person in Miss Einfeld's position to adjust to allow the orderly merging of traffic. However before Miss Einfeld can be found at fault, the onus is on the defendant to show:</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was aware of, or by the exercise of reasonable care, should have become aware that the defendant was going to disregard her right of way;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she had in fact, sufficient opportunity to avoid the accident and that a reasonably, careful and skilful driver would have taken that opportunity. As pointed out in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if there are any doubts about this, the doubt should be resolved in the favour of the one described as the dominant vehicle, in other words, the Einfeld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xml:space="preserve"> has also been applied by our Court of Appeal in </w:t>
      </w:r>
      <w:r>
        <w:rPr>
          <w:rFonts w:ascii="arial" w:eastAsia="arial" w:hAnsi="arial" w:cs="arial"/>
          <w:b/>
          <w:i/>
          <w:color w:val="000000"/>
          <w:sz w:val="20"/>
          <w:lang w:val="en-US" w:eastAsia="en-US" w:bidi="ar-SA"/>
        </w:rPr>
        <w:t>Coulter v. Ball</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there was no liability on her part. I find, on the balance of probabilities, she was not driving at an excessive speed, nor was she acting unreasonably, whether or not the white car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For some reason Mr. Sentell simply did not see Miss Einfeld's vehicle when he began to make his move from the median into the centre northbound travelling lane. I accept that he was attempting to be careful and did have his signal light on. It has been held by the courts that "where there is nothing to obstruct the vision and there is a duty to look, it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to see what is clearly visible" (</w:t>
      </w:r>
      <w:r>
        <w:rPr>
          <w:rFonts w:ascii="arial" w:eastAsia="arial" w:hAnsi="arial" w:cs="arial"/>
          <w:b/>
          <w:i/>
          <w:color w:val="000000"/>
          <w:sz w:val="20"/>
          <w:lang w:val="en-US" w:eastAsia="en-US" w:bidi="ar-SA"/>
        </w:rPr>
        <w:t>Harrison and McKay v. Bourne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[1958] S.C.R. 733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 referred to a number of cases, however, I find that they are distinguishable on the facts. In </w:t>
      </w:r>
      <w:r>
        <w:rPr>
          <w:rFonts w:ascii="arial" w:eastAsia="arial" w:hAnsi="arial" w:cs="arial"/>
          <w:b/>
          <w:i/>
          <w:color w:val="000000"/>
          <w:sz w:val="20"/>
          <w:lang w:val="en-US" w:eastAsia="en-US" w:bidi="ar-SA"/>
        </w:rPr>
        <w:t>Gregus v. Belisle</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[1992] B.C.J. No. 696</w:t>
        </w:r>
      </w:hyperlink>
      <w:r>
        <w:rPr>
          <w:rFonts w:ascii="arial" w:eastAsia="arial" w:hAnsi="arial" w:cs="arial"/>
          <w:color w:val="000000"/>
          <w:sz w:val="20"/>
          <w:lang w:val="en-US" w:eastAsia="en-US" w:bidi="ar-SA"/>
        </w:rPr>
        <w:t xml:space="preserve"> a significant part of the decision was based on the fact that the court found the plaintiff to be untrustworthy or unbelievable. The case of </w:t>
      </w:r>
      <w:r>
        <w:rPr>
          <w:rFonts w:ascii="arial" w:eastAsia="arial" w:hAnsi="arial" w:cs="arial"/>
          <w:b/>
          <w:i/>
          <w:color w:val="000000"/>
          <w:sz w:val="20"/>
          <w:lang w:val="en-US" w:eastAsia="en-US" w:bidi="ar-SA"/>
        </w:rPr>
        <w:t>Cossalter v. Roque</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[1998] B.C.J. No. 732</w:t>
        </w:r>
      </w:hyperlink>
      <w:r>
        <w:rPr>
          <w:rFonts w:ascii="arial" w:eastAsia="arial" w:hAnsi="arial" w:cs="arial"/>
          <w:color w:val="000000"/>
          <w:sz w:val="20"/>
          <w:lang w:val="en-US" w:eastAsia="en-US" w:bidi="ar-SA"/>
        </w:rPr>
        <w:t xml:space="preserve"> is also distinguishable on the facts. The plaintiff was contributorily negligent because he was travelling at an excessive speed relative to the traffic and the visibility he encountered. The decision </w:t>
      </w:r>
      <w:r>
        <w:rPr>
          <w:rFonts w:ascii="arial" w:eastAsia="arial" w:hAnsi="arial" w:cs="arial"/>
          <w:b/>
          <w:i/>
          <w:color w:val="000000"/>
          <w:sz w:val="20"/>
          <w:lang w:val="en-US" w:eastAsia="en-US" w:bidi="ar-SA"/>
        </w:rPr>
        <w:t>Kwan v. Ribaille</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[1994] B.C.J. No. 1735</w:t>
        </w:r>
      </w:hyperlink>
      <w:r>
        <w:rPr>
          <w:rFonts w:ascii="arial" w:eastAsia="arial" w:hAnsi="arial" w:cs="arial"/>
          <w:color w:val="000000"/>
          <w:sz w:val="20"/>
          <w:lang w:val="en-US" w:eastAsia="en-US" w:bidi="ar-SA"/>
        </w:rPr>
        <w:t xml:space="preserve"> was decided on its own facts and is not to assistance to me. The decision </w:t>
      </w:r>
      <w:r>
        <w:rPr>
          <w:rFonts w:ascii="arial" w:eastAsia="arial" w:hAnsi="arial" w:cs="arial"/>
          <w:b/>
          <w:i/>
          <w:color w:val="000000"/>
          <w:sz w:val="20"/>
          <w:lang w:val="en-US" w:eastAsia="en-US" w:bidi="ar-SA"/>
        </w:rPr>
        <w:t>Fenster v. Yuen</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[2003] B.C.J. No. 270</w:t>
        </w:r>
      </w:hyperlink>
      <w:r>
        <w:rPr>
          <w:rFonts w:ascii="arial" w:eastAsia="arial" w:hAnsi="arial" w:cs="arial"/>
          <w:color w:val="000000"/>
          <w:sz w:val="20"/>
          <w:lang w:val="en-US" w:eastAsia="en-US" w:bidi="ar-SA"/>
        </w:rPr>
        <w:t xml:space="preserve"> does not assist the defendant, Mr. Sentell or Greyhound, but was cited because it deals with the issues of servient and dominant drivers and median hazards. The same can be said of </w:t>
      </w:r>
      <w:r>
        <w:rPr>
          <w:rFonts w:ascii="arial" w:eastAsia="arial" w:hAnsi="arial" w:cs="arial"/>
          <w:b/>
          <w:i/>
          <w:color w:val="000000"/>
          <w:sz w:val="20"/>
          <w:lang w:val="en-US" w:eastAsia="en-US" w:bidi="ar-SA"/>
        </w:rPr>
        <w:t>Dawes v. Valadas</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[2005] B.C.J. No. 2014</w:t>
        </w:r>
      </w:hyperlink>
      <w:r>
        <w:rPr>
          <w:rFonts w:ascii="arial" w:eastAsia="arial" w:hAnsi="arial" w:cs="arial"/>
          <w:color w:val="000000"/>
          <w:sz w:val="20"/>
          <w:lang w:val="en-US" w:eastAsia="en-US" w:bidi="ar-SA"/>
        </w:rPr>
        <w:t xml:space="preserve">. The same can be said of </w:t>
      </w:r>
      <w:r>
        <w:rPr>
          <w:rFonts w:ascii="arial" w:eastAsia="arial" w:hAnsi="arial" w:cs="arial"/>
          <w:b/>
          <w:i/>
          <w:color w:val="000000"/>
          <w:sz w:val="20"/>
          <w:lang w:val="en-US" w:eastAsia="en-US" w:bidi="ar-SA"/>
        </w:rPr>
        <w:t>Sandhu v. Gill</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[1999] B.C.J. No. 2742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Miss Einfeld as plaintiff in action number 55640 has proven liability against the defendants Mr. Sentell and Greyhound bus and I find that she is not contributorily negligent to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Miss Einfeld reasonably assumed that the bus would not merge into her lane until she was safely passed. She did not become aware that the bus intended to merge into her lane until she was right beside the bus and she was forced to take evasive action. The bad road conditions made it impossible for her to take those actions without losing control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not possible to know whether a more skilful driver would have been able to maintain control of the vehicle and it is not reasonable to criticize her judgment for decisions made basically in the agony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in the Lowe action, Mr. Lowe has proven that the defendants Mr. Sentell and Greyhound bus are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parties did not address the issue of costs unless further submissions are made. I assume that the costs will simply follow the event. However, because the actions were tried together and Mr. Lowe and Miss Einfeld were both represented by the same lawyer, I find that they are each entitled to one-half of the normal costs for preparation and attendance at trial, including disbursements for that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Mazar v. Ploy Enterprises Ltd., [2006] B.C.J. No. 1067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13 - 17 and September 30, 2005; and</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March 28,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10,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S017008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1067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758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150 A.C.W.S. (3d) 254</w:t>
      </w:r>
    </w:p>
    <w:p>
      <w:pPr>
        <w:spacing w:before="120" w:line="260" w:lineRule="atLeast"/>
        <w:rPr>
          <w:lang w:val="en-US" w:eastAsia="en-US" w:bidi="ar-SA"/>
        </w:rPr>
      </w:pPr>
      <w:r>
        <w:rPr>
          <w:rFonts w:ascii="arial" w:eastAsia="arial" w:hAnsi="arial" w:cs="arial"/>
          <w:color w:val="000000"/>
          <w:sz w:val="20"/>
          <w:lang w:val="en-US" w:eastAsia="en-US" w:bidi="ar-SA"/>
        </w:rPr>
        <w:t>Between Lynn Mazar and Carl Mazar, plaintiffs, and Ploy Enterprises Ltd. and Chennell Holdings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6" style="position:absolute;z-index:2516899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8" w:name="Keywords_30"/>
      <w:bookmarkEnd w:id="20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for damages to commercial premises caused by fire that originated in building owned by defendant Chennell dismissed — Plaintiffs claimed fire resulted from improperly installed wiring and electrical fixtures — Defendants argued fire caused by liquid accelerant — Fire department concluded fire was electrical — Defendants' experts concluded fire caused by accelerant — Plaintiffs failed to establish that fire was electrical in origin — Plaintiffs did not establish a specific point of origin of fire in electrical installations — Expert evidence did also not reveal that fire or burn patterns were consistent with a fire originating in defective electrical installations and burning upwards.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9" w:name="Case Summary_29"/>
            <w:bookmarkEnd w:id="20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to commercial premises caused by fire that originated in building owned by defendant Chennell -- Defendant Ploy Enterprises operated a retail lightning store on main floor of defendant's building -- Plaintiffs alleged that fire was electrical in origin and arose from defective wiring or fixtures that defendants had negligently installed in ceiling space above Ploy's premises -- Defendants argued fire was an incendiary fire ignited by liquid accelerant poured on second floor by person unknown -- Fire department did not examine burn patterns in carpeting on second floor -- Investigation of fire department concluded that fire originated in ceiling above Ploy's store from electrical cause -- Expert hired by defendants concluded that fire was caused by liquid accelerant -- There were unapproved and unsafe electrical installations and wiring in ceiling above Ploy's store used to energize the store's lighting displays -- Defendants did not dispute that they breached standard of care in installing these hazards -- HELD: Action dismissed -- Plaintiffs failed to establish that fire was electrical in origin -- Plaintiffs did not establish a specific point of origin of fire in electrical installations -- Court accepted expert evidence that exposed copper wires did not show signs of a short circuit -- Expert evidence did also not reveal that fire or burn patterns were consistent with a fire originating in defective electrical installations and burning upwards -- Fact that fire department did not personally observe burn patterns on second floor weakened their view that aspects of those patterns were inconsistent with a pour of liquid accelerant. </w:t>
            </w:r>
            <w:r>
              <w:rPr>
                <w:lang w:val="en-US" w:eastAsia="en-US" w:bidi="ar-SA"/>
              </w:rPr>
              <w:cr/>
            </w:r>
          </w:p>
          <w:p>
            <w:pPr>
              <w:rPr>
                <w:lang w:val="en-US" w:eastAsia="en-US" w:bidi="ar-SA"/>
              </w:rPr>
            </w:pPr>
          </w:p>
        </w:tc>
      </w:tr>
    </w:tbl>
    <w:p>
      <w:pPr>
        <w:jc w:val="both"/>
        <w:rPr>
          <w:lang w:val="en-US" w:eastAsia="en-US" w:bidi="ar-SA"/>
        </w:rPr>
      </w:pPr>
      <w:bookmarkStart w:id="210" w:name="Counsel_30"/>
      <w:bookmarkEnd w:id="21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7" style="position:absolute;z-index:2517411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Elyn Underhill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John Kim</w:t>
      </w:r>
      <w:r>
        <w:rPr>
          <w:lang w:val="en-US" w:eastAsia="en-US" w:bidi="ar-SA"/>
        </w:rPr>
        <w:cr/>
      </w:r>
    </w:p>
    <w:p>
      <w:pPr>
        <w:spacing w:after="240"/>
        <w:rPr>
          <w:lang w:val="en-US" w:eastAsia="en-US" w:bidi="ar-SA"/>
        </w:rPr>
      </w:pPr>
      <w:bookmarkStart w:id="211" w:name="Judgment_29"/>
      <w:bookmarkEnd w:id="211"/>
      <w:r>
        <w:pict>
          <v:line id="_x0000_s1178" style="position:absolute;z-index:25179238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2" w:name="NEILSON J."/>
            <w:bookmarkEnd w:id="212"/>
            <w:r>
              <w:rPr>
                <w:rFonts w:ascii="arial" w:eastAsia="arial" w:hAnsi="arial" w:cs="arial"/>
                <w:b/>
                <w:color w:val="000000"/>
                <w:sz w:val="30"/>
                <w:lang w:val="en-US" w:eastAsia="en-US" w:bidi="ar-SA"/>
              </w:rPr>
              <w:t>NEILSON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November 4, 2000, a fire occurred in a commercial building at 2664 Kingsway in Port Coquitlam. The building was owned by the defendant Chennell Holdings Ltd., who leased portions of it to several tenants, including the defendant Ploy Enterprises Ltd.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building had two storeys. Ploy Enterprises Ltd. operated a retail lighting store under the name Taikoo Lighting ("Taikoo") in part of the main floor. The rest of that level was occupied by a garage with a boat in it, and a marijuana grow operation that also occupied part of the second floor. The balance of the second floor was occupied by White Knight Security Ltd., and a Salmon Assistance Project.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operated a business in the building next door to the Chennell building. They have brought this action to recover damages to their premises caused by the fire. Those damages have been agreed at $58,730.86.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central issue is what caused the fire. The plaintiffs claim it was electrical in origin and arose from defective wiring or fixtures that were negligently installed by the defendants or their agents in the ceiling space above Taikoo. The defendants maintain it was an incendiary fire, ignited by liquid accelerant poured on the second floor and the staircase of the building by persons unknown.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Investigation of the Fire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fire alarm was received at 8:03 p.m. on November 4, 2000. The Port Coquitlam Fire Department responded, under the direction of Captain Stubbert. Once the fire was extinguished, Captain Stubbert was charged with investigating its cause. He returned to the building several times between November 5 and 7, 2000 for that purpose. On November 6, 2000 he was accompanied by Sergeant Gallant of the R.C.M.P., whose role was to investigate possible criminal activity at the building with respect to arson and the marijuana grow operation.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Captain Stubbert's investigation led him to believe that the fire had originated in the ceiling area above the Taikoo store from an electrical cause. On November 8, 2000 he sought the assistance of Judy Biluk, an electrical safety officer with the B.C. Safety Authority, to confirm whether this view was correct. Ms. Biluk examined that area with others from her office, and agreed that the fire was electrical in origin.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Once the Port Coquitlam Fire Department investigation was complete, Mr. Brown, an expert in investigating fire origin and cause who was retained on behalf of the defendants, examined the scene on November 8 and 9, 2000. His observations led him to conclude that someone with access to the building had poured a trail of liquid accelerant on the floor of the White Knight office area, into the second floor hallway, down the stairs to the exit, and then lit the accelerant from the doorway.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Brown was aware that the Fire Department investigation had reached a different conclusion. He therefore called in Mr. Khashan, an electrical engineer with expertise in detecting cause and origin of fires, to assist in determining whether the fire was electrical in origin. Mr. Khashan examined the scene on November 9, 2000, and concluded that an electrical cause was very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Sometime after the fire, the plaintiffs retained Mr. Ed Jackson, an expert in determining the cause and origin of fires. As it was too late for Mr. Jackson to view the premises, he reviewed the reports and photographs provided by the other investigators, and concluded that the fire was electrical in origin.</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common ground that there were unapproved and unsafe electrical installations and wiring in the ceiling above the Taikoo store, which were used to energize the store's lighting displays. These included device boxes that had no covers or damaged covers, lamp cord wiring with no cord caps plugged directly into receptacles, receptacles that were not secured to device boxes, and wires that were spliced into the circuit without being secured to the boxes by connectors. As well, there was exposed live copper wire. All of these represented violations of the Canadian Electrical Code (the "Code") and potential fire hazards. Clearly, these installations did not meet the expected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did not seriously contest that they breached the standard of care in installing these hazards and permitting them to remain in an unsafe condition. Nor did they deny that they owed a duty of care to the plaintiffs. The central issue is whether the plaintiffs have established on a balance of probabilities that these electrical hazards were the cause of the fire. Resolution of that issue depends on the weight to be given to the diverse opinions of the fire investigators, all of whom testified as expert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Plaintiffs' Theory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say that one of these electrical installations was the point of origin of the fire. Ms. Biluk testified that she saw a third conductor that had been spliced into a duplicate receptacle in the space between the Taikoo ceiling and the bottom of the second floor. She said this would have required tightening of two wires under one screw, and theorized that this would have backed out one of the wires, exposing bare copper wire and creating a fire hazard, as it would hang in a way to cause tension on the wire. If it were brought near another metal source, this would arc and create sparks, which she believed had lit tinder such as dust in the ceiling cavity, causing the fire. She testified that she saw evidence of spattering in the area, which indicated the wire had melted with arcing.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Biluk and the other experts called by the plaintiff testified that the burn pattern in the area above the Taikoo store also supported an electrical event as the cause of the fire. They pointed out that fire burns up, and this area was the lowest point of burning with significant charring on the main floor. Captain Stubbert was of the view that, once ignited, the fire moved south through the ceiling space toward a wall and then up a gluelam beam. When it reached the top of the beam, it went through a space between the beam and the second floor, and then burned through that floor. From there it moved along the hallway of the second storey, burning the floor, walls and ceiling, and eventually going down the stairway at the end of the hall. He said that heat from the fire at the point of origin also radiated down, causing significant burn damage to a hanging light display over the counter in the Taikoo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Defendants' Theory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defence maintained that an unknown person or persons poured a trail of liquid accelerant from the White Knight Security offices through the second storey hallway and down the stairs, and then lit it at the bottom of the stairs. The fire in the hallway burned down through the second floor above the Taikoo store, crossed to the gluelam beam, and smouldered in the ceiling space for some time while fire fighters dealt with other more visible areas. The heat built up in that space until there was drop-down onto the lighting display in the store, causing partial damage there. Mr. Brown testified that the burn patterns on the second floor and in the stairway showed evidence of pooling and multiple sets consistent with the pouring of a liquid accelerant. As well, the most severe fire damage was found on the second floor. There was unusually deep charring there and in the stairwell. When the area was excavated under his direction, he could find no drop-down to account for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the plaintiffs encounter several difficulties in meeting the burden of proof with respect to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First, I am not satisfied that they have established a specific point of origin of the fire in the electrical installations. Captain Stubbert said he did not examine the electrical components himself, and could not be definitive as to the precise point of origin. He conceded that, while he believed the fire was electrical in origin, he had limited background in detecting electrical causes of fire, and he would defer to someone with more electrical experience for a final conclusion on whether it had been caused by an electrical problem. He said that was why he called in Ms. Biluk.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Sergeant Gallant testified that he does general crime scene investigation, and investigating fires is just one part of this. He agreed that at the time of this fire he was a "rookie" in fire investigation, and had only recently been trained in the area. He also agreed that he has had no electrical training, and that he was not qualified to give an opinion as to whether the fire had an electrical cause. While his report supported the view that the fire was electrical in origin, it identified the cause as "convection and radiant heat resulting from a light display containing a large number of lights creating sufficient heat to ignite the surrounding surfaces". No other expert held that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Jackson has had an extensive past career in fire investigation, but he agreed he has not had formal electrical training. Moreover, he said he has been semi-retired since 1994, and has deliberately limited his activities in that field since, choosing not to keep up to date on such things as the current literature in the field. While Mr. Jackson believed that the fire was electrical, he did not point out a specific electrical point of origin. He also conceded that he was operating at a disadvantage, as he was unable to view the scene personally, and his opinion was necessarily based on the photographs and reports of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Biluk was thus the key witness for the plaintiff in establishing the point of origin. Her electrical expertise arises from her work for many years as an electrician. However, she had only been with B.C. Safety since March 2000, and she agreed that this may have been the first investigation on which she was designated to report. She said that her job involved primarily reviewing electrical installations for safety and Code compliance. Fire investigation was only a small part of her duties.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set out previously, Ms. Biluk did describe a specific point of origin in her report at the time. Although she had a camera, she said she did not take a photograph of it as she did not have enough film. At trial, she was unable to identify the point of origin in any of the numerous photos that the other investigators took of the ceiling space. She frankly agreed that at this point, five years after the fire, she was "guessing" at its location.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Biluk also testified that she had seen evidence of spattering in the area, which would be indicative of a short circuit. While she recorded this in her notes at the scene, she again did not take a photograph of it. Nor did she mention it in her final report. Other investigators did not see this pattern. Nor do their photographs reveal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Brown and Mr. Khashan testified that they were aware that the electrical apparatus in the ceiling space above Taikoo had been identified as the suspected point of origin. They said that, as a result, they examined the area closely during their investigation. However, they could not identify any of the defective electrical installations there as the point of origin of the fire. Both testified that they looked specifically for signs of short circuits and arcing, such as bulbs at the end of copper wires, or copper spatter, and found no evidence of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Khashan agreed that on his first visit he did see copper wires exposed, and initially noted that these showed evidence of electrical short-circuiting. He said, however, that on his second visit he photographed these and examined them more closely, and he concluded that these wires were exposed and melted from heat, but did not show droplets indicative of a short circuit. While the plaintiffs say this is suspect, I am satisfied from Mr. Khashan's evidence based on those photos, and his other findings, that he was correct in concluding they did not show characteristics of a short circuit.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conclude that the evidence fails to identify the specific point of origin on which the plaintiffs' theory depends.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first difficulty for the plaintiffs is compounded by a second: that the fire or burn patterns in the ceiling space have aspects that are inconsistent with a fire originating in the defective electrical installations there, and burning upwards.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None of the experts could point to a clear fire path leading from one of those electrical installations. While there was consensus that fire naturally burns up, the evidence indicated such a pattern is not invariable. Nor was it clearly evident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Sergeant Gallant testified that he saw saddling in the charred wood in the ceiling space, which was consistent with burning upward. Other photos of the same area, however, did not show this aspect clearly.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Brown, on the other hand, said he saw no burn pattern in the ceiling space characteristic of an upward burn. He pointed to joists in the hole burned through the second floor above Taikoo that showed the characteristic V-shaped pattern of a burn downwards. Captain Stubbert agreed with Mr. Brown's depiction of those joists. Mr. Brown testified that heat from a fire can radiate down, particularly in an enclosed space with nowhere else to go. It was his theory that such radiating downward heat in the ceiling space was caused by the fire on the second floor, and was responsible for the partial damage to the Taikoo ceiling and lighting display. He said that if the fire had originated in that area, the space around it would have been totally consumed, and there would have been more heat, smoke, and fire damage. Several witnesses agreed that the coverings of the electrical wires would have been melted or consumed if exposed copper wire in the area had been the cause of the fire. Instead, the photos clearly show the coverings largely intact, with minimal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third difficulty faced by the plaintiffs arises from Mr. Khashan's observation that the lighting display in the Taikoo ceiling was on a 120 volt circuit. It was his view that this low voltage system had insufficient energy to cause a fire, as any spark from a short circuit would only travel a few millimetres before cooling.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Related to this, both Ms. Biluk and Mr. Brown agreed that if there had been sparks due to a short circuit in the ceiling space, they would have fallen on the ceiling tiles below, which are made of fire-retardant material. Thus the tiles would not have ignited.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Mr. Khashan was the only person who examined the entire electrical pattern of supply and distribution throughout the building. He testified that the furthest electrical fault from the source of electricity would be the closest to the probable area of origin, since that is where the circuit would be tripped. He found two fuses blown, indicating a massive fault of over 200 amps somewhere in the building. He followed the teck cable from this panel to the electrical panel in the Taikoo store and found it had not been exposed to any heat. He also noted that the cable that supplied electricity to the Taikoo store showed no evidence of a short circuit. He therefore concluded it was not the source of the fault that had blown the fuses. It was his view that the fuses may have been blown by the fire moving quickly through the second floor and simultaneously causing short circuits in the electrical system there. This would support the view that the fire had most likely started on that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argued that, unlike the public officials who testified on their behalf, the views of the defendants' experts should be treated with caution since they were paid for their opinions. The plaintiffs also pointed out that their experts were the first on the scene, and said this should give their views more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found all of the experts testified in a straightforward and objective manner. I find no basis on which to conclude that the defence experts were biased. Both had extensive experience in fire investigation. Mr. Khashan in particular is an electrical engineer who has investigated the cause and origin of over 500 electrical fires. His specialized training and experience leads me to place greater weight on his opinion where it differs from those of other investigators.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well, while the defence experts were not the first on the scene, I find that they were able to conduct the most thorough investigation. That is not intended to be a criticism of Captain Stubbert, Sergeant Gallant, or Ms. Biluk. It is simply an observation based on their evidence that the pressure of other duties, as well as lack of resources, precluded an extensive investigation by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short, I am unable to accept the plaintiffs' view that the evidence of the defence experts should be discounted.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Having said that, the theory of the defence is not without its difficulties. The plaintiffs' experts rejected liquid accelerant as the cause of the fire, and pointed to a number of faults in that premise.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First, they were of the view that it was impossible for a petroleum-based accelerant to burn a hole in a floor. Gasoline vaporizes rapidly, and burns quickly. Thus they believed that such a fire could not have become hot enough to burn down through the second floor, and cause the damage seen in the Taikoo premises.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response, Mr. Brown pointed out that the second floor was carpeted, and that carpet can act as a wick for accelerants. He said that he has personally burned holes through a floor with liquid accelerant several times. He has also read of others doing this in the literature. Mr. Khashan agreed that if one poured sufficient gas on an old plywood floor covered with carpet, this could burn a hole in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Captain Stubbert ultimately conceded it was possible that accelerant used on the second floor and retained by the carpet could cause the fire, and that the burning walls and doors on the second storey could result in drop-down that could burn through the floor into the Taikoo space. It was his view that this was what caused some of the holes in the second floor hallway. Sergeant Gallant also agreed that an accelerant may cause burn depth into a floor from a pooling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Second, the plaintiffs' experts pointed to burn patterns shown in the photographs of the second floor and stairway that they said were inconsistent with the fire originating from a liquid accelerant.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Sergeant Gallant said that typically a trailer of flammable material is kept narrow by the perpetrator for safety reasons. Here, the burn pattern on the stairs was wide, suggesting that the fire was not caused by a liquid accelerant.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Jackson testified that a hole burned by liquid accelerant is typically round. Here, the hole in the second storey above Taikoo, which the defendants say was a burn down caused by the accelerant, was square. It was his view that this hole, and others on the second floor and in the stairway, could instead have been caused by falling debris. Finally, he said a carpet burned due to liquid accelerant has a sharp distinct edge to it, whereas the photographs showed a tapered edge to the burned carpet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weighing those views, I find it significant that these burn patterns on the second floor and in the stairway only became visible when Mr. Brown arranged excavation of the debris in those areas during his investigation. The Fire Department had lacked the resources to clear this material. Thus, Captain Stubbert, Sergeant Gallant, and Ms. Biluk had not been able to fully investigate these areas, and had not seen the burn patterns themselves. At trial, they were at a disadvantage in interpreting the patterns, as they could only work from the photographs taken by Mr. Brown.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Captain Stubbert agreed that burn patterns are an important tool in fire investigation, and that he missed those on the second floor and stairway as he was limited in his investigation by time and resources. He conceded that some of Mr. Brown's photographs showed evidence of a pour and pooling pattern, and that the theory of arson was a possibility.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Sergeant Gallant also agreed that, while he was at the scene, the debris covering the second floor limited his observations and ability to detect a number of fire sets consistent with arson. He testified that he was now unable to make any determination or answer questions based solely on the photographs taken after the debris was cleared.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Jackson also conceded he was at a disadvantage as he did not view the scene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that, by their own admission, the inability of these witnesses to personally observe the burn patterns weakens their view that aspects of those patterns were inconsistent with a pour of liquid accelerant.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Third, the plaintiffs point out that two samples of burned material taken from the scene by Sergeant Gallant, and two of eight samples taken by Mr. Brown, were submitted for chemical analysis. All tested negatively for evidence of ignitable liquid accelerants or other incendiary materials. The plaintiffs say that standard literature in the field points to the importance of confirmatory testing before reaching a conclusion that the origin of a fire was liquid accelerants. They argue that, in the absence of such confirmation, one cannot make that finding.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Mr. Fung, the chemist from the R.C.M.P. forensic laboratory who tested Sergeant Gallant's samples, explained that negative results do not necessarily mean there was no petroleum product at the scene of the fire. He said a negative result may be consistent with four conclusions. First, nothing with a petroleum base was used to start the fire. Second, a fire may be so hot that any petroleum used was totally consumed. Third, there may be such a small sample on the tested item that it cannot be detected. Fourth, the sample may not have been taken from the right location. Mr. Fung testified that he has done thousands of analyses of fire debris and only 40 to 50% are positive.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view of that evidence, I am unable to find that the negative chemical results conclusively rule out a liquid accelerant as the cause of this fire.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Fourth, the plaintiffs point to evidence that it would have taken a large amount of petroleum product to cover the trail of liquid accelerant hypothesized by the defence. Mr. Jackson testified that when such an amount of petroleum product was ignited, he would expect an explosion, blowing out the windows of the building, and likely killing the perpetrator. Instead, the windows in this fire broke inwards, and there was nothing to suggest a perpetrator suffered harm.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Brown agreed that it would take a significant amount of gas to cover the area of pooling he detected, and that an explosion might be expected in a confined area. However, he said that here the second floor hallway provided a space with sufficient air to prevent an explosion.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Next, there is the matter of timing. Captain Stubbert agreed that it would have taken hours for a fire that originated from an electrical cause in the ceiling space above Taikoo to burn a hole through the second floor of the building. Mr. Jackson testified it would have taken about two hours to burn that hole if the cause was electrical. Mr. Brown was of the view that it would take about 35 minutes for a fire started with a liquid accelerant to burn through a normal residential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McMurchie, an employee of White Knight Security, said that he had been in the building sometime between 6 p.m. and 7 p.m. on the evening of the fire, and noted nothing unusual. The defence says this indicates that the fire could not have been electrical in origin, as Mr. McMurchie would have smelled it one to two hours before the alarm.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unable to draw any conclusion from this evidence, given the varying time frames put forward by the witnesses, and Mr. McMurchie's lack of certainty as to the exact time he was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the plaintiffs argue that if an accelerant had been used, fire fighters and others present during the fire would have smelt gasoline, or seen evidence of pooling or multiple fire sets which would be consistent with arson. There were no reports of suspicious activity in the area prior to the fire. The defendants could point to no suspect. The doors to the building, and to the White Knight offices on the second floor, were locked when the Fire Department arrived. Mr. McMurchie testified that keys to those office premises are limited, with only the three owners having access. He said that he had locked the door when he left the building between 6:00 and 7:00 p.m. that evening.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agree that the defence theory of arson would be strengthened had there been evidence of those matters. As well, I find that the evidence of the plaintiffs' experts has raised other questions about that theory which remain unanswered. However, the burden of proof does not lie with the defendants. Weaknesses in their theory do not eradicate the weaknesses in the plaintiffs'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on the evidence as whole, the plaintiffs have failed to establish that this fire was electrical in origin.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action is accordingly dismissed. Unless the parties wish to make submissions as to costs, the defendants will have their costs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NEILSON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McCaffrey v. Kang, [2014] B.C.J. No. 1437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14-17, 23,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M142282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1437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1266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Michael McCaffrey, Plaintiff, and Amandeep Singh Kang and SSB Trucking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3" w:name="Keywords_31"/>
      <w:bookmarkEnd w:id="21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Cyclists — Rules of the road — Action by McCaffrey for damages for personal injuries sustained in a motor vehicle accident dismissed — McCaffrey was riding his bicycle when he attempted to cross the road and collided with a large tractor-trailer unit driven by the defendant Kang — McCaffrey alleged that Kang was negligent — Kang denied all liability — McCaffrey conceded that he failed to keep a proper lookout and the attending police officer corroborated that evidence — McCaffrey failed to obey the rules of the road and was 100 per cent liable for the accident.</w:t>
      </w:r>
    </w:p>
    <w:p>
      <w:pPr>
        <w:jc w:val="both"/>
        <w:rPr>
          <w:rFonts w:ascii="arial" w:eastAsia="arial" w:hAnsi="arial" w:cs="arial"/>
          <w:sz w:val="20"/>
          <w:lang w:val="en-US" w:eastAsia="en-US" w:bidi="ar-SA"/>
        </w:rPr>
      </w:pPr>
      <w:bookmarkStart w:id="214" w:name="Legislation Cited_25"/>
      <w:bookmarkEnd w:id="2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1"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25" w:history="1">
        <w:r>
          <w:rPr>
            <w:rFonts w:ascii="arial" w:eastAsia="arial" w:hAnsi="arial" w:cs="arial"/>
            <w:i/>
            <w:color w:val="0077CC"/>
            <w:sz w:val="20"/>
            <w:u w:val="single"/>
            <w:shd w:val="clear" w:color="auto" w:fill="FFFFFF"/>
            <w:lang w:val="en-US" w:eastAsia="en-US" w:bidi="ar-SA"/>
          </w:rPr>
          <w:t>RSBC 1996, CHAPTER 318, s. 151</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5" w:name="Counsel_31"/>
      <w:bookmarkEnd w:id="2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R.B. McNeney.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Urquhart.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30"/>
      <w:bookmarkEnd w:id="216"/>
      <w:r>
        <w:pict>
          <v:line id="_x0000_s1183"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R. CRAWFORD J."/>
            <w:bookmarkEnd w:id="217"/>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for judgment address the plaintiff's claim in a motor vehicle accident that occurred on August 17,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McCaffrey, the plaintiff, claims damages for injuries he sustained during the accident. At that time, he was riding his bicycle and attempted to cross Timberland Road in Surrey, but he collided with a large tractor-trailer unit driven by Mr. Kang,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McCaffrey alleges Mr. Kang was negligent and seeks monetary damages for the injuries he sustained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Kang denies all liability. I find him right in 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sum, I am dismissing the plaintiff's claim as I find him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purposes of the trial and this judgment Tannery Road is described as running north-south, while Timberland Road is described as running east-west.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McCaffrey's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17, 2010, Mr. McCaffrey rode his bicycle to work. He was working as a forklift driver for the Goodrich Company. He loaded and unloaded containers and trucks at the Goodrich site, which serves Fraser 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early afternoon. He intended to go to see his insurance agent in the Whalley district. His employer, Mr. Seikhon, was not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left the worksite and peddled east along Timberland Road towards the Tannery Road intersection. He then saw his employer coming the other way in a small red pick-up truck, and Mr. Seikhon pulled over to the south side of Timberland Road, close to the Tannery Road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McCaffrey pulled his bicycle around beside Mr. Seikhon's driver's side window on a large dirt and gravel area near the intersection and well away from the industrial traffic that uses the 28 foot asphalt roadway on Timberland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Seikhon said Mr. McCaffrey could borrow his truck to do his errand, and Mr. Seikhon drove off in a westerly directions towards the Goodrich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McCaffrey started to bicycle after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said he cycled west some 40 feet across the gravel and then onto the eastbound or oncoming traffic portion of the roadway. He travelled a further 35 or 40 feet in the eastbound lane. He estimated he was on the asphalt roadway some three to four seconds before he turned to look over his right shoulder to check that the westbound traffic lane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But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said the chrome front of Mr. Kang's truck was immediately upon him, so he flung up his arm and believed he hit the oncoming truck's side mirror; then the lumber load started rubbing him in his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was hit in the back and thrown off his bicycle. He rolled over and landed hard on his back and buttocks. He slid on the asphalt roadway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said the point of impact was some four to six feet from the road edge and approximately 100-120 feet from the middle of the Tannery Road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said that he did not see other traffic, but he said the DNR Towing Company had placed a large tow truck (Big Bertha) on the north side of Timberland Road; it was about 100-120 feet from the Tannery Road intersection to the DNR Towing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said his bicycle speed was 20 km on the gravel and 30-35 km at collision while Mr. Kang's truck was "double that easily, 50 km minimum".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said he was on the ground when Mr. Kang was first to him and asked him if he was okay. Mr. McCaffrey said he responded, "Didn't you see me on the f'ing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believed the ambulance was the first emergency unit to him. He walked to a gurney and lay down, and he was put into the ambulance and taken to Surrey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said he was not given much attention at the hospital; "a doctor pushed me on my belly", and then he was given extra strength Tylenol. He then called his mother and a friend and then left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did not mention speaking with the police officer who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said his bicycle was mangled and later scrapped.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Cross-examination of Mr. McCaffrey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counsel suggested that a truck was approaching him as he fell onto the asphalt. Mr. McCaffrey said it was far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asked to compare the location of Mr. Kang's truck to a series of pictures in Exhibit 6 Tab 1, he said Kang's truck was closer to the intersection, and it had come to the middle of the road and was angled. It then came into contact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was inferring that Mr. Kang was pulling wide of the stopped Big Bertha said to be parked on the north side of Timberland Road. Counsel pointed out that no DNR trucks were parked in the Googled pictures put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put to Mr. McCaffrey that he was confused and that the distance was some 230 feet to the DNR Towing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agreed that he estimated the point of impact with the truck at some 115 feet from the intersection, but he disagreed the DNR Towing entrance was at a different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agreed he did not see Mr. Kang's truck make its turn and that he was some 40 feet from the intersection when he said he met Mr. Seikhon.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Exhibit 6, Tab 7 is a series of pictures showing a tractor-trailer unit with two trailers making the turn left from Tannery Road onto Timberland Road. Mr. McCaffrey agrees they were fair representations of the intersection and a similar size truck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Tab 8 is pictures of Mr. Kang's truck and trailers with similar loads to those being hauled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agreed he did not see Mr. Kang's truck while he was talking to Mr. Seikhon nor did he hear Mr. Kang's truck make the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did not agree that the tractor would make "a fair amount of noise" as that might depend on wind direction and the quality of the exhaust and the tractor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Nor would he agree that a tractor unit pulling two trailers would take a longer time to start and make the turn compared to an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then asked if it would have made more sense for him to have put his bicycle in the back of Mr. Seikhon's pick-up truck and drive the 2 km back to the Goodrich site with Mr. Seikhon. Mr. McCaffrey conceded maybe, but Mr. Seikhon did not make such an offer, and in any event, he could bicycle the 2 km quite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counsel suggested he never conferenced with Mr. Seikhon, he said that counsel was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asked for the time from Mr. Seikhon leaving to the time of the collision, he estimated four to five seconds or a matter of seconds until he was on the asphalt as it "didn't take me long to get up to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counsel put to him that he did not look to his right when he started cycling, he said he had peripheral vision and that he was not worried, but only when he did his shoulder check and "the bumper was there" and he threw up his right arm did he realize the truth of 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agreed he did not look right when he was still on the dirt and gravel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asked why he did not go on a right angle out onto the road, he said he was pointing that way, but he cycled 35 to 40 feet on the gravel plus another 40 feet on the pavement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counsel suggested he was 15 feet onto the asphalt (at impact), he disagreed and said he was only 4-6 feet onto the asphalt.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put to him that he did not look until he was 15 feet onto the pavement, and he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then put his examination for discovery transcript at page 42, questions 277-282:</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 So when you leave the gravel and before you get onto the road surface, the asphalt paved surface of Timberland, you do not look to your right; do you?</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don't see the defendant's vehicle coming from your right?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not until I looked to see if it's safe to cross the other side of the road.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how wide is the road?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 Again I don't have a yardstick or a measuring tape.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at all before this -- at no time before you contacted the defendant's truck do you look to your right; correct?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did.</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did you look to your right?</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was checking to see if it was safe to cross to the other side of the road to be on the right side of the road for travel.</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you're only crossing what, about 15 feet of pavement by that time?</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I'd say a little more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agreed he was asked those questions and gave those answers, but he disagreed that he had only cycled 15 feet onto the asphalt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did agree only three or four seconds passed from the time Mr. Seikhon's truck left to the time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agreed Mr. Kang's tractor was pulling two trailers and that nothing obstructed his view; the truck was there to be seen. But he said he was there to be seen too, and the tractor was behind him. So even if he had turned his head 90 degrees when he started, he would not have seen the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then put his discovery transcript to him at page 43, questions 287-294, and he agreed those questions were asked and he gave those answers:</w:t>
      </w:r>
      <w:r>
        <w:rPr>
          <w:rFonts w:ascii="arial" w:eastAsia="arial" w:hAnsi="arial" w:cs="arial"/>
          <w:sz w:val="20"/>
          <w:lang w:val="en-US" w:eastAsia="en-US" w:bidi="ar-SA"/>
        </w:rPr>
        <w:cr/>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there's nothing obstructing your view of this truck?</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It's a big truck?</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It's there to be seen?</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right. So was I.</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It's got two trailers on it full of lumber?</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right.</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There's no obstructions of your view?</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And there's no obstructions of his view either.</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where you were on your bicycle stationary with Mr. Sekhon and just at the instant you leave, you agree with me that had you from that point looked to your right at that time you would have seen the defendant's truck?</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Possibly.</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there to be seen?</w:t>
      </w:r>
    </w:p>
    <w:p>
      <w:pPr>
        <w:numPr>
          <w:numId w:val="2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Possibly.</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have any problems with your vision?</w:t>
      </w:r>
    </w:p>
    <w:p>
      <w:pPr>
        <w:numPr>
          <w:numId w:val="2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 don't.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then suggested that Mr. Kang had barely straightened his tractor and trailer load and was not doing 50 km. But he said "he roared past me, twice my speed". He disagreed that Mr. Kang leaving from a stop could not get to 50 km an hour some 120 feet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agreed that he had said at the examination for discovery he was some 50 feet from where he started cycling to the point of impact (see page 32, questions 217-218):</w:t>
      </w:r>
      <w:r>
        <w:rPr>
          <w:rFonts w:ascii="arial" w:eastAsia="arial" w:hAnsi="arial" w:cs="arial"/>
          <w:sz w:val="20"/>
          <w:lang w:val="en-US" w:eastAsia="en-US" w:bidi="ar-SA"/>
        </w:rPr>
        <w:cr/>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from where you started on your bicycle how far had you travelled to the point where you encountered the defendant's truck?</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Probably fifty feet.</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Fifty, five zero?</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asked if he recalled the police officer attending and speaking to him, he said he had a vague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referred to the police file where the officer noted Mr. McCaffrey had decided to cross the road. He said the note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officer's note of "failed to look, rode into side of truck" was put to him and he denied saying that, and he denied saying he had failed to look both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put to him that his trial evidence of his arm hitting the truck side mirror was the first mention of such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then put his examination for discovery transcript at page 22, questions 170-178, and he agreed he had not mentioned the truck mirror clipping his elbow nor did he tell the police officer about colliding with the mirror. He said did not know why he failed to mention it, but he would have been in shock, pain and agony.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McCaffrey denied his suggestion of contact with the mirror was a new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returned to the statement he made on examination for discovery of being across the asphalt 15 feet, and Mr. McCaffrey said he travelled 15 feet, not at a right angle, but in the direction of travel (i.e. eastbound) and said it was probably 40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counsel questioned again about the distance of the DNR Towing entrance from the intersection being 230 feet, he agreed his estimate of 120 feet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put to him that the business at 10705 Timberland Road was 258 feet from the centre of the Tannery Road intersection, and the DNR Towing entrance was much further along - i.e., by the Van Isle barge on Exhibit 2. Mr. McCaffrey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then put to him that the point of impact could not be where the Big Bertha truck was parked, and he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McCaffrey agreed he was an avid cyclist and knew his responsibilities as a cyclist. He knew he had to drive his bicycle as if it was a motor vehicle and keep to the right hand side of the road. He agreed he had to cross the gravel and then the eastbound traffic lane to get to the proper side of the road to go westbound on Timberland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agreed he gave no signal and that he should look first to see if something was coming along behind him. He agreed Mr. Kang's truck was right behind him, and he agreed, "it was right on top of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asked if he had been in a motor vehicle if he would have done the same thing, Mr. McCaffrey said he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counsel put to him that driving down the wrong side of the road would be unlawful, he said "if you say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agreed he had not spoken to Mr. Seikhon about the accident, but he had discussed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agreed the only eye witnesses would be Mr. Kang, himself, Mr. Seikhon and the oncoming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agreed that the ambulance attendants, the police, and Mr. Seikhon, as well as the other truck driver were all close by.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Kang's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Kang has been a licenced Class 1 truck driver since 1998, and he detailed his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was driving a 1998 Western Star 4900A tractor with a sleeping cab and pulling two trailer loads of raw cut lumber. He agreed his tractor is 20 feet long and the trailers were 32 feet and 28 feet long, and together with two feet gaps between the trailers their total length is 84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had measured from the ground to the bottom of the small mirror under his large side mirrors, and the distance was 6 foot 4 inches, and the height to the top of a three high stack of lumber was 13 foot 6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August 17, 2010, he was bringing his second lumber load from CN Rail to the Goodrich transition load site. He followed the South Fraser Perimeter Road turning off at Tannery Road and making a left turn on Timberland Road. He has driven that route hundreds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had been to the Goodrich site many times and knew Mr. McCaffrey as the forklift driver who unloaded his trucks. He had made one previous trip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Counsel showed him Exhibit 2, Tab 2, pictures of a truck making a left turn from Tannery Road onto Timberland Road, and he said he would have made a wider turn to allow for the two trailers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said he had to watch the traffic on Timberland Road for several minutes, and he saw Mr. McCaffrey on the left hand side of the roadway on the dirt/gravel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Given the truck load, he made a slow and wide left turn in first gear and then started to move into second, third, and fourth gear.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said the asphalt road carries two lanes of traffic, but the middle of the road has no white markings.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completed his left hand turn and could see Mr. McCaffrey cycling on the dirt beside the roadway and passed him; he believed he was in fourth or fifth gear doing 20-30 km. He placed Mr. McCaffrey by the light pole shown in the picture near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said he had first seen him earlier when Mr. McCaffrey was between the corner and the first lamppost, and having made his turn, he was between the curb and the lamppost but pedaling in the same direction on the dirt/gravel.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did not recall seeing anyone else with Mr. McCaffrey or a red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then saw the oncoming driver pointing to him, and he estimated he was about some 60 plus feet from the oncoming driver. He believed he was losing his load of unfinished timber and looked into his side mirror only to see Mr. McCaffrey coming from the left hand side of his truck. He saw Mr. McCaffrey hit the trailer tires and fall from his bike onto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believed that Mr. McCaffrey would have collided with the tires on the first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"banged on his brakes" and stopped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said he jumped down from his cab, ran back to him and asked if McCaffrey was ok. Mr. McCaffrey replied "yeah" and got up. He could see scratch marks on Mr. McCaffrey's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said he called 911 and the ambulance and police came. Mr. Seikhon and the other driver also came. He said the ambulance was there within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said he saw Mr. McCaffrey pedaling on the dirt but had not seen him cycling on the pavement at any stage. He denied ever seeing Mr. McCaffrey in front or beside his cab. When asked if he saw Mr. McCaffrey near his side mirror, he said no, and he did not think Mr. McCaffrey got near the front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did not personally know Mr. Seikhon, the owner of the Goodrich site. He said Mr. Seikhon was on the accident site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asked if he if talked to Mr. McCaffrey, he said he asked Mr. McCaffrey how it had happened and how he did not see him. Mr. McCaffrey replied he was in a rush, and he could not see Mr. Kang.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said Mr. McCaffrey said the same thing to the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asserted he was in his correct west side position on the right side of the road close to the asphalt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thought the bicycle was "okay", and after the policeman spoke to him, he was told he was "good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When asked about how loud the tractor is, he said it was a big noisy diesel truck, too noisy to take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When asked the distance from the intersection to the accident, he agreed he had said in a previous statement that the distance was some 200-250 yards. He agreed it looked like it was much less.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Cross-Examination of Mr. Kang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agreed he had initially said the distance was 60 feet from the intersection to the collision, and the distance between him and the oncoming truck was 30 feet. But when questioned, he increased his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agreed that at his examination for discovery on September 9, 2013, he said the collision occurred some 200-250 yards from the Tannery Road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denied he used an alternate route - i.e., he denied he came along Timberland Road from the east side of Tannery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denied that DNR Towing left a Big Bertha truck on the north side of Timberland Road or that the Big Bertha truck was parked on Timberland Road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And he denied that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truck was parked on the north side of Timberland Road and that he had had to maneuver past it and edged to his left - i.e., towards Mr. McCaffrey coming from his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agreed that on his examination for discovery, he had said Mr. McCaffrey collided with his first trailer, but at trial, he was unable to say precisely where the collision occurred on the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examination for discovery, Mr. Kang had forgotten the name of the oncoming driver (Mr. Dhaliwal).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also said that the police arrived "not too far, a half hour" after the accident. And he agreed Mr. Seikhon was at the accident scene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agreed Mr. McCaffrey said his back hurt, and he said he could see it was scratched like Mr. McCaffrey had road rash, but it was not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agreed he said in his statement that Mr. McCaffrey said he was okay but his back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denied making up his conversation with Mr. McCaffrey and that Mr. McCaffrey said to him "didn't you f***ing see me?", and he asserted that he had asked Mr. McCaffrey if he saw him, and Mr. McCaffrey had said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denied his truck was doing 40 km at the time of the collision, but he did agree that his truck could get up to 40 km in fifth gear.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said Mr. McCaffrey did not come at a right angle into the side of his truck; rather he was cycling in the same direction - i.e.,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to the point of impact marked by the blue cross on Exhibit 2, he said the collision was "before that" (I note the blue cross on Exhibit 2 is some 60 metres from the west edge of Tannery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further testimony, he agreed Mr. Dhaliwal had stopped in time to avoid running over Mr. McCaffrey, i.e. they were "cab to cab". Then Mr. Dhaliwal pulled his truck out to the side of the road, and he and Mr. McCaffrey moved to the side of the road so as not to block the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sum, Mr. Kang said he was stopped at the stop sign on Tannery Road for several minutes before turning, that he did note Mr. McCaffrey off to the side of the road while he was waiting, that he drove his truck through first, second and third gears as he straightened up his cab on Timberland Road and that he would have changed into fourth and fifth gear by the time his two trailers were straightened out on Timberland Road. He said he came to a stop before the DNR Towing entrance on Timberland Road, but he was unable to specify where that location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Douglas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August 17, 2010, Cst. Douglas was on general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His recollection of that day was "slim", but he had made notes at the roadside, and he completed an occurrence report on his laptop shortly after the event in his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recalled the collision, that the injuries were not severe, that an ambulance was already there when he arrived, and that the truck had a load of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accident was reported at 2:18 p.m.; he was on site at 2:28 p.m.; and, he completed his occurrence report at 2:51 p.m. He typed a synopsis at 3:35 p.m. into his computer and later provided the standard police investigation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Cst. Douglas's occurrence report read in part (Exhibit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attendance Cst. DOUGLAS observed EHS with a Mike MCCAFFREY. MCCAFFREY advised Cst. DOUGLAS that he was standing road side on TANNERY RD and decided to cross the street upon his bicycle. MCCAFFREY said he failed to look both ways and rode into the side of a North bound truck as it passed by. MCCAFFREY struck the truck halfway down its length making it impossible for the driver to have known MCCAFFREY was going to attempt to cross the street. MCCAFFREY advised he ran into the load of the truck, (wooden planks) and was spun in the air and scraped his elbows and knees. MCCAFFREY was not located at a pedestrian crossing when he made the decision to cross.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Amandeep KANG was driving [...], TRACT COMMERCIAL BROWN, on TIMBERLAND rd when he saw MCCAFFREY in his rear view mirror being tossed through the air from his truck. KANG immediately stopped his truck and pulled over road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Seikhon, SUCHA advised he was on the East side of TIMBERLAND south of TANNERY Rd. SEIKHON advised he had seen MCCAFFREY spontaneously get upon his bicycle and run into KANG'S truck mid-way across the length of its trailer.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EHS attendants advised that MCCAFFREY'S injuries were minimal but he was to be transported to SMH for ex 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Cst. Douglas agreed that his comment that Mr. McCaffrey struck the truck half-way down its length "making it impossible for the driver to have known McCaffrey was going to attempt to cross the street" was his opinion and not what the parties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reiterated that Mr. McCaffrey said he failed to look both ways and rode into the side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agreed that in his initial standard report, he initially noted Mr. Kang "felt the impact", but he realized Mr. Kang could not have "felt the impact" and deleted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agreed his conversation was with Mr. McCaffrey when he was "in the back of the bus" being tended to by the emergency medical personal. He agreed that interaction would not be a time "of contemplation and reflection", and it would include a high degree of distraction.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 agreed he separated the various witnesses from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When asked if he saw any blood on the side of the truck, he said he recalled looking at the wood and it had no blood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When asked about his narrative, he said his comments were not direct quotes of those present as he had not put them in quote marks. He agreed nothing was a direct quote, but he had recorded his recollection of the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was unable to specify where DNR Towing was located or the distance from the Tannery Road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Seikhon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Seikhon owns Goodrich terminals and related companies. The company was Mr. McCaffrey's employer at the time of the accident in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said he was driving west on Timberland Road and was east of the Tannery Road intersection and noted a "super B" in front of him, some 200 to 250 feet. He saw a cyclist come out and hit the rear trailer of the timber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stopped and pulled over to help and found out the cyclist was Mr. McCaffrey. He said it was only a few seconds from seeing the cyclist until the cyclists' impact with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said Mr. Kang's truck had kept to its side of Timberland Road and did not drive into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called 911, and ambulance, police, and fire trucks came to the scene. The paramedics looked after Mr. McCaffrey, and Mr. Seikhon gave a report to the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He denied pulling over to the side of Timberland Road and discussing with Mr. McCaffrey the use of his truck to run an errand to Whalley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also denied seeing any vehicles parked on the side of the road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 did not recall there being an oncoming truck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said Mr. Kang's truck had kept to its side of Timberland Road and did not drive into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terms of the collision location, he placed the cyclist hitting the tires of the rear tire.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Cross-Examination of Mr. Seikhon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cross-examination, Mr. Seikhon agreed Mr. McCaffrey was an employee of the company. He agreed the payment cheques to Mr. McCaffrey listed in Exhibit 3, page 87 were correct and reflected income for 2009 and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However, Human Resources and Skills Development Canada made requests for Mr. McCaffrey's record of employment that eventually led to a further record of employment being provided and evidently tax consequences for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Counsel then turned to the relationship with Mr. Kang. Mr. Seikhon said he did not do business with Mr. Kang, but he did haul loads for other companies. Mr. Kang is not involved in billing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Counsel then put to him that he gave a statement to the plaintiff's investigator on August 20, 2013 where he indicated he knew the truck driver as he had "done business with my company". Mr. Seikhon said that quote was not exact, and he reiterated that he did not have any business relationship with Mr. Kang.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reference to the constable's notes of Mr. Seikhon saying he was east of the intersection, he agreed that summary was not what he said to the officer. Asked to compare that to Exhibit 2, he agreed that did not seem correct. (I note the compass directions varied with the witnesses, and Mr. Seikhon in my opinion was driving westerly towards the Goodrich terminal and viewed the accident from behind Mr. Kang's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 denied having spoken to Mr. Kang about how the accident happened. When asked if he had discussed the accident with Mr. Kang after Mr. Kang delivered his load to the Goodrich site, he said he did not recall, nor did he recall having discussed the accident with Mr. Kang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Counsel then put to Mr. Seikhon the events as described by Mr. McCaffrey, i.e., he saw Mr. McCaffrey cycling towards Whalley and pulled over to the side of the road and discussed letting Mr. McCaffrey use his truck to attend his errand in Whalley, and he then drove away and did not see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Seikhon denied that occurred, and he denied he had made up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Seikhon further denied he was mad at Mr. McCaffrey because he had to pay the taxes withheld from 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Seikhon's statement given to the plaintiff's investigator, together with a sketch, shows the truck proceeding east and the cyclist hitting the right side. But Mr. Seikhon's statement and the sketch is opposite of what occurred and has him coming towards the scene of the accident rather than behind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 agreed the sketch plan was wrong, and he was mistaken. He agreed that his initials were on the sketch, but he denied he made up any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re-examination, he said he had not seen the transcript of the discussion with the investigator nor was he provided a copy of the audio recording or asked to verify it. The statement was marked Exhibit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 summarize the plaintiff's argument in three parts: (1) that a motor vehicle cannot pass on the right hand side of another motor vehicle: s. 151(2)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(2) that a commercial truck driver is subject to a standard of care of a reasonably prudent professional truck driver having regard to all the circumstances; and (3) that the plaintiff is more credible than the defendant in terms of the description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Regarding the first argument, I do not understand the right hand passage law as relied upon by counsel. That law deals with someone passing on the right hand side of a vehicle in its proper lane as exemplified in the plaintiff's reference to </w:t>
      </w:r>
      <w:r>
        <w:rPr>
          <w:rFonts w:ascii="arial" w:eastAsia="arial" w:hAnsi="arial" w:cs="arial"/>
          <w:i/>
          <w:color w:val="000000"/>
          <w:sz w:val="20"/>
          <w:lang w:val="en-US" w:eastAsia="en-US" w:bidi="ar-SA"/>
        </w:rPr>
        <w:t>R v. Dickson</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2003 BCSC 437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the present case, the cyclist appeared to try to cross the road from the left hand side across a lane of oncoming traffic and drove into the left hand side of the defendant's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Regarding the second argument, in </w:t>
      </w:r>
      <w:r>
        <w:rPr>
          <w:rFonts w:ascii="arial" w:eastAsia="arial" w:hAnsi="arial" w:cs="arial"/>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2010 BCSC 625</w:t>
        </w:r>
      </w:hyperlink>
      <w:r>
        <w:rPr>
          <w:rFonts w:ascii="arial" w:eastAsia="arial" w:hAnsi="arial" w:cs="arial"/>
          <w:color w:val="000000"/>
          <w:sz w:val="20"/>
          <w:lang w:val="en-US" w:eastAsia="en-US" w:bidi="ar-SA"/>
        </w:rPr>
        <w:t xml:space="preserve"> Ehrcke J. dealt with a cyclist proceeding southbound on the King George Highway, facing the stream of traffic, and being struck by the tail end of the defendant's oncoming commercial truck. The cyclist was forced into a narrow gap between the back end of a parked pick-up truck and the oncoming traffic. And the Court heard expert evidence about the standard of care. But that case's circumstances are quite different from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Nelson v. Lafarge Canada Inc.,</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2013 BCSC 1552</w:t>
        </w:r>
      </w:hyperlink>
      <w:r>
        <w:rPr>
          <w:rFonts w:ascii="arial" w:eastAsia="arial" w:hAnsi="arial" w:cs="arial"/>
          <w:color w:val="000000"/>
          <w:sz w:val="20"/>
          <w:lang w:val="en-US" w:eastAsia="en-US" w:bidi="ar-SA"/>
        </w:rPr>
        <w:t>, Dickson J. referred to the standard of care of a professional truck driver with respect to a cyclist who collided with a large right turning truck. Mr. Nelson was a cyclist in the right hand lane proceeding east on Hastings Street while the defendant driver was also proceeding east, but the driver signaled and turned right at Nanaimo from the centre lane. Again, that case's circumstances are very different from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do not disagree with the general proposition that a commercial truck driver in a cab some six or seven feet off the ground has a better view of the traffic, and as a professional driver, with a large tractor and trailer, the driver must always be aware of the potential problems created by pedestrians, cyclists,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Regarding the third argument, plaintiff's counsel did not deal with the patent difficulties of his own client's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the balance of the evidence, I am satisfied that Mr. McCaffrey drove into the side of the trailer load of timber that Mr. Kang was towing.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am further satisfied that it was wholly Mr. McCaffrey's own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From the outset, Mr. McCaffrey conceded that he failed to look to his right as he left the south side gravel area and entered the eastbound lane of Timberland Road. And he concedes he did not look until he became aware of the truck that he was riding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other words, he conceded he did not keep any lookout. The attending police officer corroborated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find that Mr. McCaffrey rode his bicycle from the dirt area beside the asphalt roadway in somewhat parallel fashion to the direction of Mr. Kang's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McCaffrey did not enter the roadway at a right angle; that mode of entry would at least have given him a view of traffic each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Instead, Mr. McCaffrey rode on an angle across the gravel, onto the eastbound lane and, eventually, as he was entering the westbound lane, he turned to look back over his shoulder to see what traffic was coming. But at that moment, the lookout was too late, and he collided with Mr. Kang's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Kang said he saw Mr. McCaffrey riding along the dirt beside the asphalt road, and he passed him. He only saw Mr. McCaffrey striking the side of his timber load because the oncoming driver waved at him and he looked in his rear-view mirror to see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McCaffrey's comment to the police officer and the evidence of Mr. Seikhon leads me to conclude the plaintiff appeared to strike somewhere in the middle of the trailers, but I note Mr. Kang says he struck somewhere on the first trailer. In any event, where exactly he struck the trailer does not affect my liability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McCaffrey failed to mention at any time before the trial that he collided with the tractor's side mirror. I take it that he was inferring that he got ahead of the truck's cab, and Mr. Kang was increasing his speed from the corner and should have had him in his sight. But the suggestion that Mr. McCaffrey hit the truck's side mirror is belated, and implausible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reject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Indeed, no evidence suggests that as Mr. McCaffrey entered onto the asphalt roadway - at any time - in front of Mr. Kang so that Mr. Kang might perceive the potential danger that Mr. McCaffrey was riding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Additionally, at no stage before the trial did Mr. McCaffrey suggest that Mr. Kang was not driving in his own lane of traffic westbound on Timberland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And the suggestion that a stationary truck, which was on the north side of the road, caused Mr. Kang to veer to his left is without substance. In fact, no evidence demonstrates a truck being parked on the north side of the road such that Mr. Kang had to swerve to miss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reject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 good deal of the plaintiff's case sought to diminish the evidence of Mr. Kang, the police officer and Mr. Seikhon.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Regarding Mr. Seikhon's credibility, while Mr. Seikhon may well have been subsequently upset about failing to pay Mr. McCaffrey's taxes and the financial consequences that arose out of the record for employment, his statement to the police officer is consistent with the other evidence about 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His later statement and sketch given to the plaintiff's investigator is so much at odds with the rest of the evidence that I can only describe the later statement as nonsense.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Much was made of Mr. Kang's inability to estimate distances, but the evidence on the whole satisfies me that the point of impact occurred somewhere as Mr. McCaffrey estimated, some 110 to 120 feet to some 180 feet from the intersection of Tannery Road. The impact was nowhere near the location of DNR Towing where the alleged vehicle was meant to be affecting Mr. Kang's passage.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Moreover, the primary and sole cause of the accident is Mr. McCaffrey's failure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Some suggestion was made that Mr. McCaffrey did have some hearing disability, but Mr. McCaffrey denied he had a hearing disability. Thus I have no explanation as to why he would not hear an coming large diesel tractor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am satisfied that the notes Cst. Douglas made are the notes of an independent investigator on the scene soon after the incident, and they can only point to Mr. McCaffrey being the author of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Therefore, the primary cause of the accident was Mr. McCaffrey's failure to keep a proper lookout, the failure to obey the rules of the road, and failure to give way to a truck with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sum, I find Mr. McCaffrey 100% at fault. He is wholly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defendant is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McQuillan v. Dean, [2014] B.C.J. No. 3351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6-9,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M123619, M146439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3351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2578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Todd Jacob McQuillan, Plaintiff, and Robert William Dean, Defendant And between Robert William Dean, Plaintiff, and Todd McQuillan and Valerie Angela Marie Hebert, also known as Valerie Herbert,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32"/>
      <w:bookmarkEnd w:id="21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Motor vehicles — Speed — McQuillan's action for damages resulting from motor vehicle accident allowed — McQuillan argued that defendant Dean was driving carelessly and too fast and that McQuillan vehicle was stationary when it was struck by Dean's vehicle — Dean argued McQuillan was reversing at time of accident — Dean was solely liable for the accident — Dean was driving too quickly, at a rate which was both greater than speed limit and inappropriate for the visibility obstruction arising from the hill — McQuillan vehicle was stationary at time of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30"/>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for damages arising from a motor vehicle accident. Both parties claimed the other was the sole cause of the accident. The accident occurred on a gravel road. Both drivers were very familiar with the area. The accident occurred shortly after the defendant Dean's vehicle had passed the crest of a hill and was on the downward slope. The plaintiff McQuillan argued that Dean was driving carelessly and too fast and that the McQuillan vehicle was stationary when it was struck by Dean's vehicle. Dean argued that the McQuillan vehicle was reversing when it was struck by Dean and that Dean could have avoided the accident if the McQuillan vehicle had not been reversing. McQuillan testified that he saw a bear cross the road and that he stopped intending to take a picture of the bear. McQuillan testified that he drove his car onto the shoulder and that he felt Dean collide with his car and push it forward. Dean testified that following the accident he said to McQuillan that it was the wrong part of the road to be parked, and that McQuillan said he was not parked, but was backing up and made some reference to bears.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0" w:name="Holdings of Court_26"/>
            <w:bookmarkEnd w:id="220"/>
            <w:r>
              <w:rPr>
                <w:rFonts w:ascii="arial" w:eastAsia="arial" w:hAnsi="arial" w:cs="arial"/>
                <w:color w:val="000000"/>
                <w:sz w:val="20"/>
                <w:lang w:val="en-US" w:eastAsia="en-US" w:bidi="ar-SA"/>
              </w:rPr>
              <w:t>HELD: McQuillan's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Dean was solely liable for the accident. Dean was driving too quickly, at a rate which was both greater than the speed limit and inappropriate for the visibility obstruction arising from the hill. McQuillan's evidence was credible. It was more likely that his vehicle was stationary at the time of the collision than that it was in reverse. The court rejected the allegation that McQuillan was reversing at the time of the collision. The best estimate on the basis of all the evidence was that McQuillan was stopped about 15 to 25 metres east of the crest of the hill when it was struck by Dean and that he was travelling above the speed limit of 50 kilometres per hour at the time of the accident. The McQuillan vehicle was substantially on a light gravel or grass shoulder at the time of the collision and that if any part of it was on the roadway, it was a very small part.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1" w:name="Counsel_32"/>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Action M123619: S. Ferguson.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Action M123619: M.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Action M146439: K. Gardner.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Action M146439: E. Liu.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2" w:name="Judgment_31"/>
      <w:bookmarkEnd w:id="222"/>
      <w:r>
        <w:pict>
          <v:line id="_x0000_s1187" style="position:absolute;z-index:2517944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3" w:name="V. GRAY J. (orally)"/>
            <w:bookmarkEnd w:id="223"/>
            <w:r>
              <w:rPr>
                <w:rFonts w:ascii="arial" w:eastAsia="arial" w:hAnsi="arial" w:cs="arial"/>
                <w:b/>
                <w:color w:val="000000"/>
                <w:sz w:val="30"/>
                <w:lang w:val="en-US" w:eastAsia="en-US" w:bidi="ar-SA"/>
              </w:rPr>
              <w:t>V. GRAY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was a collision on June 11, 2011 between a Dodge Caliber driven by Mr. Dean and a Chevrolet Aveo driven by Mr. McQuillan. Mr. McQuillan's common law spouse, Ms. Hebert, was the owner of the Aveo. Mr. McQuillan sued Mr. Dean, and Mr. Dean sued Mr. McQuillan and Ms. Hebert, for damages arising from the accident. Mr. McQuillan's position is that Mr. Dean was wholly at fault for the accident, while Mr. Dean's position is that Mr. McQuillan was wholly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made the sensible arrangement that the issue of liability in both lawsuits would be heard together at one trial. That trial occupied two and a-half days of evidence and one-half day of argument. I am grateful to all counsel for their very efficient and focussed presentation of the case. I appreciate the high level of cooperation between counsel, including agreement to items like an Agreed Statement of Facts, an opening statement by both sides at the start of the trial, and a witness called out of sequence to set the scene. These steps shortened and focussed the trial for the benefit of all parties. It has also enabled me to give oral reasons for judgment in the afternoon following the closing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on Quarry Road in Coquitlam, B.C. Quarry Road is an unpaved road, the surface of which was generally described as hard packed gravel. The road itself is about five kilometres long, from about the parking lot for the Minnekhada Trail to a quarry. The road is oriented generally northeast and southwest, but most of the evidence simply referred to it as being oriented east and west. The road travels along the border of the park, with the park on the south side, being the right side when eastbound.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Quarry Road is about six metres wide. That is more than enough for two lanes of traffic, meaning one lane going each way. There are no painted lines at the place where the accident occurred. The speed limit is not marked on Quarry Road but the parties agree that it is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Quarry Road has many hills, bends, dips and curves, and there are locations along Quarry Road where visibility is limited when driving around corners and over hills. Local residents such as the two drivers here know that on occasion vehicles will park along the side of Quarry Road and that wildlife is a common sight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about 700 metres northeast of the Minnekhada Trail parking lot at about 6:00 p.m. The road was dry, it was still light out, and visibility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that area there is a rocky shoulder on both sides of the road. The rocky shoulder on the south side, being the right side eastbound, is about one and a-half metres wide. Beyond the rocky shoulder on the south side there is a grassy shoulder which is about two and a-half metres wide. On the north side, being the left side when travelling east, there is a rocky shoulder about 0.8 metres wide and a small grassy shoulder with a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conflicted about the length of the grass on the grassy shoulders at the time of the accident. The available photographs of the accident scene were taken almost two years after the accident and therefore did not capture the height of the grass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drivers lived on Quarry Road at the time of the accident. Both of them had lived on Quarry Road for a number of years before the accident. Both drivers travelled along Quarry Road at least twice on most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common ground that Mr. Dean's Dodge came from behind the Aveo travelling east and that there was contact between the right front part of the Dodge and the left rear part of the Aveo. It is also common ground that the accident occurred shortly after Mr. Dean's Dodge had passed the crest of a hill and was on the downward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differ on these four questions in particular:</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whether the Aveo was reversing or was stopped at the time of the collision.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how far east the Aveo was from the crest of the hill at the point of contact.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how quickly Mr. Dean was driving.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whether the Aveo was on the roadway or on the shoulder or partly on each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McQuillan's position is that Mr. Dean was driving carelessly and too fast and the Aveo was stationary when it was struck by the Dodge. Mr. Dean's position is that the Aveo was reversing when it was struck by the Dodge and that Mr. Dean could have avoided the Aveo if the Aveo had not been reversing.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drivers and Mr. McQuillan's passenger, Ms. Hebert, gave evidence and each side also called the evidence of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say the more about the evidence in the context of each of the questions. I will give some general background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is a case in which the relevant events occurred in a matter of seconds, and the evidence is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McQuillan and Ms. Hebert are common law spouses. Mr. McQuillan was driving Ms. Hebert's Aveo which she had purchased about two weeks before. The Aveo was about two years old at the time of the accident. They were travelling eastbound going home with some fast food for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McQuillan testified that he saw a bear cross the road from his right to his left and that he stopped the Aveo intending to take a picture of the bear. Mr. McQuillan testified that he drove the Aveo onto the shoulder which was on the south side of the road, being on his right side while travelling east. He testified that he drove so that all four wheels of the Aveo were on the grassy shoulder, and that at the time the grass was so short it was almost as though there was no grass there. He testified at trial that he parked about 30 metres (being about 90 feet) east of the crest of the hill, although at examination for discovery Mr. McQuillan estimated that he stopped only about 30 feet from the crest of the hill. Mr. McQuillan explained the difference on the basis that he had returned to the accident site and taken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McQuillan testified that he parallel-parked the Aveo against the shoulder. He said that he did not expect Ms. Hebert to get out of the vehicle and so he was not concerned about leaving room for her to get out of the car. He said that he got out of the Aveo and asked Ms. Hebert for a camera from the glove box, apparently not knowing if one was there because of the fact that the Aveo had been purchased only recently.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McQuillan testified that Ms. Hebert told him there was no camera in the glove box. He testified he heard the sound of a vehicle travelling toward him on the gravel and he got back into the Aveo to let the vehicle pass. Mr. McQuillan testified he got ready to drive, perhaps moving the automatic transmission gearshift from park to drive, which would involve moving it through reverse.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McQuillan testified that he saw Mr. Dean's Dodge pass the crest of the hill, seeing the undercarriage in the mirror and seeing the front wheels three to four inches off the ground. Mr. McQuillan testified that he felt the Dodge collide with the Aveo and push it forward about ten feet. He testified that the Dodge came to rest on its side in the ditch on the north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McQuillan testified that he went to assist the occupants of the Dodge, which turned out to be Mr. Dean and his nine-year-old daughter. Mr. McQuillan testified that he told Ms. Hebert to call 9-1-1. He testified that around the time he heard fire trucks arriving, he drove the Aveo about ten feet further east so that it would be easy for the fire personnel to access the Dodge.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McQuillan testified that Mr. Dean said, "That was not a good place to park," and that Mr. McQuillan responded, "I was pulled over to the side and you hit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Hebert testified that she thought the Aveo was parked about five car lengths from the hill crest, which would be about 75 feet east. I will say more about her evidence with respect to each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Dean testified that he was driving at the speed limit of 50 kilometres per hour. He testified that he came over the crest of the hill, saw the Aveo and could not tell if it was moving, that he swerved left and ended up in the ditch. He estimated that the Aveo was about 20 feet from the crest of the hill. At the examination for discovery, he testified that he thought the Aveo was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Dean testified that following the accident he said to Mr. McQuillan that it was the wrong part of the road to be parked, and that Mr. McQuillan said he was not parked, but was backing up and made some reference to bears.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appeared at the trial that Mr. McQuillan, Ms. Hebert, and Mr. Dean all tried to give their honest recollection of what occurred. I expect witnesses to have trouble recalling exactly what occurred during an event which lasted only a matter of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also recognize the difficulty for these witnesses in estimating distances and in orienting themselves to two-dimensional photographs of the hilly accident location and in orienting themselves on a roadway which does not have landmarks on it like buildings or traffic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Those three witnesses also had different manners of expressing themselves and they were not always clear. Overall, I found the three of them to be credible and in my view, the real issue was the reliability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Both sides called expert evidence from accident reconstruction engineers. Coincidently, both engineers have the same last name so I will refer to them by their full names. Mr. Robin Brown testified at the request of Mr. McQuillan, and Mr. Craig Brown testified at the request of Mr. Dean.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Neither expert gave an opinion about the speed of the vehicles at or prior to impact. The experts were generally in agreement about the perception and the response time, swerve calculations and site visibility. The experts differed in their opinions about whether the Aveo was in reverse at the time of the accident and on their calculations of braking distances. The basis of their differences on braking distance calculation was their estimate of the applicable coefficient of friction for the road surface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Craig Brown concluded that the transmission of the Aveo was in reverse at impact or immediately before impact. He came to that conclusion on the basis of the condition of the filament in the Aveo's left rear backup light. In Craig Brown's opinion, the condition of the filament indicated hot shock, meaning that the filament was lit at the time that the Aveo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Robin Brown's evidence included evidence about site visibility and braking and swerving times. In his opinion, the condition of the filament in the Aveo's backup bulb was likely age sag or distortion from repeated cycling during the two years of use. In Robin Brown's opinion, the condition of the filament was not consistent with hot shock and Craig Brown's conclusion that the Aveo's transmission was in reverse at or immediately before impact is not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Craig Brown also provided a reply opinion that included the opinion that if the Aveo was 15 to 35 metres past the crest of the hill in question, Mr. Dean could have stopped before impact if he were travelling 50 kilometres per hour but not if he were travelling 60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first consider the question of whether the Aveo was reversing at the time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McQuillan and Ms. Hebert say that the Aveo was not reversing at that time. As I said, Mr. Dean said at discovery that he thought it was stopped. At trial, Mr. Dean was not sure whether the Aveo was stationary or reversing.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only basis for concluding that the Aveo was reversing was Craig Brown's opinion about the hot shock in the backup bulb and Mr. Dean's recollection that Mr. McQuillan said that the Aveo was not parking but was backing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Craig Brown's opinion was based on the examination of the Aveo bulb which had been removed from the Aveo about a week after the accident and provided to Craig Brown about two years later. Craig Brown compared that bulb to a newly purchased bulb which Craig Brown agreed was not likely manufactured in the same country, let alone the same plant. His opinion was based on some testing his firm did about 20 years ago. The testing has not been subjected to peer review or become part of accepted accident reconstruction science. I note that the testing in question referred to eight lamp impact tests which is not a large number of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best, Craig Brown's opinion supports the conclusion that the Aveo was in reverse gear because that is when the light would be on. It does not demonstrate that the Aveo was moving while in reverse gear or established whether it was in reverse gear for a fraction of a second, as it might have been while changing gears, or for a long period, such as if it was driven for a distance in reverse.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McQuillan's evidence made sense. He appeared to have a genuine concern about safety in stopping on Quarry Road and in particular near hills and curves. As a frequent traveller down Quarry Road who often saw wildlife, including bears, he would not likely be so desperate to photograph a bear that he would risk reversing uphill to a blind crest in order to obtain a photograph. It is more likely that the Aveo was stationary at the time of collision than that it was in reverse. I reject the allegation that the Aveo was reversing at the time of the collision. It is unlikely that Mr. McQuillan would have said following the accident that he was backing up and I expect that Mr. Dean is simply mixed up in that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next consider how far the Aveo was from the crest of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Dean's evidence was that he saw the Aveo only very briefly before the collision. He went to the accident site almost two years following the accident and estimated that the Aveo was about 20 feet east of the crest of the hill. I do not expect that his recollection of the location in comparison with the crest of the hill is particularly reliable because of the short period he had to make observations, the nature of the terrain and the absence of landmarks.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Based on the expert evidence, the Aveo would have been visible more than 75 metres away if it had been stopped about 20 feet from the crest of the hill and if that were so, Mr. Dean would have had plenty of time to stop, assuming he was watching where he was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reject the evidence that the Aveo was that close to the crest of the hill. Mr. McQuillan's evidence at trial was that the Aveo was about 30 metres east of the road crest. As I have said he at estimated 30 feet at examination for discovery but said that after making some measurements following the accident, he thought it was 30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note that in Craig Brown's report, he refers to making a site visit and noting that there was a widened grassy area located about 15 to 25 metres past the crest of the hill. It would make sense for Mr. McQuillan to have parked in that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Craig Brown's evidence that if the Aveo were 50 metres east of the crest of the hill, the Aveo would have been visible to Mr. Dean 50 metres away and that if the Aveo were 25 metres east of the crest of the hill, the Aveo would have been visible to Mr. Dean 43.1 metres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Robin Brown estimated that at 50 kilometres per hour, the total time to perceive the hazard and to brake to a stop would be about 32 metres. Craig Brown's estimate was 39.9 metres. Both of those estimates are within the visibility distance of 43.1 to 50 metres applicable to the Aveo being 15 to 25 metres east of the crest of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experts were not able to estimate the speed of the vehicles. Both Mr. McQuillan and Ms. Hebert only saw the Dodge for a matter of seconds before the collision and I do not consider that they were in a position to reliably estimate speed. Mr. McQuillan made some of his comments about speed based on the sound of the vehicle on the gravel but that is not a reliable basis for estimating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Dean testified that he was driving at 50 kilometres an hour, saying that he looked at his speedometer from time to time although not precisely in the period between seeing the Aveo and hitting the Aveo.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Dean testified at examination for discovery that he assumed the speed limit was in the range of 50 or 70 kilometres per hour, but did not know for certain what it was. As I have said, it was 50 kilometres an hour. What I infer from the whole of Mr. Dean's evidence is that he thought he was travelling around the speed limit, but he is not entirely sure what his speed was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Howard objected on behalf of Mr. Dean that Mr. McQuillan's counsel ought to have clearly indicated in cross-examination that Mr. Dean's evidence about his speed was in question. Mr. Howard referred to the case of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(1894), 6 R. 67 (H.L.) to the effect that it is a principle of fairness that a witness ought to have an opportunity to explain evidence that will be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the questions in cross-examination referring to Mr. Dean's uncertainty about the speed limit were adequate to alert Mr. Dean to the issue that there was a question about the speed at which he was travelling, particularly in the context of the specific allegations in the pleadings that Mr. Dean was speeding, and in the context of the questions about the difficulty in seeing what was on the downward side of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probably would have been better if Mr. Dean had been directly challenged about the speed at which he was travelling. However, in my view, Mr. Dean had an adequate opportunity to address the evidence about the speed of his vehicle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best estimate I can give on the basis of all the evidence is that the Aveo was stopped about 15 to 25 metres east of the crest of the hill when it was struck by the Dodge. The best estimate I can give on the basis of all the evidence is that the Dodge was travelling above the speed limit of 50 kilometres per hour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Mr. McQuillan concedes that if he were stopped on the roadway, he would have been in breach of s. 187(1)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Mr. McQuillan's position is that even if he were stopped on the roadway, he would not have been responsible for the accident because Mr. Dean ought to have been able to stop in time to avoid the Aveo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Both Mr. McQuillan and Ms. Hebert testified that the Aveo was on the shoulder or substantially on the shoulder at the time of the collision. There was some discrepancy about the length of the grass and whether it was on the grassy part of the shoulder or the rocky part of the shoulder and how much on each part of the shoulder. Mr. Dean's evidence was that the Aveo was right in front of him, suggesting that it was in the south half of the roadway, being essentially the lane which would be used by eastbound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McQuillan appeared at trial to be a careful driver who was concerned about the risks on Quarry Road. He testified that he pulled over as far as he reasonably could onto the right shoulder and that he was waiting for the car he heard to pass before he was going to pull out. Mr. McQuillan referred to the fact that he did not expect Ms. Hebert to get out of the car and so he could go quite far to his right on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circumstances, it is reasonable that Mr. McQuillan would have pulled onto the shoulder. Again, the sight of a bear was not so unusual that Mr. McQuillan would likely have taken dangerous steps to take a photograph. He could safely pull the Aveo onto the shoulder which was reasonably wide in the area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conclude that the Aveo was substantially on a light gravel or grass shoulder at the time of the collision and that if any part of it was on the roadway, it was a very small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a result, I conclude that Mr. McQuillan was not negligent at the time of the collision. I conclude that Mr. Dean was driving too quickly, at a rate which was both greater than the speed limit and inappropriate for the visibility obstruction arising from the hill. I conclude that Mr. Dean is entirely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So, counsel, is there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FERGUSON:</w:t>
      </w:r>
      <w:r>
        <w:rPr>
          <w:rFonts w:ascii="arial" w:eastAsia="arial" w:hAnsi="arial" w:cs="arial"/>
          <w:color w:val="000000"/>
          <w:sz w:val="20"/>
          <w:lang w:val="en-US" w:eastAsia="en-US" w:bidi="ar-SA"/>
        </w:rPr>
        <w:t xml:space="preserve"> My Lady, just with respect to costs. There may be some different issues given the two actions. At least in one of the actions there was a formal offer exchanged on the issue of liability only, so perhaps it would be more appropriate to reserve the right to appear back before Your Ladyship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All right. What do you say about that, Mr. Howard? Are you content to have liberty to appear back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HOWARD:</w:t>
      </w:r>
      <w:r>
        <w:rPr>
          <w:rFonts w:ascii="arial" w:eastAsia="arial" w:hAnsi="arial" w:cs="arial"/>
          <w:color w:val="000000"/>
          <w:sz w:val="20"/>
          <w:lang w:val="en-US" w:eastAsia="en-US" w:bidi="ar-SA"/>
        </w:rPr>
        <w:t xml:space="preserv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Okay. Well, that is fine. If that is what counsel think is appropriate, I will do that. You have liberty to apply in front of me. Hopefully I will not need all of this material to decide the issue of costs. Thank you again, counsel. This case was a model of a well-run trial.</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Noddle v. Canada (Deputy Attorney General), [2016] B.C.J. No. 693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S161690, 16 0789, 12662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 Victoria, Rossland</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693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607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Darren Ross Noddle, Plaintiff, and Deputy Attorney General of Canada, Minister of Justice and Attorney General of British Columbia et al, Defendants And between Darren Ross Noddle, Plaintiff, and The Ministry of Justice and The Attorney General of British Columbia, Suzanne Anton et al, Defendants And between Darren Ross Noddle, Plaintiff, and The Attorney General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9"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4" w:name="Keywords_33"/>
      <w:bookmarkEnd w:id="224"/>
      <w:r>
        <w:rPr>
          <w:rFonts w:ascii="arial" w:eastAsia="arial" w:hAnsi="arial" w:cs="arial"/>
          <w:b/>
          <w:color w:val="000000"/>
          <w:sz w:val="20"/>
          <w:lang w:val="en-US" w:eastAsia="en-US" w:bidi="ar-SA"/>
        </w:rPr>
        <w:t>Civil litigation — Civil procedure — Pleadings --Striking out pleadings or allegations — Grounds — Failure to disclose a cause of action or defence — Application by the defendant Attorney General and the police officers for dismissal of the three actions allowed — Actions sought damages for plaintiff's conviction for crimnal harassment — Impossible to discern allegations of discrete events that would give rise to a cause or causes of action against any of the persons or entities named — Several of the entities named simply could not be subject to such claims.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5" w:name="Case Summary_31"/>
            <w:bookmarkEnd w:id="2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Attorney General and the police officers for dismissal of the three actions against them. The action brought solely against the Attorney General claimed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malicious prosecution and malpractice. These actions arose from a criminal proceeding in which the plaintiff was convicted of harassment and of several breaches of recognizance. As a result, the plaintiff sued the complainant, the Attorney General, the court officers and police officers involved in the matter.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6" w:name="Holdings of Court_27"/>
            <w:bookmarkEnd w:id="22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nothing set out in the claim against the Attorney General that could give rise to a cause of action. In the other actions, it was impossible to discern allegations of discrete events that would give rise to a cause or causes of action against any of the persons or entities named. Several of the entities named simply could not be subject to such claims. There were no material facts pleaded to support claims made against probation officers. The allegations involving the complainant in the criminal harassment claim were not grounded in material facts.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7" w:name="Legislation Cited_26"/>
      <w:bookmarkEnd w:id="2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0"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Attorney General Act, </w:t>
      </w:r>
      <w:hyperlink r:id="rId543" w:history="1">
        <w:r>
          <w:rPr>
            <w:rFonts w:ascii="arial" w:eastAsia="arial" w:hAnsi="arial" w:cs="arial"/>
            <w:i/>
            <w:color w:val="0077CC"/>
            <w:sz w:val="20"/>
            <w:u w:val="single"/>
            <w:shd w:val="clear" w:color="auto" w:fill="FFFFFF"/>
            <w:lang w:val="en-US" w:eastAsia="en-US" w:bidi="ar-SA"/>
          </w:rPr>
          <w:t>R.S.B.C. 1996, c. 22,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8" w:name="Counsel_33"/>
      <w:bookmarkEnd w:id="2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Attorney General of Canada: C. Hook.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British Columbia: T. Callan, S. Lacusta.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Jamie McCrae and Frank Elsner: D. Butcher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9" w:name="Judgment_32"/>
      <w:bookmarkEnd w:id="229"/>
      <w:r>
        <w:pict>
          <v:line id="_x0000_s1192"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0" w:name="T.M. McEWAN J."/>
            <w:bookmarkEnd w:id="230"/>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Attorney General of British Columbia, the Attorney General of Canada, and counsel for the defendants, Jamie McRae and Frank Elsner, join in seeking orders that the claims raised in three actions commenced by the plaintiff in the Supreme Court of British Columbia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Attorney General of British Columbia claims standing to seek to have the three actions struck out on the basis of s. 2 of the </w:t>
      </w:r>
      <w:r>
        <w:rPr>
          <w:rFonts w:ascii="arial" w:eastAsia="arial" w:hAnsi="arial" w:cs="arial"/>
          <w:i/>
          <w:color w:val="000000"/>
          <w:sz w:val="20"/>
          <w:lang w:val="en-US" w:eastAsia="en-US" w:bidi="ar-SA"/>
        </w:rPr>
        <w:t>Attorney General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w:t>
      </w:r>
      <w:r>
        <w:rPr>
          <w:rFonts w:ascii="arial" w:eastAsia="arial" w:hAnsi="arial" w:cs="arial"/>
          <w:color w:val="000000"/>
          <w:sz w:val="20"/>
          <w:lang w:val="en-US" w:eastAsia="en-US" w:bidi="ar-SA"/>
        </w:rPr>
        <w:t>, which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Attorney General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see that the administration of public affairs is in accordance with law,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superintend all matters connected with the administration of justice in British Columbia that are not within the jurisdiction of the government of Canada,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Montgomery v. Makhdoom</w:t>
      </w:r>
      <w:r>
        <w:rPr>
          <w:rFonts w:ascii="arial" w:eastAsia="arial" w:hAnsi="arial" w:cs="arial"/>
          <w:color w:val="000000"/>
          <w:sz w:val="20"/>
          <w:lang w:val="en-US" w:eastAsia="en-US" w:bidi="ar-SA"/>
        </w:rPr>
        <w:t>, (21 April 2015), Vancouver S152570 (S.C.), Silverman J. observed, in a case against a judicial justice of the peace and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 am satisfied that, from the foregoing, the Attorney General has, by virtue of her responsibility for the sound keeping and well-being of the administration of justice in this province, as well as the sometimes inability for Judges and Courts to directly defend themselves, the necessary standing to make the application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am satisfied that the Attorney General of British Columbia has standing to bring this application. The Attorney General of Canada, similarly, has standing respecting the matters and parties within its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applicable rule is Rule 9-5(1):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9-5(1) At any stage of the proceeding, the court may order to be struck out or amended the whole or any part of a pleading, petition or other document on the ground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Of the three notices of civil claim, the one filed in the Rossland registry on February 5, 2016, solely against the Attorney General and British Columbia, is the least prolix and the most manifestly defective. It should never have been accepted for registration. The statement of facts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Mis-Carriage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Care Wrongful Conviction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Malicious Prosecution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w:t>
      </w:r>
      <w:r>
        <w:rPr>
          <w:rFonts w:ascii="arial" w:eastAsia="arial" w:hAnsi="arial" w:cs="arial"/>
          <w:b/>
          <w:i/>
          <w:color w:val="000000"/>
          <w:sz w:val="20"/>
          <w:u w:val="single"/>
          <w:lang w:val="en-US" w:eastAsia="en-US" w:bidi="ar-SA"/>
        </w:rPr>
        <w:t>Negligence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nothing set out that could give rise to a cause of action. It is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claim commenced in Vancouver is more complex and name the Attorneys General of all the provinces and territories of Canada along with two judges, the police officers McCrae and Elsner and several other people. The claim was filed on February 19, 2016 and is in substantially the same form as the Rossland claim, except that it has a lengthy addendum full of assertions of misconduct against a long list of people in various official and other capacities. The claim filed in Victoria is similar in nature. The differences are not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What underlies these allegations is apparently a criminal proceeding in which the plaintiff was convicted of harassment of one Andrea McEachren, and of several breaches of recognizance. In the course of his reasons, the trial judge characterized some of the communications contributing to the harassment complaint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obsessive, unpredictable, and irrational state of mind that is revealed by these various communications, in my view, would, on an objective basis, cause Ms. McEachren to be fearful, and she was. To that extent, I accept that both the objective and subjective tests for harassment, or at least to assess the state of mind of the complainant, are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conviction appears to have precipitated the cascade of allegations in the pleadings which implicate crown counsel, members of the Victoria and Saanich police departments, a probation officer, the provincial court judge who convicted him, a Court of Appeal judge who failed to appoint counsel for his appeal, and others in a series of claims that allege that Mr. Noddle's physical and mental health have been impaired by their actions. The relief sought in each case includes: exoneration of his criminal record; five million dollars; health care coverage worldwide; punitive damages; and a misconduct review for every case handled by a particular crown counsel and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pleadings go on at great length, but it is impossible to discern statements of fact -- that is allegations of discrete events -- that would give rise to a cause or causes of action against any of the persons or entities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Several of the entities named simply cannot be subject to such claims. It is a well-established principle that no action may be maintained in relation to acts or omissions of a judge in the performance of his or her judicial duties (see: </w:t>
      </w:r>
      <w:r>
        <w:rPr>
          <w:rFonts w:ascii="arial" w:eastAsia="arial" w:hAnsi="arial" w:cs="arial"/>
          <w:i/>
          <w:color w:val="000000"/>
          <w:sz w:val="20"/>
          <w:lang w:val="en-US" w:eastAsia="en-US" w:bidi="ar-SA"/>
        </w:rPr>
        <w:t>Canada v. Rudolf</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2010 BCSC 565</w:t>
        </w:r>
      </w:hyperlink>
      <w:r>
        <w:rPr>
          <w:rFonts w:ascii="arial" w:eastAsia="arial" w:hAnsi="arial" w:cs="arial"/>
          <w:color w:val="000000"/>
          <w:sz w:val="20"/>
          <w:lang w:val="en-US" w:eastAsia="en-US" w:bidi="ar-SA"/>
        </w:rPr>
        <w:t xml:space="preserve">). This immunity applies to all levels of court (see: </w:t>
      </w:r>
      <w:r>
        <w:rPr>
          <w:rFonts w:ascii="arial" w:eastAsia="arial" w:hAnsi="arial" w:cs="arial"/>
          <w:i/>
          <w:color w:val="000000"/>
          <w:sz w:val="20"/>
          <w:lang w:val="en-US" w:eastAsia="en-US" w:bidi="ar-SA"/>
        </w:rPr>
        <w:t>Morier v. Rivard</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[1985] 2 S.C.R. 716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Crown counsel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To succeed in an action for malicious prosecution, a plaintiff must prove that the prosecution was: (1) initiated by the defendant; (2) terminated in favour of the plaintiff; (3) undertaken without reasonable and probable cause; and (4) motivated by malice or a primary purpose other than that of carrying the law into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No facts have been pleaded which would give rise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are no material facts pleaded to support claims made against probation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no material facts pleaded to support claims made against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Attorneys General in each province are named as vicariously liable for their servants, agents, and employees. There are no material facts pleaded which would support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Lastly, the allegations involving Andrea McEachren, the complainant in the criminal harassment claim, are not grounded in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What the plaintiff appears to have done is to strike out in every conceivable direction at every person who has had anything to do with him in the course of his dealings with the criminal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claims are clearly intended to vex the parties named, and for that purpose alone, the Notices of Civil Claim are abuses of the courts' process. They disclose no reasonable claim against any of the parties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Attorney General of British Columbia is entitled to the orders sought, namely:</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notices of application to strike the pleadings in Victoria action No. 16 0789 (the "Victoria Action") and Rossland action No. 12662 (the "Rossland Action") be heard together with this application to strike the pleadings in this action, No. S-161690 (the "Vancouver Action") in Vancouver.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Notice of Civil Claim in the Vancouver Action, the Victoria Action and the Rossland Action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Attorney General of Canada and the police officers Jaime McCrae and Frank Elsner shall have the benefit of the same orders, to which they have consented, to the extent of the interests of the parties they represent.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shall be enjoined throughout British Columbia from filing any proceedings in the Supreme Court of British Columbia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is liable to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Paterson v. Langley Memorial Hospital, 2006 CHFL para. 15,421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Joyce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September 21, 2004.</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S060372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2004</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2006 CHFL para. 15,421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2004 BCSC 1224</w:t>
        </w:r>
      </w:hyperlink>
    </w:p>
    <w:p>
      <w:pPr>
        <w:spacing w:before="120" w:line="260" w:lineRule="atLeast"/>
        <w:rPr>
          <w:lang w:val="en-US" w:eastAsia="en-US" w:bidi="ar-SA"/>
        </w:rPr>
      </w:pPr>
      <w:r>
        <w:rPr>
          <w:rFonts w:ascii="arial" w:eastAsia="arial" w:hAnsi="arial" w:cs="arial"/>
          <w:color w:val="000000"/>
          <w:sz w:val="20"/>
          <w:lang w:val="en-US" w:eastAsia="en-US" w:bidi="ar-SA"/>
        </w:rPr>
        <w:t>Paterson v. Langley Memorial Hospital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4" style="position:absolute;z-index:2516940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1" w:name="Keywords_34"/>
      <w:bookmarkEnd w:id="231"/>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Practice and procedure — Summary dismissal — Vicarious liability — Plaintiff suffered infection after foot put in a cast — Application by treating doctors for summary dismissal denied — Hospital able to bring separate application for summary dismissal.</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2" w:name="Case Summary_32"/>
            <w:bookmarkEnd w:id="232"/>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application for summary dismissal of the plaintiff's action. The plaintiff was treated at the defendant hospital for a foot injury; her foot was put in a cast. Despite two return visits to the hospital complaining of pain, the plaintiff was not diagnosed with a severe infection until her third return visit. She sued the treating doctors and the hospital for her scarring and residual pain. The doctors applied to have the action against them dismissed, but the application was denied since the motions judge found that there were factual issues he could not resolve. The hospital had not taken part in that application, but now brought this application for summary dismissal. The plaintiff argued that the issue was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t>
            </w:r>
            <w:r>
              <w:rPr>
                <w:lang w:val="en-US" w:eastAsia="en-US" w:bidi="ar-SA"/>
              </w:rPr>
              <w:cr/>
            </w:r>
          </w:p>
          <w:p>
            <w:pPr>
              <w:spacing w:before="120" w:line="260" w:lineRule="atLeast"/>
              <w:ind w:left="240"/>
              <w:jc w:val="both"/>
              <w:rPr>
                <w:lang w:val="en-US" w:eastAsia="en-US" w:bidi="ar-SA"/>
              </w:rPr>
            </w:pPr>
            <w:bookmarkStart w:id="233" w:name="Holdings of Court_28"/>
            <w:bookmarkEnd w:id="233"/>
            <w:r>
              <w:rPr>
                <w:rFonts w:ascii="arial" w:eastAsia="arial" w:hAnsi="arial" w:cs="arial"/>
                <w:color w:val="000000"/>
                <w:sz w:val="20"/>
                <w:lang w:val="en-US" w:eastAsia="en-US" w:bidi="ar-SA"/>
              </w:rPr>
              <w:t>HELD: The hospital could bring a separate application for dismissal.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claims against it were separate and distinct from the claims against the doctors and involved separate duties of care. Despite this ruling, the Court did not wish to be seen as encouraging a multiplicity of applications for summary dismissal by separate defendants. In this case, the claim against the defendant hospital was for vicarious liability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 the nurses who attended the plaintiff. There was no evidence that any of these employees had responsibility for disinfecting the plaintiff's foot when there were physicians in attendance, nor that any nurses had been negligent in the information or assistance they provided. The action against the hospital was dismissed.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45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Roberts v. Morgan, [2019] B.C.J. No. 2582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 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M157113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2313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Jackson Roberts in her own right, as Personal Representative of Hugh Craig Roberts, deceased, and as Executrix of the Estate of the said Hugh Craig Roberts, and Colin Hugh Roberts, Plaintiffs, and Richard Graham Morgan, Mercado Capital Corporation, Pat Morgan Contracting Ltd., Patrick Leo Morgan, ABC Company #1, John Doe #1, John Doe #2, John Doe #3, and John Doe #4,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4" w:name="Keywords_35"/>
      <w:bookmarkEnd w:id="234"/>
      <w:r>
        <w:rPr>
          <w:rFonts w:ascii="arial" w:eastAsia="arial" w:hAnsi="arial" w:cs="arial"/>
          <w:b/>
          <w:color w:val="000000"/>
          <w:sz w:val="20"/>
          <w:lang w:val="en-US" w:eastAsia="en-US" w:bidi="ar-SA"/>
        </w:rPr>
        <w:t>Damages — Fatal injuries — Third party claim — Spouse — Recoverable losses — Loss of care and guidance — Loss of companionship or consortium — A surviving spouse was not entitled to claim damages for loss of love, care, guidance, and companionship under the Family Compensation Act — The decisions of the BC Court of Appeal in Bianco Estate and Zeleniski Estate directed that damages for love and companionship were not available under the BC Family Compensation Act as a matter of law.</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Dependants' relief legislation — A surviving spouse was not entitled to claim damages for loss of love, care, guidance, and companionship under the Family Compensation Act — The decisions of the BC Court of Appeal in Bianco Estate and Zeleniski Estate directed that damages for love and companionship were not available under the BC Family Compensation Act as a matter of law.</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5" w:name="Case Summary_33"/>
            <w:bookmarkEnd w:id="2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the wife's entitlement to claim damages for loss of love, care, guidance, and companionship under the Family Compensation Act. Her husband was killed in a motor vehicle accident. At the time of his death, she was 68 and had been married for 28 years. There was no evidence that she fell within the exceptional category of case in which a surviving spouse was unusually reliant on the deceased spouse so as to warrant an award for loss of care and guidance. The wife argued that the law permitted a claim for loss of love, care, guidance, and companionship by a surviving spouse to be advanced and that its evidentiary merit was a matter for the jury. The defendants argued that the claim was not one permitted under the Family Compensation Act as a matter of law and that the jury should not be instructed on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6" w:name="Holdings of Court_29"/>
            <w:bookmarkEnd w:id="236"/>
            <w:r>
              <w:rPr>
                <w:rFonts w:ascii="arial" w:eastAsia="arial" w:hAnsi="arial" w:cs="arial"/>
                <w:color w:val="000000"/>
                <w:sz w:val="20"/>
                <w:lang w:val="en-US" w:eastAsia="en-US" w:bidi="ar-SA"/>
              </w:rPr>
              <w:t>HELD: The wife was not entitled to claim damages for loss of love, care, guidance, and companionship.</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light of the current state of the law as set out by the Court of Appeal, it was not proper to instruct the jury in this case that the wife could recover damages for loss of love, guidance, care, and companionship, as requested by plaintiff's counsel. The decisions of the BC Court of Appeal in Bianco Estate and Zeleniski Estate directed that damages for love and companionship were not available under the BC Family Compensation Act as a matter of law. Any change to the law would require a legislative amendment or a reconsideration of this issue by the BC Court of Appeal. Leaving a claim for loss of love, guidance, care, and companionship with the jury would lead to confusion as the jury would be instructed to award only pecuniary damages, while also instructed to consider heads of damages that appeared largely non-pecuniary in nature.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7" w:name="Legislation Cited_27"/>
      <w:bookmarkEnd w:id="2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hyperlink r:id="rId562" w:history="1">
        <w:r>
          <w:rPr>
            <w:rFonts w:ascii="arial" w:eastAsia="arial" w:hAnsi="arial" w:cs="arial"/>
            <w:i/>
            <w:color w:val="0077CC"/>
            <w:sz w:val="20"/>
            <w:u w:val="single"/>
            <w:shd w:val="clear" w:color="auto" w:fill="FFFFFF"/>
            <w:lang w:val="en-US" w:eastAsia="en-US" w:bidi="ar-SA"/>
          </w:rPr>
          <w:t>R.S.B.C. 1996, c. 126,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Law Act, </w:t>
      </w:r>
      <w:hyperlink r:id="rId563" w:history="1">
        <w:r>
          <w:rPr>
            <w:rFonts w:ascii="arial" w:eastAsia="arial" w:hAnsi="arial" w:cs="arial"/>
            <w:i/>
            <w:color w:val="0077CC"/>
            <w:sz w:val="20"/>
            <w:u w:val="single"/>
            <w:shd w:val="clear" w:color="auto" w:fill="FFFFFF"/>
            <w:lang w:val="en-US" w:eastAsia="en-US" w:bidi="ar-SA"/>
          </w:rPr>
          <w:t>R.S.O. 1990, c. F.3, s. 61</w:t>
        </w:r>
      </w:hyperlink>
      <w:r>
        <w:rPr>
          <w:rFonts w:ascii="arial" w:eastAsia="arial" w:hAnsi="arial" w:cs="arial"/>
          <w:color w:val="000000"/>
          <w:sz w:val="20"/>
          <w:lang w:val="en-US" w:eastAsia="en-US" w:bidi="ar-SA"/>
        </w:rPr>
        <w:t>(2)(e)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8" w:name="Counsel_34"/>
      <w:bookmarkEnd w:id="2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V.L. Hartney, N.J. Hartney.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Richard Morgan and Mercado Capital Corporation: L.J. Mackoff, H.K. Rai.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9" w:name="Judgment_33"/>
      <w:bookmarkEnd w:id="239"/>
      <w:r>
        <w:pict>
          <v:line id="_x0000_s1199"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on Jury Charge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0" w:name="K. HORSMAN J. (orally)"/>
            <w:bookmarkEnd w:id="240"/>
            <w:r>
              <w:rPr>
                <w:rFonts w:ascii="arial" w:eastAsia="arial" w:hAnsi="arial" w:cs="arial"/>
                <w:b/>
                <w:color w:val="000000"/>
                <w:sz w:val="30"/>
                <w:lang w:val="en-US" w:eastAsia="en-US" w:bidi="ar-SA"/>
              </w:rPr>
              <w:t>K. HORSMAN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ruling addresses a dispute that has arisen between the parties as to the scope of damages that may be claimed as a matter of law in an action under British Columbia's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Mary Roberts and Colin Roberts, are the surviving spouse and son respectively of Hugh Roberts, who was killed in a motor vehicle accident in October of 2013. Given that the parties share the same last name, I will use their first names in this ruling for ease of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Hugh was 65 years old at the time of the accident. He was riding a motorcycle along Highway 99 near Whistler when a logging truck driving in the opposite direction by the defendant, Richard Morgan, rolled over causing a load of logs to spill onto the highway, striking Hugh. The defendants have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Hugh's death, Mary was 68 years old and their only child, Colin, was 25. Mary and Hugh had been married for 28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this action, Mary seeks damages for loss of financial support from Hugh and loss of household services. Colin seeks damages for loss of care, education, training, and guidance. The availability of these heads of damages as a matter of law is not in dispute. The defendants concede that such claims are claims for pecuniary damages and thus permitted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dispute between the parties is whether Mary can, as a matter of law, additionally claim damages as a surviving spouse for what plaintiff's counsel referred to as "loss of love, care, guidance, and companionship". The plaintiff argues that the law permits such a claim by a surviving spouse to be advanced and that its evidentiary merit is a matter for the jury. The defendants argue that the claim is not one permitted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as a matter of law, and for this reason the jury should not be instructed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under the Family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will begin with a review of the conceptual foundation for claims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common law, there is no right of action for surviving family members in cases of wrongful death.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overcomes the common law bar by creating a statutory right of action for the recovery of damages by a deceased surviving spouse, parents, and children. Section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If the death of a person is caused by wrongful act, neglect or default, and the act, neglect or default is such as would, if death had not resulted, have entitled the party injured to maintain an action and recover damages for it, any person, partnership or corporation which would have been liable if death had not resulted is liable in an action for damages, despite the death of the person injured, and although the death has been caused under circumstances that amount in law to an indictable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Although this provision speaks of "damages" and is silent on the nature and extent of compensation that can be awarded, it is well established in the jurisprudence that damages can be awarded for pecuniary loss only. As a matter of judicial interpretation, recovery under British Columbia's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is limited to the actual or expected loss of pecuniary benefits arising from the relationship that would have continued if the wrongful death had not occurred. Put another way, the purpose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put claimants in the economic position they would have been in but for the wrongful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Keizer v. Hanna</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[1978] 2 S.C.R. 342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Keizer</w:t>
      </w:r>
      <w:r>
        <w:rPr>
          <w:rFonts w:ascii="arial" w:eastAsia="arial" w:hAnsi="arial" w:cs="arial"/>
          <w:color w:val="000000"/>
          <w:sz w:val="20"/>
          <w:lang w:val="en-US" w:eastAsia="en-US" w:bidi="ar-SA"/>
        </w:rPr>
        <w:t xml:space="preserve">] at page 352, Justice Dickson, as he then was, stated that the award in a fatal accident claim should provide "a monthly sum at least equal to that which might reasonably have been expected during the continued life of the deceased." As observed in </w:t>
      </w:r>
      <w:r>
        <w:rPr>
          <w:rFonts w:ascii="arial" w:eastAsia="arial" w:hAnsi="arial" w:cs="arial"/>
          <w:i/>
          <w:color w:val="000000"/>
          <w:sz w:val="20"/>
          <w:lang w:val="en-US" w:eastAsia="en-US" w:bidi="ar-SA"/>
        </w:rPr>
        <w:t>Keizer</w:t>
      </w:r>
      <w:r>
        <w:rPr>
          <w:rFonts w:ascii="arial" w:eastAsia="arial" w:hAnsi="arial" w:cs="arial"/>
          <w:color w:val="000000"/>
          <w:sz w:val="20"/>
          <w:lang w:val="en-US" w:eastAsia="en-US" w:bidi="ar-SA"/>
        </w:rPr>
        <w:t xml:space="preserve"> at page 352, an assessment must be neither punitive nor influenced by sentimentality; it is largely an exercise of business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loss of financial support occasioned by the death of a family member, which is also referred to as loss of dependency, is a claim commonly advanced in fatal accident cases. The pecuniary nature of such a claim is self-evident.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 Lawrence &amp; Ottawa Railway Company v. Lett</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(1885), 11 S.C.R. 422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Lett</w:t>
      </w:r>
      <w:r>
        <w:rPr>
          <w:rFonts w:ascii="arial" w:eastAsia="arial" w:hAnsi="arial" w:cs="arial"/>
          <w:color w:val="000000"/>
          <w:sz w:val="20"/>
          <w:lang w:val="en-US" w:eastAsia="en-US" w:bidi="ar-SA"/>
        </w:rPr>
        <w:t>], the Supreme Court of Canada recognized two further heads of damages in fatal accident claims: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by a surviving spouse for loss of household services;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by surviving dependant children for loss of a parent's education and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in </w:t>
      </w:r>
      <w:r>
        <w:rPr>
          <w:rFonts w:ascii="arial" w:eastAsia="arial" w:hAnsi="arial" w:cs="arial"/>
          <w:i/>
          <w:color w:val="000000"/>
          <w:sz w:val="20"/>
          <w:lang w:val="en-US" w:eastAsia="en-US" w:bidi="ar-SA"/>
        </w:rPr>
        <w:t>Lett</w:t>
      </w:r>
      <w:r>
        <w:rPr>
          <w:rFonts w:ascii="arial" w:eastAsia="arial" w:hAnsi="arial" w:cs="arial"/>
          <w:color w:val="000000"/>
          <w:sz w:val="20"/>
          <w:lang w:val="en-US" w:eastAsia="en-US" w:bidi="ar-SA"/>
        </w:rPr>
        <w:t xml:space="preserve"> were the husband and dependant children of a woman who was killed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employees of the defendant railway company. The deceased did not work outside the home, but the evidence indicated that she had "managed the whole business of the house" and contributed to the education of her children. The issue before the Supreme Court of Canada was whether the loss of such services was of sufficiently pecuniary nature to support an action under fatal accident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majority of the Supreme Court of Canada concluded that such losses were recoverable in a fatal accident case. At page 433, Chief Justice Ritchie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free to admit that the injury must not be sentimental or the damages a mere solatium, but must be capable of a pecuniary estimate; but I cannot think it must necessarily be a loss of so many dollars and cents capable of calculation. The injury must be substantial; the loss, a loss of a substantial pecuniary benefit, and the damages are not to be given to soothe the feelings of the husband or child, but are to be given for the substantial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the facts of </w:t>
      </w:r>
      <w:r>
        <w:rPr>
          <w:rFonts w:ascii="arial" w:eastAsia="arial" w:hAnsi="arial" w:cs="arial"/>
          <w:i/>
          <w:color w:val="000000"/>
          <w:sz w:val="20"/>
          <w:lang w:val="en-US" w:eastAsia="en-US" w:bidi="ar-SA"/>
        </w:rPr>
        <w:t>Lett</w:t>
      </w:r>
      <w:r>
        <w:rPr>
          <w:rFonts w:ascii="arial" w:eastAsia="arial" w:hAnsi="arial" w:cs="arial"/>
          <w:color w:val="000000"/>
          <w:sz w:val="20"/>
          <w:lang w:val="en-US" w:eastAsia="en-US" w:bidi="ar-SA"/>
        </w:rPr>
        <w:t>, the court concluded that there was a pecuniary benefit in the services provided by the deceased to her family. The foundation for the award is explained by Chief Justice Ritchie at page 436: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in this case shows that the husband was receiving benefits and advantages from the services of his wife capable of pecuniary computation, and had such reasonable expectation of pecuniary benefit from the continuance of such services by the continuance of the wife's life as would entitle him to damages under the statute; and, as to the children, I agree with Mr. Justice Armour that there is an education in religion, morals and virtue which, owing to the peculiar confidence inspired by the relationship of mother and child, can be imparted to the children by the mother alone; I think that such education is a benefit and advantage to the child and is capable of being estimated in money, and that the deprivation of a mother's superintendence and care of the children, occasioned by the death of the mother, is a pecuniary loss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Vana v. Tosta</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[1968] S.C.R. 71</w:t>
        </w:r>
      </w:hyperlink>
      <w:r>
        <w:rPr>
          <w:rFonts w:ascii="arial" w:eastAsia="arial" w:hAnsi="arial" w:cs="arial"/>
          <w:color w:val="000000"/>
          <w:sz w:val="20"/>
          <w:lang w:val="en-US" w:eastAsia="en-US" w:bidi="ar-SA"/>
        </w:rPr>
        <w:t>, the Supreme Court of Canada affirmed the availability of an award of loss of care and guidance to a dependant child in a fatal accident case in Canadian law, despite contrary authority from other jurisdictions. Chief Justice Ritchie, dissenting in part on other grounds, reiterated at page 86 that the loss to the children of the care and guidance of their mother is "to be regarded as a loss of a pecuniary nature which is to be assessed as a separate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After </w:t>
      </w:r>
      <w:r>
        <w:rPr>
          <w:rFonts w:ascii="arial" w:eastAsia="arial" w:hAnsi="arial" w:cs="arial"/>
          <w:i/>
          <w:color w:val="000000"/>
          <w:sz w:val="20"/>
          <w:lang w:val="en-US" w:eastAsia="en-US" w:bidi="ar-SA"/>
        </w:rPr>
        <w:t>Lett</w:t>
      </w:r>
      <w:r>
        <w:rPr>
          <w:rFonts w:ascii="arial" w:eastAsia="arial" w:hAnsi="arial" w:cs="arial"/>
          <w:color w:val="000000"/>
          <w:sz w:val="20"/>
          <w:lang w:val="en-US" w:eastAsia="en-US" w:bidi="ar-SA"/>
        </w:rPr>
        <w:t xml:space="preserve">, claims by dependant children for loss of care, education, training, and guidance by a parent have been routinely advanced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In exceptional cases, damages may also be awarded under this head of loss to a surviving spouse who is unusually dependent on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Haczewski v. British Columbia</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2012 BCSC 380</w:t>
        </w:r>
      </w:hyperlink>
      <w:r>
        <w:rPr>
          <w:rFonts w:ascii="arial" w:eastAsia="arial" w:hAnsi="arial" w:cs="arial"/>
          <w:color w:val="000000"/>
          <w:sz w:val="20"/>
          <w:lang w:val="en-US" w:eastAsia="en-US" w:bidi="ar-SA"/>
        </w:rPr>
        <w:t>, is one of the few cases to provide an example of such award. Mr. Justice Grauer awarded $15,000 to a surviving spouse for loss of guidance in circumstances where the claimant had immigrated to Canada from Poland shortly before her husband's death and relied on her husband to facilitate her cultural integration into her new country of residence. Mr. Justice Grauer held at para. 143: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[143] ...In the circumstances of this case, I am satisfied that Paula was reliant upon Albert for guidance beyond the degree normally to be expected of a spouse, given his familiarity with Canadian culture, and her lack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present case, the plaintiff does not argue that Mary relied on Hugh for guidance beyond the degree ordinarily expected of a spouse. What the plaintiff contemplates in the jury charge she requests me to make is an expansion of the current law as it relates to this category of loss. The expansion is not a small one. Plaintiff's counsel fairly concedes that there is nothing to distinguish Mary's circumstances from the circumstances of other spouses in long-term marriages who lose the anticipated companionship of their spouse as the result of a wrongful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expansion is most evident in the inclusion of concepts of "love" and "companionship" in the proposed charge. I will therefore turn to how the current law treats such claims in the context of fatal accident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for loss of love, care and companionship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Although some provinces have enacted express provision in their fatal accident legislation to permit the recovery of damages for loss of "guidance, care, and companionship", British Columbia's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has no such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Bianco Estate v. Fromow</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(1998), 56 B.C.L.R. (3d) 12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Bianco Estate</w:t>
      </w:r>
      <w:r>
        <w:rPr>
          <w:rFonts w:ascii="arial" w:eastAsia="arial" w:hAnsi="arial" w:cs="arial"/>
          <w:color w:val="000000"/>
          <w:sz w:val="20"/>
          <w:lang w:val="en-US" w:eastAsia="en-US" w:bidi="ar-SA"/>
        </w:rPr>
        <w:t xml:space="preserve">], our Court of Appeal held that damages for "love", "affection", and "companionship" are not recoverable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On the issue of the non-recoverability of damages for loss of companionship, then-Chief Justice McEachern, writing for the court, explained at paras. 11 to 12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 . . In my judgment, companionship is not a recoverable head of damages because such damages must necessarily be for the loss of the life of the deceased. This distinction was well identified by Parrett J. in </w:t>
      </w:r>
      <w:r>
        <w:rPr>
          <w:rFonts w:ascii="arial" w:eastAsia="arial" w:hAnsi="arial" w:cs="arial"/>
          <w:i/>
          <w:color w:val="000000"/>
          <w:sz w:val="20"/>
          <w:lang w:val="en-US" w:eastAsia="en-US" w:bidi="ar-SA"/>
        </w:rPr>
        <w:t>Loyie v. Erickson Estate</w:t>
      </w:r>
      <w:r>
        <w:rPr>
          <w:rFonts w:ascii="arial" w:eastAsia="arial" w:hAnsi="arial" w:cs="arial"/>
          <w:color w:val="000000"/>
          <w:sz w:val="20"/>
          <w:lang w:val="en-US" w:eastAsia="en-US" w:bidi="ar-SA"/>
        </w:rPr>
        <w:t xml:space="preserve"> [citation omitted] where that learned judge reviewed the authorities and decided at 37 that "it is the loss of the 'services' of the deceased rather than the loss of the deceased himself which provides the theoretical framework for this type of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 have no doubt that the father has suffered a loss of companionship. I also have no doubt that in some cases a bereaved father might employ a substitute companion and suffer an actual pecuniary loss in that respect. But returning to the question of characterization, I am persuaded that an actual or potential loss of companionship is not a recoverable head of damages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of Appeal applied </w:t>
      </w:r>
      <w:r>
        <w:rPr>
          <w:rFonts w:ascii="arial" w:eastAsia="arial" w:hAnsi="arial" w:cs="arial"/>
          <w:i/>
          <w:color w:val="000000"/>
          <w:sz w:val="20"/>
          <w:lang w:val="en-US" w:eastAsia="en-US" w:bidi="ar-SA"/>
        </w:rPr>
        <w:t>Bianco Estate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Zeleniski Estate v. Fairway</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(1998), 60 B.C.L.R. (3d) 76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Zeleniski Estate</w:t>
      </w:r>
      <w:r>
        <w:rPr>
          <w:rFonts w:ascii="arial" w:eastAsia="arial" w:hAnsi="arial" w:cs="arial"/>
          <w:color w:val="000000"/>
          <w:sz w:val="20"/>
          <w:lang w:val="en-US" w:eastAsia="en-US" w:bidi="ar-SA"/>
        </w:rPr>
        <w:t xml:space="preserve">], a judgment which was released a few months after </w:t>
      </w:r>
      <w:r>
        <w:rPr>
          <w:rFonts w:ascii="arial" w:eastAsia="arial" w:hAnsi="arial" w:cs="arial"/>
          <w:i/>
          <w:color w:val="000000"/>
          <w:sz w:val="20"/>
          <w:lang w:val="en-US" w:eastAsia="en-US" w:bidi="ar-SA"/>
        </w:rPr>
        <w:t>Bianco Estate</w:t>
      </w:r>
      <w:r>
        <w:rPr>
          <w:rFonts w:ascii="arial" w:eastAsia="arial" w:hAnsi="arial" w:cs="arial"/>
          <w:color w:val="000000"/>
          <w:sz w:val="20"/>
          <w:lang w:val="en-US" w:eastAsia="en-US" w:bidi="ar-SA"/>
        </w:rPr>
        <w:t>. The jury had awarded a sum of damages to a surviving parent for "loss of care and companionship" arising from the death of a child. In setting aside this award, the Court of Appeal stated at paras. 45 to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claim for care, guardianship and companionship is normally associated with a young child's loss of a parent, although it is not strictly limited to that class. For instance, in </w:t>
      </w:r>
      <w:r>
        <w:rPr>
          <w:rFonts w:ascii="arial" w:eastAsia="arial" w:hAnsi="arial" w:cs="arial"/>
          <w:i/>
          <w:color w:val="000000"/>
          <w:sz w:val="20"/>
          <w:lang w:val="en-US" w:eastAsia="en-US" w:bidi="ar-SA"/>
        </w:rPr>
        <w:t>Lian v. Money Estate</w:t>
      </w:r>
      <w:r>
        <w:rPr>
          <w:rFonts w:ascii="arial" w:eastAsia="arial" w:hAnsi="arial" w:cs="arial"/>
          <w:color w:val="000000"/>
          <w:sz w:val="20"/>
          <w:lang w:val="en-US" w:eastAsia="en-US" w:bidi="ar-SA"/>
        </w:rPr>
        <w:t xml:space="preserve"> [citation omitted], an immigrant mother was dependent on her daughter for care and guidance in adjusting to the new world. However, that example is an exception that proves the rule, namely, that usually the head of damage compensates for the loss of the unique and usually irreplaceable role of a parent or close relative in nurturing and shaping another's life. In the present case, the dependency went the usual way: the son needed the mother to deal with life's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There was no evidence of loss of care, other than the financial support and household services accounted for separately. Can the award be sustained on loss of companionship?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The jury's confusion reflected in their question to the court was understandable. They were told on the one hand not to give anything for emotional loss but on the other they were instructed that they should compensate the plaintiffs for items that looked like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Zeleniski Estate</w:t>
      </w:r>
      <w:r>
        <w:rPr>
          <w:rFonts w:ascii="arial" w:eastAsia="arial" w:hAnsi="arial" w:cs="arial"/>
          <w:color w:val="000000"/>
          <w:sz w:val="20"/>
          <w:lang w:val="en-US" w:eastAsia="en-US" w:bidi="ar-SA"/>
        </w:rPr>
        <w:t xml:space="preserve"> then applied </w:t>
      </w:r>
      <w:r>
        <w:rPr>
          <w:rFonts w:ascii="arial" w:eastAsia="arial" w:hAnsi="arial" w:cs="arial"/>
          <w:i/>
          <w:color w:val="000000"/>
          <w:sz w:val="20"/>
          <w:lang w:val="en-US" w:eastAsia="en-US" w:bidi="ar-SA"/>
        </w:rPr>
        <w:t>Bianco Estate</w:t>
      </w:r>
      <w:r>
        <w:rPr>
          <w:rFonts w:ascii="arial" w:eastAsia="arial" w:hAnsi="arial" w:cs="arial"/>
          <w:color w:val="000000"/>
          <w:sz w:val="20"/>
          <w:lang w:val="en-US" w:eastAsia="en-US" w:bidi="ar-SA"/>
        </w:rPr>
        <w:t xml:space="preserve"> in concluding that the jury award for care and companionship could not be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present case, the plaintiff argues that the decision of our Court of Appeal in </w:t>
      </w:r>
      <w:r>
        <w:rPr>
          <w:rFonts w:ascii="arial" w:eastAsia="arial" w:hAnsi="arial" w:cs="arial"/>
          <w:i/>
          <w:color w:val="000000"/>
          <w:sz w:val="20"/>
          <w:lang w:val="en-US" w:eastAsia="en-US" w:bidi="ar-SA"/>
        </w:rPr>
        <w:t>Bianco Estate</w:t>
      </w:r>
      <w:r>
        <w:rPr>
          <w:rFonts w:ascii="arial" w:eastAsia="arial" w:hAnsi="arial" w:cs="arial"/>
          <w:color w:val="000000"/>
          <w:sz w:val="20"/>
          <w:lang w:val="en-US" w:eastAsia="en-US" w:bidi="ar-SA"/>
        </w:rPr>
        <w:t xml:space="preserve"> was implicitly overruled by the Supreme Court of Canada in </w:t>
      </w:r>
      <w:r>
        <w:rPr>
          <w:rFonts w:ascii="arial" w:eastAsia="arial" w:hAnsi="arial" w:cs="arial"/>
          <w:i/>
          <w:color w:val="000000"/>
          <w:sz w:val="20"/>
          <w:lang w:val="en-US" w:eastAsia="en-US" w:bidi="ar-SA"/>
        </w:rPr>
        <w:t>Ordon Estate v. Grail</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[1998] 3 S.C.R. 437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Ordon Estate</w:t>
      </w:r>
      <w:r>
        <w:rPr>
          <w:rFonts w:ascii="arial" w:eastAsia="arial" w:hAnsi="arial" w:cs="arial"/>
          <w:color w:val="000000"/>
          <w:sz w:val="20"/>
          <w:lang w:val="en-US" w:eastAsia="en-US" w:bidi="ar-SA"/>
        </w:rPr>
        <w:t xml:space="preserve">]. The primary issue in </w:t>
      </w:r>
      <w:r>
        <w:rPr>
          <w:rFonts w:ascii="arial" w:eastAsia="arial" w:hAnsi="arial" w:cs="arial"/>
          <w:i/>
          <w:color w:val="000000"/>
          <w:sz w:val="20"/>
          <w:lang w:val="en-US" w:eastAsia="en-US" w:bidi="ar-SA"/>
        </w:rPr>
        <w:t>Ordon Estate</w:t>
      </w:r>
      <w:r>
        <w:rPr>
          <w:rFonts w:ascii="arial" w:eastAsia="arial" w:hAnsi="arial" w:cs="arial"/>
          <w:color w:val="000000"/>
          <w:sz w:val="20"/>
          <w:lang w:val="en-US" w:eastAsia="en-US" w:bidi="ar-SA"/>
        </w:rPr>
        <w:t xml:space="preserve"> was whether provincial fatal accident legislation could constitutionally apply to a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light of exclusive federal jurisdiction over navigation and shipping under s. 91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specific provincial legislation in issue in </w:t>
      </w:r>
      <w:r>
        <w:rPr>
          <w:rFonts w:ascii="arial" w:eastAsia="arial" w:hAnsi="arial" w:cs="arial"/>
          <w:i/>
          <w:color w:val="000000"/>
          <w:sz w:val="20"/>
          <w:lang w:val="en-US" w:eastAsia="en-US" w:bidi="ar-SA"/>
        </w:rPr>
        <w:t>Ordon Estate</w:t>
      </w:r>
      <w:r>
        <w:rPr>
          <w:rFonts w:ascii="arial" w:eastAsia="arial" w:hAnsi="arial" w:cs="arial"/>
          <w:color w:val="000000"/>
          <w:sz w:val="20"/>
          <w:lang w:val="en-US" w:eastAsia="en-US" w:bidi="ar-SA"/>
        </w:rPr>
        <w:t xml:space="preserve"> was Ontario's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R.S.O. 1990, c. F.3</w:t>
        </w:r>
      </w:hyperlink>
      <w:r>
        <w:rPr>
          <w:rFonts w:ascii="arial" w:eastAsia="arial" w:hAnsi="arial" w:cs="arial"/>
          <w:color w:val="000000"/>
          <w:sz w:val="20"/>
          <w:lang w:val="en-US" w:eastAsia="en-US" w:bidi="ar-SA"/>
        </w:rPr>
        <w:t xml:space="preserve">. Section 61(2)(e) of this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expressly permits the surviving family member of a deceased to recover:</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to compensate for the loss of guidance, care and companionship that the claimant might reasonably have expected to receive from the person if the injury or death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I have noted, the British Columbia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contains no similar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amendment of Ontario's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to include express provision for damages for loss of companionship has been interpreted as an expansion of the pre-existing categories of recovery: see </w:t>
      </w:r>
      <w:r>
        <w:rPr>
          <w:rFonts w:ascii="arial" w:eastAsia="arial" w:hAnsi="arial" w:cs="arial"/>
          <w:i/>
          <w:color w:val="000000"/>
          <w:sz w:val="20"/>
          <w:lang w:val="en-US" w:eastAsia="en-US" w:bidi="ar-SA"/>
        </w:rPr>
        <w:t>Mason v. Peters</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(1982), 39 O.R. (2d) 27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Mason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Mason</w:t>
      </w:r>
      <w:r>
        <w:rPr>
          <w:rFonts w:ascii="arial" w:eastAsia="arial" w:hAnsi="arial" w:cs="arial"/>
          <w:color w:val="000000"/>
          <w:sz w:val="20"/>
          <w:lang w:val="en-US" w:eastAsia="en-US" w:bidi="ar-SA"/>
        </w:rPr>
        <w:t xml:space="preserve"> at page 32, the Ontario Court of Appeal noted that loss of companionship has not generally been considered a pecuniary loss for which compensation may be granted under fatal accident legislation. The addition of s. 61(2)(e), originally enacted through legislative reform in 1975, was interpreted in </w:t>
      </w:r>
      <w:r>
        <w:rPr>
          <w:rFonts w:ascii="arial" w:eastAsia="arial" w:hAnsi="arial" w:cs="arial"/>
          <w:i/>
          <w:color w:val="000000"/>
          <w:sz w:val="20"/>
          <w:lang w:val="en-US" w:eastAsia="en-US" w:bidi="ar-SA"/>
        </w:rPr>
        <w:t>Mason</w:t>
      </w:r>
      <w:r>
        <w:rPr>
          <w:rFonts w:ascii="arial" w:eastAsia="arial" w:hAnsi="arial" w:cs="arial"/>
          <w:color w:val="000000"/>
          <w:sz w:val="20"/>
          <w:lang w:val="en-US" w:eastAsia="en-US" w:bidi="ar-SA"/>
        </w:rPr>
        <w:t xml:space="preserve"> to expand the scope of recovery in fatal accident cases to include damages for loss of guidance, care, and companionship which are "essentially non-pecuniary in nature": </w:t>
      </w:r>
      <w:r>
        <w:rPr>
          <w:rFonts w:ascii="arial" w:eastAsia="arial" w:hAnsi="arial" w:cs="arial"/>
          <w:i/>
          <w:color w:val="000000"/>
          <w:sz w:val="20"/>
          <w:lang w:val="en-US" w:eastAsia="en-US" w:bidi="ar-SA"/>
        </w:rPr>
        <w:t>Mason</w:t>
      </w:r>
      <w:r>
        <w:rPr>
          <w:rFonts w:ascii="arial" w:eastAsia="arial" w:hAnsi="arial" w:cs="arial"/>
          <w:color w:val="000000"/>
          <w:sz w:val="20"/>
          <w:lang w:val="en-US" w:eastAsia="en-US" w:bidi="ar-SA"/>
        </w:rPr>
        <w:t xml:space="preserve"> at pages 37 to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is true that the Supreme Court of Canada in </w:t>
      </w:r>
      <w:r>
        <w:rPr>
          <w:rFonts w:ascii="arial" w:eastAsia="arial" w:hAnsi="arial" w:cs="arial"/>
          <w:i/>
          <w:color w:val="000000"/>
          <w:sz w:val="20"/>
          <w:lang w:val="en-US" w:eastAsia="en-US" w:bidi="ar-SA"/>
        </w:rPr>
        <w:t>Ordon Estate</w:t>
      </w:r>
      <w:r>
        <w:rPr>
          <w:rFonts w:ascii="arial" w:eastAsia="arial" w:hAnsi="arial" w:cs="arial"/>
          <w:color w:val="000000"/>
          <w:sz w:val="20"/>
          <w:lang w:val="en-US" w:eastAsia="en-US" w:bidi="ar-SA"/>
        </w:rPr>
        <w:t xml:space="preserve"> ultimately addressed the question of the constitutional applicability of the Ontario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to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by modifying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to permit recovery of damages for loss of guidance, care, and companionship. This allowed the law to accord to "contemporary conceptions of loss": </w:t>
      </w:r>
      <w:r>
        <w:rPr>
          <w:rFonts w:ascii="arial" w:eastAsia="arial" w:hAnsi="arial" w:cs="arial"/>
          <w:i/>
          <w:color w:val="000000"/>
          <w:sz w:val="20"/>
          <w:lang w:val="en-US" w:eastAsia="en-US" w:bidi="ar-SA"/>
        </w:rPr>
        <w:t>Ordon Estate</w:t>
      </w:r>
      <w:r>
        <w:rPr>
          <w:rFonts w:ascii="arial" w:eastAsia="arial" w:hAnsi="arial" w:cs="arial"/>
          <w:color w:val="000000"/>
          <w:sz w:val="20"/>
          <w:lang w:val="en-US" w:eastAsia="en-US" w:bidi="ar-SA"/>
        </w:rPr>
        <w:t xml:space="preserve"> at paras. 101 to 102. Given the finding that a survivor's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for loss of guidance, care, and companionship could be brought without the need to resort to the Ontario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the question of constitutional applicability then did not require final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modifying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it is unclear whether the Supreme Court of Canada intended to expand the scope of recoverable loss beyond that recognized in </w:t>
      </w:r>
      <w:r>
        <w:rPr>
          <w:rFonts w:ascii="arial" w:eastAsia="arial" w:hAnsi="arial" w:cs="arial"/>
          <w:i/>
          <w:color w:val="000000"/>
          <w:sz w:val="20"/>
          <w:lang w:val="en-US" w:eastAsia="en-US" w:bidi="ar-SA"/>
        </w:rPr>
        <w:t>Lett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Vana v. Tosta</w:t>
      </w:r>
      <w:r>
        <w:rPr>
          <w:rFonts w:ascii="arial" w:eastAsia="arial" w:hAnsi="arial" w:cs="arial"/>
          <w:color w:val="000000"/>
          <w:sz w:val="20"/>
          <w:lang w:val="en-US" w:eastAsia="en-US" w:bidi="ar-SA"/>
        </w:rPr>
        <w:t xml:space="preserve">, which were cases expressly referenced by the court with apparent approval at para. 101 of </w:t>
      </w:r>
      <w:r>
        <w:rPr>
          <w:rFonts w:ascii="arial" w:eastAsia="arial" w:hAnsi="arial" w:cs="arial"/>
          <w:i/>
          <w:color w:val="000000"/>
          <w:sz w:val="20"/>
          <w:lang w:val="en-US" w:eastAsia="en-US" w:bidi="ar-SA"/>
        </w:rPr>
        <w:t>Ordon Estate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any event, the modification of the law affected by </w:t>
      </w:r>
      <w:r>
        <w:rPr>
          <w:rFonts w:ascii="arial" w:eastAsia="arial" w:hAnsi="arial" w:cs="arial"/>
          <w:i/>
          <w:color w:val="000000"/>
          <w:sz w:val="20"/>
          <w:lang w:val="en-US" w:eastAsia="en-US" w:bidi="ar-SA"/>
        </w:rPr>
        <w:t>Ordon Estate</w:t>
      </w:r>
      <w:r>
        <w:rPr>
          <w:rFonts w:ascii="arial" w:eastAsia="arial" w:hAnsi="arial" w:cs="arial"/>
          <w:color w:val="000000"/>
          <w:sz w:val="20"/>
          <w:lang w:val="en-US" w:eastAsia="en-US" w:bidi="ar-SA"/>
        </w:rPr>
        <w:t xml:space="preserve"> pertained to the interpretation of "damages" under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 xml:space="preserve"> in relation to maritime accident claims. The court in </w:t>
      </w:r>
      <w:r>
        <w:rPr>
          <w:rFonts w:ascii="arial" w:eastAsia="arial" w:hAnsi="arial" w:cs="arial"/>
          <w:i/>
          <w:color w:val="000000"/>
          <w:sz w:val="20"/>
          <w:lang w:val="en-US" w:eastAsia="en-US" w:bidi="ar-SA"/>
        </w:rPr>
        <w:t>Ordon Estate</w:t>
      </w:r>
      <w:r>
        <w:rPr>
          <w:rFonts w:ascii="arial" w:eastAsia="arial" w:hAnsi="arial" w:cs="arial"/>
          <w:color w:val="000000"/>
          <w:sz w:val="20"/>
          <w:lang w:val="en-US" w:eastAsia="en-US" w:bidi="ar-SA"/>
        </w:rPr>
        <w:t xml:space="preserve"> did not purport to overrule and indeed did not reference the decision of our Court of Appeal in </w:t>
      </w:r>
      <w:r>
        <w:rPr>
          <w:rFonts w:ascii="arial" w:eastAsia="arial" w:hAnsi="arial" w:cs="arial"/>
          <w:i/>
          <w:color w:val="000000"/>
          <w:sz w:val="20"/>
          <w:lang w:val="en-US" w:eastAsia="en-US" w:bidi="ar-SA"/>
        </w:rPr>
        <w:t>Bianco Estate</w:t>
      </w:r>
      <w:r>
        <w:rPr>
          <w:rFonts w:ascii="arial" w:eastAsia="arial" w:hAnsi="arial" w:cs="arial"/>
          <w:color w:val="000000"/>
          <w:sz w:val="20"/>
          <w:lang w:val="en-US" w:eastAsia="en-US" w:bidi="ar-SA"/>
        </w:rPr>
        <w:t xml:space="preserve">. The Supreme Court of Canada did not address at all the case law from this jurisdiction as to the available scope of damages under British Columbia's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Charge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light of the current state of the law, I am of the view that it is not proper to instruct the jury in this case that Mary may recover damages for loss of love, guidance, care, and companionship, as requested by plaintiff's counsel. The decisions of our Court of Appeal in </w:t>
      </w:r>
      <w:r>
        <w:rPr>
          <w:rFonts w:ascii="arial" w:eastAsia="arial" w:hAnsi="arial" w:cs="arial"/>
          <w:i/>
          <w:color w:val="000000"/>
          <w:sz w:val="20"/>
          <w:lang w:val="en-US" w:eastAsia="en-US" w:bidi="ar-SA"/>
        </w:rPr>
        <w:t>Bianco Estate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Zeleniski Estate</w:t>
      </w:r>
      <w:r>
        <w:rPr>
          <w:rFonts w:ascii="arial" w:eastAsia="arial" w:hAnsi="arial" w:cs="arial"/>
          <w:color w:val="000000"/>
          <w:sz w:val="20"/>
          <w:lang w:val="en-US" w:eastAsia="en-US" w:bidi="ar-SA"/>
        </w:rPr>
        <w:t xml:space="preserve"> direct that damages for love and companionship are not available under the British Columbia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as a matter of law. It seems to me that any change to the law would require a legislative amendment or alternatively reconsideration of this issue by our Court of Appeal. In providing direction to the jury on the law, I am bound by decisions of our Court of Appeal that have not been overturned.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the proposed direction on Mary's claim for loss of "guidance" and "care", I have already noted that such claims are typically limited to dependant children. Plaintiff's counsel acknowledged there is no evidence that Mary falls within the exceptional category of case in which a surviving spouse is unusually reliant on the deceased spouse so as to warrant an award for loss of care and guidance. Plaintiffs' counsel does not rely on existing law, but rather seeks a change to the law to ground such a claim. For the reasons I have already stated, I do not consider such a change to the law to be properly within the role of a trial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Plaintiffs' counsel argues that this claim should be left with the jury and that it is sufficient to include an instruction that the jury is limited to assessing pecuniary loss. However, it is unclear to me what pecuniary loss Mary actually seeks to recover under these heads of loss that is not already captured by the claims for loss of financial support and loss of household services. I am concerned that leaving a claim for "loss of love, guidance, care, and companionship" with the jury will lead to the very confusion that affected the jury in </w:t>
      </w:r>
      <w:r>
        <w:rPr>
          <w:rFonts w:ascii="arial" w:eastAsia="arial" w:hAnsi="arial" w:cs="arial"/>
          <w:i/>
          <w:color w:val="000000"/>
          <w:sz w:val="20"/>
          <w:lang w:val="en-US" w:eastAsia="en-US" w:bidi="ar-SA"/>
        </w:rPr>
        <w:t>Zeleniski Estate</w:t>
      </w:r>
      <w:r>
        <w:rPr>
          <w:rFonts w:ascii="arial" w:eastAsia="arial" w:hAnsi="arial" w:cs="arial"/>
          <w:color w:val="000000"/>
          <w:sz w:val="20"/>
          <w:lang w:val="en-US" w:eastAsia="en-US" w:bidi="ar-SA"/>
        </w:rPr>
        <w:t>. On the one hand, the jury would be instructed to award only pecuniary damages, while on the other hand they would be instructed to consider heads of damages that appear largely non-pecuniary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do not believe that the plaintiff's proposed charge should be simply left with the jury. It is my role to ensure that the jury is properly instructed on the law, and the law does not presently recognize the heads of loss that the plaintiff seeks to have included in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Before concluding, I must comment on the plaintiff's reliance on the decision of our Court of Appeal in </w:t>
      </w:r>
      <w:r>
        <w:rPr>
          <w:rFonts w:ascii="arial" w:eastAsia="arial" w:hAnsi="arial" w:cs="arial"/>
          <w:i/>
          <w:color w:val="000000"/>
          <w:sz w:val="20"/>
          <w:lang w:val="en-US" w:eastAsia="en-US" w:bidi="ar-SA"/>
        </w:rPr>
        <w:t>Brown v. Finch</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(1997), 42 B.C.L.R. (3d) 116</w:t>
        </w:r>
      </w:hyperlink>
      <w:r>
        <w:rPr>
          <w:rFonts w:ascii="arial" w:eastAsia="arial" w:hAnsi="arial" w:cs="arial"/>
          <w:color w:val="000000"/>
          <w:sz w:val="20"/>
          <w:lang w:val="en-US" w:eastAsia="en-US" w:bidi="ar-SA"/>
        </w:rPr>
        <w:t xml:space="preserve"> (C.A.). In that case, the Court of Appeal held that the trial judge had erred in failing to account for positive contingencies in assessing damages in a fatal accident case. Among the positive contingencies overlooked by the trial judge was that as the couple grew older, the deceased's spouse may have devoted more of her time to household duties, including caring for the deceased's spouse in the event that his health declined. The Court of Appeal reasoned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...Had Mrs. Brown survived and been available to look after Mr. Brown in his declining years, there might have been a very substantial pecuniary saving in avoiding the cost of being looked after by others, [including] at home or in a "rest home". These are in the nature of imponderables but they arise from the known circumstances and, having regard to the respective ages and other circumstances of the couple, justify the conclusion that the positive contingencies could well have outweighed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This is one of the limited examples offered by the plaintiff as to the pecuniary loss that might be embraced by a claim for loss of love, care, guidance, and companionship. Notably, such loss was not treated as a separate head of damage in </w:t>
      </w:r>
      <w:r>
        <w:rPr>
          <w:rFonts w:ascii="arial" w:eastAsia="arial" w:hAnsi="arial" w:cs="arial"/>
          <w:i/>
          <w:color w:val="000000"/>
          <w:sz w:val="20"/>
          <w:lang w:val="en-US" w:eastAsia="en-US" w:bidi="ar-SA"/>
        </w:rPr>
        <w:t>Brown v. Finch</w:t>
      </w:r>
      <w:r>
        <w:rPr>
          <w:rFonts w:ascii="arial" w:eastAsia="arial" w:hAnsi="arial" w:cs="arial"/>
          <w:color w:val="000000"/>
          <w:sz w:val="20"/>
          <w:lang w:val="en-US" w:eastAsia="en-US" w:bidi="ar-SA"/>
        </w:rPr>
        <w:t xml:space="preserve">, but rather as a positive contingency that ought to have been accounted for in the overall pecuniary award. </w:t>
      </w:r>
      <w:r>
        <w:rPr>
          <w:rFonts w:ascii="arial" w:eastAsia="arial" w:hAnsi="arial" w:cs="arial"/>
          <w:i/>
          <w:color w:val="000000"/>
          <w:sz w:val="20"/>
          <w:lang w:val="en-US" w:eastAsia="en-US" w:bidi="ar-SA"/>
        </w:rPr>
        <w:t>Brown v. Finch</w:t>
      </w:r>
      <w:r>
        <w:rPr>
          <w:rFonts w:ascii="arial" w:eastAsia="arial" w:hAnsi="arial" w:cs="arial"/>
          <w:color w:val="000000"/>
          <w:sz w:val="20"/>
          <w:lang w:val="en-US" w:eastAsia="en-US" w:bidi="ar-SA"/>
        </w:rPr>
        <w:t xml:space="preserve"> provides no support for the existence of a head of damage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for loss of love, care, guidance, and companionship.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the foregoing reasons, I will not instruct the jury that they should assess damages for Mary under the heading "loss of love, care, guidance, and companionship".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Robinson v. Wong, [2007] B.C.J. No. 1056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and May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M050158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1056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708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1064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Laural Dawn Robinson, Plaintiff, and Yau Chuen Wong,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1"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1" w:name="Keywords_36"/>
      <w:bookmarkEnd w:id="24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The action for damages for injuries sustained in a motor vehicle accident was dismissed with costs — The plaintiff was the only negligent party in the accident, having failed to stop before completing her left-hand turn through the curb lane, and to determine whether her turn could be made safely.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2" w:name="Case Summary_34"/>
            <w:bookmarkEnd w:id="2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sought damages for injuries sustained in a motor vehicle accident -- She was making a left-hand turn when her vehicle collided with that of the defendant -- There were three lanes of traffic in the opposing lane, with traffic backing up in the first two; the driver in the first lane had stopped and waved her through -- A key issue was whether the plaintiff stopped her vehicle before entering the curb lane, where the defendant was driving -- HELD: The action was dismissed with costs -- The court found that the plaintiff was not a credible witness, and that her evidence was not reliable -- The court found she had not stopped before entering the curb lane, and had failed to determine whether her turn could be made safely -- The defendant was not required to slow down or come to a stop because traffic in the adjoining southbound lanes was backing up -- In the circumstances, the defendant had no reasonable opportunity to avoid the collision.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Legislation Cited_28"/>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2"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81" w:history="1">
        <w:r>
          <w:rPr>
            <w:rFonts w:ascii="arial" w:eastAsia="arial" w:hAnsi="arial" w:cs="arial"/>
            <w:i/>
            <w:color w:val="0077CC"/>
            <w:sz w:val="20"/>
            <w:u w:val="single"/>
            <w:shd w:val="clear" w:color="auto" w:fill="FFFFFF"/>
            <w:lang w:val="en-US" w:eastAsia="en-US" w:bidi="ar-SA"/>
          </w:rPr>
          <w:t>R.S.B.C. 1996, c. 318, s. 174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4" w:name="Counsel_35"/>
      <w:bookmarkEnd w:id="2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3"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 Hebert.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E. Lyszkiewicz.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5" w:name="Judgment_34"/>
      <w:bookmarkEnd w:id="245"/>
      <w:r>
        <w:pict>
          <v:line id="_x0000_s1204"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6" w:name="GOEPEL J."/>
            <w:bookmarkEnd w:id="246"/>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claim arises from a motor vehicle accident that occurred on June 13, 2003 near the intersection of Johnson Street and Barnet Highway in the City of Coquitlam. The plaintiff, Laurel Robinson, was making a left-hand turn when her vehicle collided with a vehicle driven by the defendant, Yau Wong. Liability and quantum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Robinson was proceeding northbound on Johnson Street at approximately 5:00 p.m. on June 13, 2003. The weather was clear and sunny. Traffic was heavy. She intended to make a left-hand turn from a dedicated left turn lane into a strip mall located northwest of the intersection of Barnet Highway and Johnson. She needed to cross three oncoming southbound lanes to complete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intersection at Johnson and Barnet is controlled by a stoplight. As Ms. Robinson prepared to make her turn, southbound traffic which had stopped for the light was backing up on Johnson in the near and middle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car in the southbound lane nearest to Ms. Robinson stopped and its driver signalled to Ms. Robinson to proceed. She testified that she then commenced her turn. She said she stopped her vehicle before entering into the middle lane and only proceeded after the lead car in that lane also waved her through. She said that as she approached the curb lane, she again brought her car to a full stop. She said that before proceeding into the curb lane she leaned forward and looked into the lane, but saw no traffic. She then proceeded into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Robinson's next recollection was hearing a loud crunch and then talking to a firefighter who was kneeling beside the door of her vehicle. She said she did not see the vehicle that struck her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Robinson testified she was familiar with the area in which the accident occurred. She had made the same left turn on previous occasions. She said she came to a complete stop before entering the middle and the curb lanes. She denied that she made a fluid left turn without stopping. She agreed it would be dangerous to enter the curb lane without first checking to see whether there was oncoming traffic in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Wong was travelling southbound on Johnson in the curb lane. He intended to turn right at the corner of Johnson and Barnett. His lane was clear of traffic. He said he was travelling between 40 and 50 km per hour. He was on his way home, but in no rush. His focus was on his lane and to his immediate right and left. He was driving normally and not speeding as he approached the scene of the accident. He said he did not see the plaintiff's vehicle until the collision. He said he did not have time to step on his brakes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Wong was not familiar with the road. He did not know there was a dedicated left turn lane at the location of the accident. He knew he was passing vehicles in the lanes beside him. He is not sure if the traffic to his left was stopped or moving slowly. He did not give consideration as to why those vehicles were stopped. He said his focus was on his lane and he was paying attention to the road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Sabrina Dickinson witnessed the accident. She was facing east, sitting in a Ford Ranger pickup truck parked in the strip mall on the south side of Johnson. The accident occurred to the right of her location. She had a clear view of the collision. She observed Ms. Robinson's vehicle waiting to turn left and then watched as it slowly proceeded through the intersection. She said Ms. Robinson's vehicle did not stop once it began its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the corner of her left eye, Ms. Dickinson observed Mr. Wong's vehicle approaching. She believes his vehicle was travelling close to or over the speed limit. She thought it might be traveling too quickly, considering that the traffic in the adjoining lanes was stopped. When she first observed Mr. Wong's vehicle, Ms. Robinson's vehicle was already past the first lane of traffic. She says that no more than three seconds elapsed from the moment she first observed Mr. Wong's vehicle in the corner of her eye until the collision. She says that Mr. Wong's vehicle came to a stop at the point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evidence were photographs taken of the subject vehicles after the accident. The photographs indicate that the left front of Mr. Wong's vehicle impacted with the right front of Ms. Robinson's vehicle. There was significant damage to both vehicles. Neither side called an accident reconstruction expert. There was no scientific evidence concerning the speed of the vehicles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Left turns are governed by s.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That 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There are numerous cases which have considered accidents arising during a left hand turn. The governing legal principles are set out in </w:t>
      </w:r>
      <w:r>
        <w:rPr>
          <w:rFonts w:ascii="arial" w:eastAsia="arial" w:hAnsi="arial" w:cs="arial"/>
          <w:b/>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at para. 15-18: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 cent at fault for a collision which occurs.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find support for that conclusion in the unreported decision of Mr. Justice McKenzie in </w:t>
      </w:r>
      <w:r>
        <w:rPr>
          <w:rFonts w:ascii="arial" w:eastAsia="arial" w:hAnsi="arial" w:cs="arial"/>
          <w:i/>
          <w:color w:val="000000"/>
          <w:sz w:val="20"/>
          <w:lang w:val="en-US" w:eastAsia="en-US" w:bidi="ar-SA"/>
        </w:rPr>
        <w:t>Bond v. Chernoff</w:t>
      </w:r>
      <w:r>
        <w:rPr>
          <w:rFonts w:ascii="arial" w:eastAsia="arial" w:hAnsi="arial" w:cs="arial"/>
          <w:color w:val="000000"/>
          <w:sz w:val="20"/>
          <w:lang w:val="en-US" w:eastAsia="en-US" w:bidi="ar-SA"/>
        </w:rPr>
        <w:t xml:space="preserve"> (14 October 1985), Vancouver Docket: 27420/73 (B.C.S.C.). The accident in that case occurred at the intersection of Broadway and Victoria Drive. The plaintiff was proceeding east on Broadway. When the plaintiff's vehicle had entered the intersection he was confronted by the defendant's vehicle which was heading westbound making a left hand turn in front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Justice McKenzie said: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the accident is readily explainable in that neither of the parties could see the other party because the view to [sic] one another was denied to each of them by the presence of the line of eastbound vehicles that were waiting in the eastbound lane for the foremost of those vehicles to make a left hand turn. It was not until the Plaintiff's vehicle and the Defendant's vehicle got to a point of inevitable collision that they became visible to one another and at that point each driver was helpless to prevent an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law is clear under the circumstances that the obligation of the Defendant doing the left turn was an absolute obligation and I am unable to discern, on the facts of this case, that the Plaintiff was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As stated by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Each case must be decided on its own facts. In the cases cited by counsel, the liability of the turning driver has ranged from 20% to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this case, there is a significant factual dispute. Ms. Robinson says that she stopped her vehicle before entering into the curb lane. Ms. Dickinson says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resolution of this question requires a consideration of Ms. Robinson's credibility. There are numerous examples in the course of her testimony at trial, on discovery and in conversations with her doctors in which she was less than candid. Examples of her lack of candour include:</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examination for discovery, she denied having problems with her neck prior to the accident. At trial, she admitted that answer was untrue. She also testified on discovery that she did not recall having some back strain prior to the accident or problems with her knees. At trial, she admitted those answers were untrue.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she was asked to list the trips she had taken subsequent to the accident. She did not disclose a two week trip to Europe taken in July 2006.</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23, 2004, during her first consultation with Dr. Reebye, she told him that she was experiencing constant right shoulder pain. She did not disclose to him that she was then employed in painting her employer's office.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6, 2005, she told Dr. Reebye she was doing some secretarial work for her husband, when in fact she was then working full-time as a warehouse supervisor.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31, 2006, she told Dr. Warrington that she needed time away from work to refocus and Dr. Warrington wrote her a note which said that she would benefit from a leave from work. At the time of the visit, Ms. Robinson was unemployed.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18, 2006, she told Dr. Reebye she was working for her husband doing accounts payable and receivable. In addition, she was training a new worker. At the time of the visit, she was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Ms. Robinson testified that she had commenced full-time employment at Deakin Equipment Ltd. ("Deakin") on June 2, 2003, approximately two weeks before the accident. On June 27, 2003, she forwarded to an ICBC claims adjuster as proof of her employment, an employment contract, a copy of her paycheque and her payroll advice. The cheque was in the sum of $982.94. It identified her as employee No. 462. The payroll advice listed the amounts deducted from her cheque for CPP, EI and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representative of Deakin who had reviewed the company's payroll records testified that she could find no record of the subject cheque, that the employee number on the cheque was fictitious and that Deakin had made no payroll remittances on behalf of Ms. Robinson. Ms. Robinson had no explanation as to why the cheque was never cashed. Her 2003 tax return did not disclose any payment of CPP, EI or income tax. The evidence leads me to conclude that Ms. Robinson was not a full-time employee of Deakin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Ms. Robinson was not a credible witness. Her evidence was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Returning to the circumstances of the accident, I prefer the evidence of Ms. Dickinson to that of Ms. Robinson. Ms. Dickinson is an independent witness. She was called by the plaintiff. She had a clear view of the collision. I find that Ms. Robinson did not stop before entering into the curb lane. If she had done so, she would have seen Mr. Wong's vehicle. Ms. Robinson acknowledged that it would be dangerous to turn into the curb lane without stopping. She knew that traffic was often in the curb lane. Ms. Robinson totally failed to determine whether her turn could be made safely. She was clearly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Liability can only be found against Mr. Wong, the dominant driver, if he had a sufficient opportunity to avoid the accident of which a reasonably careful and skilful driver would have availed himself. In </w:t>
      </w:r>
      <w:r>
        <w:rPr>
          <w:rFonts w:ascii="arial" w:eastAsia="arial" w:hAnsi="arial" w:cs="arial"/>
          <w:b/>
          <w:i/>
          <w:color w:val="000000"/>
          <w:sz w:val="20"/>
          <w:lang w:val="en-US" w:eastAsia="en-US" w:bidi="ar-SA"/>
        </w:rPr>
        <w:t>Sandhu v. Gill</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(1999), 49 M.V.R. (3d) 32</w:t>
        </w:r>
      </w:hyperlink>
      <w:r>
        <w:rPr>
          <w:rFonts w:ascii="arial" w:eastAsia="arial" w:hAnsi="arial" w:cs="arial"/>
          <w:color w:val="000000"/>
          <w:sz w:val="20"/>
          <w:lang w:val="en-US" w:eastAsia="en-US" w:bidi="ar-SA"/>
        </w:rPr>
        <w:t xml:space="preserve"> (B.C.S.C.) Burnyeat J. discussed the duties of the dominant driver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I am satisfied that the plaintiff was entitled to enter the intersection without concerning herself about whether a servient driver such as the defendant would turn left without regard to the obligations imposed on him by s. 174. In an urban environment, there is nothing so unusual about a stationary vehicle in the left lane of a two laned street which would require a dominant driver to slow down or come to a stop so as to ascertain why the vehicle is stationary. The evidence of both parties was that the stationary vehicle was attempting to make a left turn. In those circumstances, the dominant driver is entitled to assume that the servient driver will not disregard his statutory duty to yield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Dickinson did not have sufficient time to gauge Mr. Wong's speed accurately. I accept Mr. Wong's evidence that he was proceeding at or near the speed limit. His lane was clear of traffic. Mr. Wong was not required to slow down or come to a stop because traffic in the adjoining southbound lanes was backing up. Nothing about the situation would alert him that Ms. Robinson would disregard her statutory duty and fail to yield the right of way. The photographs disclose that impact was between the left front of Mr. Wong's vehicle and the right front of Ms. Robinson's vehicle. The location of the damage suggests that the collision would have occurred almost immediately after Ms. Robinson entered into the curb lane. In the circumstances, the defendant had no reasonable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the plaintiff to be the sole cause of the accident. Mr. Wong did not contribute to the accident.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Sam v. Corona, [2012] B.C.J. No. 2878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 Schultes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17-19,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M111101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2064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Leslie Sam, Plaintiff, and Franco Corona and GMAC Leasco Corporation/La Compagnie GMAC Location,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7" w:name="Keywords_37"/>
      <w:bookmarkEnd w:id="24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Evidence and proof — Action by plaintiff for damages for injuries arising from motor vehicle accident dismissed — Defendant's vehicle struck plaintiff's, within intersection, while plaintiff was in process of making left turn and defendant was attempting to go straight through — Evidence was inconclusive as to whether defendant was liable for accident — Plaintiff's evidence was not sufficiently reliable and defendant's basic assertion was not undermined.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8" w:name="Case Summary_35"/>
            <w:bookmarkEnd w:id="2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from a motor vehicle accident. The plaintiff and the defendant were travelling in opposite directions toward an intersection controlled by traffic lights. The middle front of the defendant's vehicle struck the front corner on the passenger side of the plaintiff's vehicle, within the center lane of the intersection, while the plaintiff was in the process of making a left turn and the defendant was attempting to go straight through. The parties disagreed as to whether the defendant's light was yellow or red when he attempted to go through.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9" w:name="Holdings of Court_30"/>
            <w:bookmarkEnd w:id="24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was inconclusive as to whether the defendant was liable for the accident. The plaintiff's evidence did not provide a sufficiently reliable basis for finding that the defendant's vehicle posed no immediate hazard when the plaintiff turned. Certain critical parts of the plaintiff's evidence were implausible. His claim that the defendant came to, or virtually to, a stop and then accelerated into the intersection from a point that was only a short distance from the plaintiff's vehicle did not make sense. There was nothing about the configuration of the rear portion of the defendant's vehicle that would have made its brake lights visible to the plaintiff, as he claimed. The defendant's basic assertion that he approached the intersection at a consistent speed was not undermined. His version of events did not contain obvious logical gaps or inconsistencies.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0" w:name="Legislation Cited_29"/>
      <w:bookmarkEnd w:id="2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7"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90"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color w:val="000000"/>
          <w:sz w:val="20"/>
          <w:lang w:val="en-US" w:eastAsia="en-US" w:bidi="ar-SA"/>
        </w:rPr>
        <w:t>, s. 86(3), s. 128(1)(a),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1" w:name="Counsel_36"/>
      <w:bookmarkEnd w:id="2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8"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Hebert.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 Harry.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5"/>
      <w:bookmarkEnd w:id="252"/>
      <w:r>
        <w:pict>
          <v:line id="_x0000_s1209"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T.A. SCHULTES J. (orally)"/>
            <w:bookmarkEnd w:id="253"/>
            <w:r>
              <w:rPr>
                <w:rFonts w:ascii="arial" w:eastAsia="arial" w:hAnsi="arial" w:cs="arial"/>
                <w:b/>
                <w:color w:val="000000"/>
                <w:sz w:val="30"/>
                <w:lang w:val="en-US" w:eastAsia="en-US" w:bidi="ar-SA"/>
              </w:rPr>
              <w:t>T.A. SCHULTES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personal injury trial dealt with the consequences of a collision between vehicles driven by the plaintiff Leslie Sam and the defendant Franco Corona at an intersection in Maple Ridge on July 26,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questions that need to be decided are:</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Corona is liable to any extent for the collision; and if he is,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 amount of non-pecuniary damages that Mr. Sam should receive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has already been agreed that if liability is found Mr. Sam is entitled to specific agreed damages for past wage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potential liability of the defendant GMAC Leaseco Corporation, the lessor of Mr. Corona's vehicle at the time of the accident, flows from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which imposes vicarious liability on all vehicle owners. It has been decided that a lease does not exempt the owner from liability under s. 86(3) in the same way as a contract of sale does: </w:t>
      </w:r>
      <w:r>
        <w:rPr>
          <w:rFonts w:ascii="arial" w:eastAsia="arial" w:hAnsi="arial" w:cs="arial"/>
          <w:i/>
          <w:color w:val="000000"/>
          <w:sz w:val="20"/>
          <w:lang w:val="en-US" w:eastAsia="en-US" w:bidi="ar-SA"/>
        </w:rPr>
        <w:t>Yeung (Guardian ad litem of) v. Au</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2006 BCCA 217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dispute about the basic circumstances of the accident. It occurred at about 2:30 on a sunny Sunday afternoon in the intersection of Lougheed Highway and 203rd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were no precise measurements of the scene available, and the photographs did not always provide the most favourable views, but the basic layout can be gleaned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Lougheed Highway runs east and west in this area. At the intersection there are in each direction two "through lanes" of travel, which I will call the curb lane and the centre lane, plus left turn lanes. It appears from the scene photographs that there is a white painted stop line at the entry to the intersection in each direction on Lougheed, followed by another parallel line about seven or eight feet further into the intersection. These lines form a crosswalk for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Traffic lights control the flow of traffic at the intersection. At the time of the accident it appears that the cycle of the traffic lights included an advanced flashing green arrow that permitted westbound traffic to turn left on to 203rd.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Sam was driving his compact vehicle from his home in Mission to his workplace in Maple Ridge. Jamie Kelly, his cousin and co-worker, was his front seat passenger. He had been heading west on the Lougheed Highway and was planning to make a left turn, which would be to go south, on 203rd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Corona was driving his sports utility vehicle eastbound on the Lougheed Highway in the centre lane, heading home from a charity event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clear from the photographs that the middle front of Mr. Corona's SUV struck the front corner on the passenger side of Mr. Sam's car. This occurred within the intersection, in the centre lane. The impact rotated Mr. Sam's car about 90 degrees so that it ended up facing roughly southeast. Mr. Corona's SUV veered off to its right and mounted the sidewalk on the southeast corner before coming to rest against a pile of paving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obvious from the physical evidence, before one even considers the witness testimony, that the Sam car was struck while it was in the process of carrying out a left turn across the path of the Corona SUV, which was attempting to travel straight through on Lougheed.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questions in issue are the pre-collision actions of the two drivers, the stage of the traffic lights for each of them when they engaged in those actions, and the respective rights of way that arise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Sam said that he pulled into the left-turn lane and that there was one car ahead of him that was waiting for oncoming traffic to clear so that it could turn left. That opportunity came and the car ahead completed its turn, allowing Mr. Sam to pull ahead into the intersection to wait for his opportunity. There had been a flashing advanced left turn green arrow previously which by this point -- and I infer also for the driver who turned left ahead of him -- had changed to a solid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Sam continued to wait for oncoming traffic to clear to make his turn. He was in the intersection for half a minute, he thought. He observed the lights change from green to amber to red. A couple of oncoming vehicles cleared the intersection while the lights were changing and behind them other vehicles were slowing down. He saw the brake lights of one of them coming on and this vehicle coming to a stop. This suggested to him that it was clear for him to make his left turn and he began to do so. He was halfway through this turn when he looked up and saw the vehicle that he thought might have been stopped speed up and come through the intersection. It was in the centre lane of traffic in its direction. He saw it a few seconds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Sam had been going very slowly, he said, and he hit his brakes in an unsuccessful attempt to avoid being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cross-examination he was unable to say how far back from the intersection this oncoming vehicle had been when he saw it slow down. It reached the stop line for eastbound traffic, he said, about a car length from him. It went from this near stop or possibly a speed of 10 km/h to about 30 to 40 km/h over that distance. Whatever speed it was able to achieve before impact, he agreed that it was enough to spin his car around and for the other vehicle to travel a further 25 to 30 feet to its final resting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asked how long after the light went red he made his turn he said that he went as soon as he saw it was clear to go. However, he agreed with the subsequent suggestion in cross-examination that he was in the intersection for 30 seconds after the light was red. In re-examination he clarified that this time period referred to the overall time between stopping at the turn area and making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did not permit counsel for Mr. Corona to re-cross-examine Mr. Sam on also having given the answer that he was in the intersection for 30 seconds after the red light at his examination for discovery. I reasoned that since the original cross-examination had in effect contradicted Mr. Sam's answer in direct about the timing of his left turn relative to the onset of the red light, he should have been confronted with his discovery testimony during that cross-examination, rather than counsel waiting until he had been re-examined on the point. I was also concerned that later in cross-examination it had actually been put to Mr. Sam that this answer was not true, making the value of establishing that it had also been given at discovery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Sam disagreed with the suggestion that Mr. Corona's vehicle had never slowed down or stopped, or that it maintained a constant speed, and in response to the suggestion that the light had turned yellow, as Mr. Corona's SUV hit the stop line in its direction, Mr. Sam maintained that he was pretty sure that it was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Kelly described the accident in a slightly different way. According to him there was one car ahead of them in the left-turn lane as the advance left-turn arrow went yellow and then ended. The car ahead of them then waited for a gap to turn left and when one appeared that driver made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still a green light for them, so Mr. Sam pulled into the intersection to await his gap to turn. They were stopped in the intersection for 15 to 30 seconds, Mr. Kelly thought. When the light turned yellow they were still stopped. Oncoming traffic in all lanes was slowing down. It seemed safe to turn because of this. Mr. Sam took his turn, but one vehicle "just kept going", according to Mr. Kelly, which resulted in the collision. The light was "late amber"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Kelly said this vehicle had been slowing down. He saw its front end drop and its taillights go red on the side. It seemed to Mr. Kelly that the driver was going to stop and then decided to "blow the light." He said that Mr. Sam had seen the vehicle stopping but that this other vehicle stopped and then accelerated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he clarified that he felt that the oncoming vehicle had blown the red because it had slowed down to a stop and then gone through. It was before the stop line when it slowed down. There were cars in all three oncoming lanes and all were slowing to a stop. Mr. Corona's SUV was almost near or close to being stopped, he agreed, before it went through. He also said it was slowing down with the other traffic, somewhat close to 10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was no reason that Mr. Kelly could see for this vehicle to speed up after slowing down to close to 10 km/h. Mr. Kelly assumed that the driver would do as the other oncoming drivers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Sam and Mr. Kelly were both cross-examined extensively on the closeness of their family, social and work relationships and contact, and on the extent to which they had discussed their recollections of the accident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Sam agreed that they had talked about the accident, although not much, and that both had said that the light had been red when they turned, but he did not think they had discussed whether the Corona vehicle had slowed down or stopped, or how long they were in the intersection before turning. They still turn at that exit, Mr. Sam said, although they drive together to work much less often than before, and when they do they mention that it is where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For his part Mr. Kelly agreed that they had talked a couple of times about the accident, including about their injuries and that the other driver "blew a red and hit us", and what the light was when they turned and the SUV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Corona's evidence began with a long recitation of the nature of his involvement in the charitable event that he was coming home from at the time of the accident. Evidence of good character being generally irrelevant to the issues in a civil action, I will disregard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Turning to his relevant recollections, he testified that he had been travelling southbound in the centre lane for about the previous three or four miles before approaching the intersection with 203rd. He did not recall specifically looking at his speedometer but believed that he was still going at the same speed that he had been -- 40 to 50 km/h. The light was green in his direction as he approached and when he was 20 to 30 feet away he noticed a car, which ultimately turned out to be Mr. Sam's in the left-turn lane facing him. The light was green for him and he entered the intersection accordingly. As he crossed the stop line, he saw the light for him turn yellow and he continued in an attempt to go through. He neither braked nor accelerated upon the light changing. He thought he would go through the intersection, I infer based on the position he was already in relative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next thing he knew the impact had occurred. He was not able to avoid it because he had not been expecting it. The collision took place at the speed at which he had been travelling and he ended up in a resting position, which he thought was 30 to 40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cross-examination he denied that at the point he saw the light changing to green it would no longer have been in his peripheral field of vision and that he would have had to look up to see it, something that given his version of events there would have been no reason to do at that point. He maintained that the light was still in front of him. He also clarified that he was three or four car lengths from the intersection when he saw the car ahead of him waiting to turn left and that his SUV was eight or nine feet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provisions governing the right-of-way of vehicles in this kind of situation are ss. 128(1)(a) and 174 of the </w:t>
      </w:r>
      <w:r>
        <w:rPr>
          <w:rFonts w:ascii="arial" w:eastAsia="arial" w:hAnsi="arial" w:cs="arial"/>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Applied to the circumstances of this case, s. 128(1)(a) requires a driver to stop his vehicle before entering the crosswalk when a yellow light is shown "unless the stop cannot be made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174 requires a driver turning left to yield to oncoming traffic that is in the intersection or so close as to constitute an "immediate hazard." However, once the driver has yielded in this manner he may then make his left turn, at which point further approaching traffic must yield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is well-known that an approaching vehicle is an immediate hazard if it is so close to the intersection that its driver must take some sudden or violent action to avoid the threat of a collision if the vehicle in front of it attempts to make the left turn: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addition, the driver who has the right-of-way, often described in the cases as the dominant driver, is entitled to assume in general that servient drivers will obey the rules of the road. He or she does not have to anticipate every possible type of risk that might be posed by the other driver's poor driving: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Only if the dominant driver had a sufficient opportunity to avoid such a risk after it arose will he or she share any portion of liability: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These provisions can be read together in the context of the present case as meaning, first, that if there was no immediate hazard posed by oncoming vehicles, because in his reasonable view they were all slowing down or stopping, Mr. Sam was entitled to make his left turn. There being no immediate hazard, Mr. Corona must necessarily have been able to stop in safety on the yellow light before the intersection. A finding that Mr. Corona had slowed down and then gone through the intersection anyway could also be seen as a kind of bad driving behaviour beyond that which Mr. Sam was reasonably required to anticipate.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Conversely, if Mr. Corona was in or so close to the intersection when the light went yellow that the stop could not be made in safety, which is his version of the events, it follows that Mr. Sam would not have yielded to an immediate hazard as required and should not have made his left turn. Again, if he was in possession of the right of way on this version of events, Mr. Corona would not be expected to prepare for an improper left turn taking place directly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Of course the statutory duties assist me in identifying the existence and potential breach of a duty of care, but they are not conclusive in themselves of a finding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should say at the outset that I could not find that any of the discussions about the accident that took place between Mr. Sam and Mr. Kelly have influenced the content of either one's evidence in any way. Obviously the relationship between a party and a witness called in support of his case must always be looked at with care, but there is no presumption that a friend or relative will not testify truthfully or that the two must inevitably have cooperated with each other in giving their evidence. It all depends on an analysis of the content and quality of the evidence that each gives, including the presence of any implausible degree of similarity between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Here, both witnesses admitted freely to some limited conversation about the facts of the case, including the live issues of what the light was, but none of it seemed to me to go beyond what would normally be expected in view of their relationship and the experience they had had together in sustaining the accident. I found their complete lack of defensiveness on this point quite telling. Indeed, I would have been more suspicious if they claimed that the topic had never been broached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Perhaps the strongest refutation of any suggestion of collusion is that their direct evidence differed on a critical point (whether the Corona SUV came to a stop or just slowed down before accelerating through) in a way that tends to undermine Mr. Sam's version of events somewhat. It was only in cross-examination that Mr. Kelly was induced to downgrade the speed of the Corona vehicle as being approaching a stop, or in the neighbourhood of 10 km/h, which was closer to Mr. Sam's account. More crucially, Mr. Kelly has the left turn being made on a stale yellow light, something that contradicts Mr. Sam's description of turning after the red, and tends to make Mr. Sam's legal position more vulnerable. Put simply, if they are supposed to have cooked up their evidence together to benefit Mr. Sam's case because of their close connections, they did an extremely poor job of it and ended up assisting Mr. Corona. As a result, I reject that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Mr. Sam gave his evidence in a completely straightforward way, certain critical parts of it struck me as implausible. It did not make sense to me that the Corona SUV would come to, or virtually to, a stop and then accelerate into the intersection from a point only a short distance from Mr. Sam's car. This would be inconsistent with anything in the range of poor driving judgment that forms the usual work of these courts, in ordinary human experience. It would be suggestive instead of a kind of bizarre and highly dangerous behaviour. Hesitation by a driver, even slowing, followed by a decision to proceed through an intersection, is quite a familiar phenomenon, but that is not what Mr. Sam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could also see nothing about the configuration of the rear portion of the Corona SUV in the photos that would have made his brake lights visible to Mr. Sam, as he claimed they were when it was approaching him, head on and in broad daylight.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in the absence of any evidence of how quickly a vehicle can accelerate in the distance between the two vehicles that he described, or the ability of a collision at such a speed to inflict the damage observed and move the vehicles to their resting places, I do not feel comfortable rejecting his version of events on the basis of its supposed inconsistency with the damage and the resting positions, as suggested by counsel for Mr. Corona.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Taken as a whole, despite what I found was a sincere attempt to describe the events accurately, I did not consider Mr. Sam's evidence in itself to provide a sufficiently reliable basis for finding that there was no immediate hazard posed by Mr. Corona's SUV when he turned. I accept that Mr. Sam had the general perception that it was safe to make his turn and that the Corona SUV did something that he did not anticipate. Beyond that it does not appear to me that he observed or can describe matters accurately enough to do anything more than work backwards from that perception and try to piece together what occurred, as best as he now recalls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found Mr. Kelly's evidence to be more reliable. It had a matter-of-fact and natural quality that suggested a person recalling actual events. By this I do not mean according to his demeanour alone, which counsel for Mr. Corona correctly emphasizes should always be considered with caution, but mainly in the substance of his narrative. His description of the Corona vehicle slowing and then accelerating captures a kind of driver indecisiveness in the face of a changing light, when the driver considers himself to be in no man's land, that one can envision actually occurring. This contrasts to Mr. Sam's description which, as I have said, is difficult to envision.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Kelly's description of them turning on a stale amber light also made sense in this context, because it accords with the perception that he attributes to Mr. Sam that it was safe to turn at that point, rather than having to wait for the red light to clear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were also shortcomings in his evidence. Like Mr. Sam he claimed to have seen the brake lights of the Corona SUV go "on the side" when, as I have said, it is difficult to see how this could have been seen from his vantage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His claim also to have seen the front end of the SUV go down, which I infer was another indication to him that it was slowing, was not challenged, but I am unable to assess its plausibility as an indicator based on ordinary human experience because such vehicle dynamics are not universally known and accepted, although I accept that for a knowledgeable person it may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was also not able to understand his explanation that Mr. Corona's actions should be described as blowing the red light, which he described as meaning slowing down and then going through, given his earlier evidence about the turn taking place on a stale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Lastly, as I have already said, he gave quite a bit of ground on cross-examination and ended up accepting suggestions about the speed of the Corona SUV and how close it came to stopping before accelerating. It brought him a lot closer to Mr. Sam's less plausible description than he seemed to be in his direct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Corona's version of events was quite basic and did not contain any obvious logical gaps or inconsistencies. He was somewhat defensive in cross-examination, tending simply to assert that the questioner was wrong without giving any explanation of what the accurate alternative to the suggestion being made would have been. I could not tell whether this reflected any lack of confidence in his story or it was simply a personal characteristic. His basic assertion that he had approached the intersection at a consistent and unvarying speed was not undermined. The strongest attack on his evidence was the suggestion that by the time he reached the stop line he could not have seen what colour the light was without looking up, and that he would have had no reason to do look up if it had still been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Once again, Mr. Corona's flat denial was not very informative and the suggestion initially struck me as a possible major flaw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reflection however, there is simply no evidence about the configuration of Mr. Corona's vehicle and the resulting driver's position and view ahead as one approaches this intersection, of a kind that would allow me to conclude that the light would have stopped being visible to a straight-ahead view at any particular point. Of course, as a matter of common sense, the angle obviously becomes too acute at some point for any such view of the light, but we do not know when that point would have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Absent any implausibility arising from that point, I am left with no basis on which to reject Mr. Corona's evidence of what occurred or to prefer another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Of course, as we remind civil juries, it is not the number of witnesses who testify on behalf of each party that determines the outcome of a case, but rather the weight that the trier of fact ultimately is able to attach to the evidence of each witness. As I have said earlier, I cannot base a finding of liability on Mr. Sam's evidence alone. I would be inclined to accept Mr. Kelly's description of events, but when I set it against Mr. Corona's I cannot identify any intellectually honest basis to prefer one to the other on the critical point on which they differ -- whether the Corona SUV slowed and accelerated again, or proceeded through at a constant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the state of the light at the collision they are not far apart at all. Obviously one or both of the drivers here misjudged how safe it was to proceed as they did. But I lack the baseline reliable facts from which to have assigned legal responsibility to either party without engaging in impermissible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true that judges must not shirk from difficult factual findings, but there are also cases of inconclusive evidence that end up resolving on which party bears the burden. The burden on Mr. Sam here is to prove liability on a balance of probabilities and since I am unable conclusively to resolve that issue in his favour, he has not met his burden and the action must be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 SCHULTES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Simmonds v. Victoria (City), [2016] B.C.J. No. 953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H.J. Holmes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11 and 12, 2016.</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18, 2016.</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S127268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B.C.J. No. 953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BCSC 838</w:t>
      </w:r>
    </w:p>
    <w:p>
      <w:pPr>
        <w:spacing w:before="120" w:line="260" w:lineRule="atLeast"/>
        <w:rPr>
          <w:lang w:val="en-US" w:eastAsia="en-US" w:bidi="ar-SA"/>
        </w:rPr>
      </w:pPr>
      <w:r>
        <w:rPr>
          <w:rFonts w:ascii="arial" w:eastAsia="arial" w:hAnsi="arial" w:cs="arial"/>
          <w:color w:val="000000"/>
          <w:sz w:val="20"/>
          <w:lang w:val="en-US" w:eastAsia="en-US" w:bidi="ar-SA"/>
        </w:rPr>
        <w:t>Between Steven Simmonds, Plaintiff, and The Corporation of the City of Victoria, Andrew Dolan, Mark Hayden, Rob Woodland, Todd Stewardson, Elaine Smith, John Doe and Jane Roe,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1"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54" w:name="Keywords_38"/>
      <w:bookmarkEnd w:id="254"/>
      <w:r>
        <w:rPr>
          <w:rFonts w:ascii="arial" w:eastAsia="arial" w:hAnsi="arial" w:cs="arial"/>
          <w:b/>
          <w:color w:val="000000"/>
          <w:sz w:val="20"/>
          <w:lang w:val="en-US" w:eastAsia="en-US" w:bidi="ar-SA"/>
        </w:rPr>
        <w:t>Civil litigation — Civil procedure — Summary trial — Availability — Application by the defendants for summary trial dismissing the action dismissed — Plaintiff sued defendants for defamation as a result of statements made by a co-worker and an investigation panel which were published in a report and newspaper article — Affidavit evidence conflicted on material issues that could not be resolved without oral evidence and cross-examination — Defamation claim could not be readily resolved on the basis that the plaintiff had failed in his burden to prove malice in relation to statements made on an occasion of qualified privilege.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55" w:name="Case Summary_36"/>
            <w:bookmarkEnd w:id="25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defendants for summary trial dismissing the action. The plaintiff sued for defamation and negligent investigation in relation to a work incident in which the plaintiff's co-worker had assaulted a homeless person. The employer, the defendant City, commenced an investigation into the incident. The plaintiff alleged that the co-worker and the investigating panel defamed him by making statements critical of the plaintiff which were then published in a report and subsequent newspaper article. The defendants argued the action should be dismissed because the impugned publications were not defamatory or were made on an occasion of qualified privilege and no malice defeating the privilege was proven. </w:t>
            </w:r>
            <w:r>
              <w:rPr>
                <w:lang w:val="en-US" w:eastAsia="en-US" w:bidi="ar-SA"/>
              </w:rPr>
              <w:cr/>
            </w:r>
          </w:p>
          <w:p>
            <w:pPr>
              <w:spacing w:before="120" w:line="260" w:lineRule="atLeast"/>
              <w:ind w:left="240"/>
              <w:jc w:val="both"/>
              <w:rPr>
                <w:lang w:val="en-US" w:eastAsia="en-US" w:bidi="ar-SA"/>
              </w:rPr>
            </w:pPr>
            <w:bookmarkStart w:id="256" w:name="Holdings of Court_31"/>
            <w:bookmarkEnd w:id="256"/>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action was not suitable for disposition by summary trial. The facts necessary for a determination of the issues could not be found on the basis of the affidavit evidence filed. Material conflicts in the evidence required oral evidence with cross-examination. The affidavit evidence did not provide a sufficient basis for a determination of whether the co-worker did or did not have an honest belief that what he said was true. The defamation claim could not be readily resolved on the basis that the plaintiff had failed in his burden to prove malice in relation to statements made on an occasion of qualified privilege. It would be unjust to require him to prove malice in a summary trial. </w:t>
            </w:r>
            <w:r>
              <w:rPr>
                <w:lang w:val="en-US" w:eastAsia="en-US" w:bidi="ar-SA"/>
              </w:rPr>
              <w:cr/>
            </w:r>
          </w:p>
          <w:p>
            <w:pPr>
              <w:rPr>
                <w:lang w:val="en-US" w:eastAsia="en-US" w:bidi="ar-SA"/>
              </w:rPr>
            </w:pPr>
          </w:p>
        </w:tc>
      </w:tr>
    </w:tbl>
    <w:p>
      <w:pPr>
        <w:jc w:val="both"/>
        <w:rPr>
          <w:lang w:val="en-US" w:eastAsia="en-US" w:bidi="ar-SA"/>
        </w:rPr>
      </w:pPr>
      <w:bookmarkStart w:id="257" w:name="Legislation Cited_30"/>
      <w:bookmarkEnd w:id="25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12" style="position:absolute;z-index:2517493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Rules of Court, Rule 9-7</w:t>
      </w:r>
      <w:r>
        <w:rPr>
          <w:lang w:val="en-US" w:eastAsia="en-US" w:bidi="ar-SA"/>
        </w:rPr>
        <w:cr/>
      </w:r>
    </w:p>
    <w:p>
      <w:pPr>
        <w:keepNext/>
        <w:spacing w:before="240" w:line="340" w:lineRule="atLeast"/>
        <w:rPr>
          <w:lang w:val="en-US" w:eastAsia="en-US" w:bidi="ar-SA"/>
        </w:rPr>
      </w:pPr>
      <w:bookmarkStart w:id="258" w:name="Counsel_37"/>
      <w:bookmarkEnd w:id="25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3" style="position:absolute;z-index:2517995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Alan McConchie.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Karen R. Zimmer.</w:t>
      </w:r>
      <w:r>
        <w:rPr>
          <w:lang w:val="en-US" w:eastAsia="en-US" w:bidi="ar-SA"/>
        </w:rPr>
        <w:cr/>
      </w:r>
    </w:p>
    <w:p>
      <w:pPr>
        <w:spacing w:after="240"/>
        <w:rPr>
          <w:lang w:val="en-US" w:eastAsia="en-US" w:bidi="ar-SA"/>
        </w:rPr>
      </w:pPr>
      <w:bookmarkStart w:id="259" w:name="Judgment_36"/>
      <w:bookmarkEnd w:id="259"/>
      <w:r>
        <w:pict>
          <v:line id="_x0000_s1214" style="position:absolute;z-index:25184870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0" w:name="H.J. HOLMES J. (orally)"/>
            <w:bookmarkEnd w:id="260"/>
            <w:r>
              <w:rPr>
                <w:rFonts w:ascii="arial" w:eastAsia="arial" w:hAnsi="arial" w:cs="arial"/>
                <w:b/>
                <w:color w:val="000000"/>
                <w:sz w:val="30"/>
                <w:lang w:val="en-US" w:eastAsia="en-US" w:bidi="ar-SA"/>
              </w:rPr>
              <w:t>H.J. HOLMES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brief reasons for my conclusion, indicated to counsel on Tuesday, April 12, that the action is not suitable for disposition by summary trial under Rule 9-7. The defendants represented by Ms. Zimmer had applied by way of summary trial for an order dismissing Mr. Simmonds' action. The summary trial was scheduled for six days, beginning April 11, 2016.</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Simmonds was a supervising by-law officer for the City of Victoria. He sues for defamation and negligent investigation in relation to an incident on October 20, 2010, and the workplace investigation that followed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incident took place when, in the course of their duties, Mr. Simmonds and the defendant Andrew Dolan, who was also a by-law officer, came across Mr. Andrew Scarisbrick camping in a park beyond the permitted time, and asked him to pack up and leave. While Mr. Simmonds then moved away to look into a nearby shopping cart that Mr. Scarisbrick had said was not his, a physical altercation erupted between Mr. Dolan and Mr. Scarisbrick. In that altercation, Mr. Dolan, by his own account, took Mr. Scarisbrick to the ground and struck him several times to subdue him. Negative media stories followed, including an article by Katie DeRosa, published in the Times Colonist, with the headline "Woman Says She Saw By-Law Officer Beat Homeless Man In Victoria Park".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initiated an investigation into the incident, and appointed an investigation panel composed of the defendants Rob Woodland, Todd Stewardson, and Elaine Smith. The panel at first held its investigation in abeyance pending a police investigation, but became active in late 2010 or early 2011, when the City learned that the police investigation had concluded. The police recommended that Mr. Dolan be charged with assault, as, indeed, he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the time the City's investigation became active, Mr. Simmonds had left his employment with the City in Victoria for unrelated reasons, and had taken up a managerial position with the by-law office in West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investigative panel asked Mr. Simmonds to participate in an interview by telephone, he asked to be given the questions in advance. The panel declined, and Mr. Simmonds then politely declined the interview.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defamation Mr. Simmonds alleges against Mr. Dolan consists in statements Mr. Dolan made to the City's investigation panel which are said to indicate or imply that Mr. Simmonds put Mr. Dolan's safety at risk by failing to remain with him while Mr. Scarisbrick began to pack up his belongings, and by potentially inflaming the situation when he investigated the shopping cart before Mr. Scarisbrick had left the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defamation Mr. Simmonds alleges against the three members of the investigation panel consists in similar and related statements and conclusions in the panel's report, as well as statements or conclusions said to be critical of Mr. Simmonds in his role as Mr. Dolan's supervisor. The report indicated that if Mr. Simmonds were still employed with the City, the panel would recommend "an appropriate level of discipline".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investigation report was intended to be confidential. Copies were given only to a few City employees directly associated with the investigation and also to Mr. Dolan's union representative, John Burrows, who was also the president of CUPE's Local 50.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Nonetheless, the report made its way to Ms. DeRosa. She then wrote an article, published in the Times Colonist, which explained that the investigation report placed much of the blame on Mr. Simmonds. Mr. Simmonds alleges republication, through that article, of defamatory statements made earlier by Mr. Dolan and by the other defendants in the investigation panel's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trial in this matter is scheduled for 15 days beginning August 15, 2016.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Simmonds has also brought a separate action against Ms. DeRosa, Postmedia Network Inc., and others. He applied for an order that that action be tried together with the present one, but did so without success. I am advised that that an appeal from the Master's order declining Mr. Simmonds' application is scheduled to be heard on April 22, 2016.</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each made extensive and able written and oral submissions which, together, probably cover everything that has been or can be said concerning suitability for summary trial under Rule 9-7. The submissions also outline much of the law concerning malice (as defeating a qualified privilege defence to defamation), as well as numerous other aspects of the laws of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analysis that follows works within the framework of those submissions. For the most part, I will not repeat or delineate the legal principles outlined by counsel, or expressly refer to the authorities on which they rely.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submit that the application is plainly suitable for summary trial because the court can readily conclude, on the evidence, that Mr. Simmonds' claim should be dismissed because (a) the impugned publications were not defamatory; or, alternatively, (b) (i) Mr. Dolan's statements and the statements in the investigation report were made on an occasion of qualified privilege, and no malice defeating the privilege is proven; and (ii) the defendants were not responsible for publication in the media.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unable to agree for several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First, I am not satisfied that the facts necessary for a determination of the issues can be found on the basis of the affidavit evidence in the summary trial. The voluminous affidavit evidence includes material conflicts that, in my view, call for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with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example, Mr. Dolan described Mr. Scarisbrick's voice as loud and angry immediately before the physical altercation, and his actions as aggressive. Mr. Simmonds deposes that he could hear the voices, although his view of the interaction was obscured by the tarpaulin he was lifting from the shopping cart, and he described the voices quite differently from Mr. Dolan. Similarly, while Mr. Simmonds deposes that Mr. Dolan bragged about having dominated Mr. Scarisbrick and having caused him significant injury or damage -- and Mr. Simmonds quotes very specific and distinctive terms as having been used -- Mr. Dolan flatly denies bragging or using the words Mr. Simmonds reported. In a chart appended to his written submissions, Mr. McConchie refers to many additional apparent or potential conflicts in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submit that many of the portions of the evidence to which Mr. McConchie refers do not, in fact, expose conflicts. They submit that for those portions which do, the conflicts are unnecessary to resolve because they relate to irrelevant matters.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example, the defendants submit that it is unnecessary to determine what actually happened before and in the altercation with Mr. Scarisbrick because Mr. Simmonds' action relates to words spoken or written later. The defendants submit that in the action, the question is not whether the words were true, but rather whether they were spoken or written sincerely (with an honest belief in their truth) on an occasion of privilege.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in my view the issues arising from the evidence are potentially broader than this. On the basis of Mr. Simmonds' evidence and submissions, the honesty of Mr. Dolan's belief in the truth of what he said is very much in issue. And the affidavit evidence does not provide a sufficient basis for a determination of whether Mr. Dolan did or did not have an honest belief that what he said was true.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Some of the conflicts in the evidence on the summary trial relate to previous incidents of alleged volatility or violence by Mr. Dolan in the course of his duties as a by-law officer, and the extent, if any, to which the City and its employees knew of the incidents. The defendants submit that these too are irrelevant to the issues concerning statements alleged to be defamatory, but I cannot agree. At this stage -- and the judge presiding in a trial may take a different view -- it appears that such previous incidents, if they exist, may contribute to the circumstantial case Mr. Simmonds wishes to develop to prove malice.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submit that the Court may require cross-examination on some or all of the affidavits filed in the summary trial in order to afford an opportunity to develop the evidence in the way Mr. Simmonds submits is required, but in my view that course of action would not suffice. The issues in the action require, for some of the witnesses, that cross-examinations have a broader scope than merely in relation to the topics raised in their affidavits. I also agree with Mr. McConchie, on a related point, that in this case the examinations for discovery conducted on Mr. Simmonds' behalf cannot be viewed as equivalent to cross-examination in a trial, as the defendants submit they are. Examinations for discovery are in any event unavailable in relation to witnesses who are not parties, such as Mr. Borrows.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Finally, on this point, the defendants submit that the most significant conflicts in the evidence are within Mr. Simmonds' own accounts of the events, given at various times, and therefore can only weaken his position. In my view, the significance, if any, of these conflicts, if they are indeed such, requires a consideration of the context in which each of the various statements was made. In relation to most of the statements, the evidence in the summary trial gives only a faint or spare picture of the particular context.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Second, I cannot agree with the defendants that the defamation claim can be readily resolved on the basis that Mr. Simmonds has failed in his burden to prove malice (in relation to statements made on an occasion of qualified privilege).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it would be unjust to require Mr. Simmonds to prove malice in a summary trial. His case concerning malice rests on a body of circumstantial evidence from which, by his position, malice is the reasonable inference. Many of the items of circumstantial evidence on which he relies -- only some, and not all, of which I have mentioned -- require examination in their context before the Court can determine whether inferences of malice reasonably arise. The affidavit evidence simply does not provide or allow for the necessary context.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making these observations, I recognize that malice is not easy for a plaintiff to establish, and that courts have in many a summary trial dismissed a defamation claim for lack of proof of malice. The difficulty is that the facts alleged in this case and the issues arising from those facts require a more developed and tested body of evidence than affidavits can provide.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agree with the defendants that a plaintiff cannot avoid a summary trial by merely asserting a hope that evidence unavailable at this stage will turn up at a full trial. However, while expressing no view concerning the merit of Mr. Simmonds' allegation of malice, I do not find it to be based on speculation alone. As I have noted, Mr. Simmonds relies on inferences from various pieces of circumstantial evidence. The difficulty is thus not that he fails to identify the evidence on which he relies; it is that a summary trial does not allow him to present the evidence in a manner sufficient to allow the Court to assess whether the inferences on which he relies are reasonable and strong.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Third, Mr. Simmonds alleges negligent investigation, as well as defamation. Since, as I conclude, the defendants' position in the summary trial could not result in the dismissal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proceed with a summary trial concerning the defamation claims only would result in "litigation in slices", contrary to the intent and purpose of the summary trial rule.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defendants submit that Mr. Simmonds'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would necessarily fall with his defamation claims in a summary trial, because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but a dressed up defamation claim. The defendants submit that the law does not recognize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in reality, alleges damage to reputation by defamation. They refer, for example, to </w:t>
      </w:r>
      <w:r>
        <w:rPr>
          <w:rFonts w:ascii="arial" w:eastAsia="arial" w:hAnsi="arial" w:cs="arial"/>
          <w:i/>
          <w:color w:val="000000"/>
          <w:sz w:val="20"/>
          <w:lang w:val="en-US" w:eastAsia="en-US" w:bidi="ar-SA"/>
        </w:rPr>
        <w:t>P.G. Restaurant Ltd. v. Northern Interior Regional Health Board et al.</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2004 BCSC 294</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Bell-Booth Group Ltd. v. Attorney-General</w:t>
      </w:r>
      <w:r>
        <w:rPr>
          <w:rFonts w:ascii="arial" w:eastAsia="arial" w:hAnsi="arial" w:cs="arial"/>
          <w:color w:val="000000"/>
          <w:sz w:val="20"/>
          <w:lang w:val="en-US" w:eastAsia="en-US" w:bidi="ar-SA"/>
        </w:rPr>
        <w:t xml:space="preserve">, 1989 3 N.Z.L.R. 148 (C.A.), and </w:t>
      </w:r>
      <w:r>
        <w:rPr>
          <w:rFonts w:ascii="arial" w:eastAsia="arial" w:hAnsi="arial" w:cs="arial"/>
          <w:i/>
          <w:color w:val="000000"/>
          <w:sz w:val="20"/>
          <w:lang w:val="en-US" w:eastAsia="en-US" w:bidi="ar-SA"/>
        </w:rPr>
        <w:t>Fulton v. Globe &amp; Mail (The)</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[1997] 3 W.W.R. 200</w:t>
        </w:r>
      </w:hyperlink>
      <w:r>
        <w:rPr>
          <w:rFonts w:ascii="arial" w:eastAsia="arial" w:hAnsi="arial" w:cs="arial"/>
          <w:color w:val="000000"/>
          <w:sz w:val="20"/>
          <w:lang w:val="en-US" w:eastAsia="en-US" w:bidi="ar-SA"/>
        </w:rPr>
        <w:t xml:space="preserve"> (A.B.Q.B.).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However, the Supreme Court of Canada's decision in </w:t>
      </w:r>
      <w:r>
        <w:rPr>
          <w:rFonts w:ascii="arial" w:eastAsia="arial" w:hAnsi="arial" w:cs="arial"/>
          <w:i/>
          <w:color w:val="000000"/>
          <w:sz w:val="20"/>
          <w:lang w:val="en-US" w:eastAsia="en-US" w:bidi="ar-SA"/>
        </w:rPr>
        <w:t>Young v. Bella</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2006 SCC 3</w:t>
        </w:r>
      </w:hyperlink>
      <w:r>
        <w:rPr>
          <w:rFonts w:ascii="arial" w:eastAsia="arial" w:hAnsi="arial" w:cs="arial"/>
          <w:color w:val="000000"/>
          <w:sz w:val="20"/>
          <w:lang w:val="en-US" w:eastAsia="en-US" w:bidi="ar-SA"/>
        </w:rPr>
        <w:t xml:space="preserve"> at paras. 55-56 makes clear that a claim for damage to reputation alone may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Simmonds notes also that in any event his claim includes damages for actual financial loss resulting from permanent damage to the trajectory of his career.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action is not suitable for summary trial under Rule 9-7, and the defendants' application under that sub-rule is therefore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Is there anything else to be addressed?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All right, then costs will be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H.J. HOLMES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Sportsman's R.V. Resort Blind Bay B.C. Ltd. v. Capri Insurance Services Ltd., [2001] B.C.J. No. 837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Oppal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C981499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837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C.C.L.I. (3d)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987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650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Sportsman's R.V. Resort Blind Bay B.C. Ltd., plaintiff, and Capri Insurance Services Ltd. and Bob Collins,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6"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9"/>
      <w:bookmarkEnd w:id="261"/>
      <w:r>
        <w:rPr>
          <w:rFonts w:ascii="arial" w:eastAsia="arial" w:hAnsi="arial" w:cs="arial"/>
          <w:b/>
          <w:color w:val="000000"/>
          <w:sz w:val="20"/>
          <w:lang w:val="en-US" w:eastAsia="en-US" w:bidi="ar-SA"/>
        </w:rPr>
        <w:t xml:space="preserve">Insurance — Brokers — Relations with clients — Duties of broker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obtaining adequate coverage.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7"/>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Sportsman's R.V. Resort alleging that Capri Insurance Services was negligent in failing to advise it that it was underinsured. Bornholdt was a one-quarter shareholder who ran the resort. He had some business experience, but only a grade nine education. He took over daily operations from Miller, who obtained the original policy from Capri in 1989. Capri was aware that both Miller and Bornholdt wanted replacement cost insurance, but that was not indicated on the policy. Capri's agent, Collins, was inconsistent on whether he explained co-insurance to Bornholdt, indicating that Bornholdt already had experience with being underinsured and with co-insurance. Bornholdt's practice was simply to renew the original policy year to year. He did not show a recent appraisal to Capri, believing, he said, that it was relevant only for tax purposes. Sportsman's had a fire which caused damage exceeding Capri's policy limits.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3" w:name="Holdings of Court_32"/>
            <w:bookmarkEnd w:id="263"/>
            <w:r>
              <w:rPr>
                <w:rFonts w:ascii="arial" w:eastAsia="arial" w:hAnsi="arial" w:cs="arial"/>
                <w:color w:val="000000"/>
                <w:sz w:val="20"/>
                <w:lang w:val="en-US" w:eastAsia="en-US" w:bidi="ar-SA"/>
              </w:rPr>
              <w:t>HELD: Action allowed; Capri and Collins were liable to pay Sportsman's the amount of damages agreed upon by the parties.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Collins was negligent in providing advice to Sportsman's. He knew that Miller and Bornholdt wanted replacement cost value but failed to advise them that this was impossible without a co-insurance or other arrangement providing 90 per cent of replacement coverage. He also failed to advise them properly about co-insurance.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4" w:name="Counsel_38"/>
      <w:bookmarkEnd w:id="2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Morrie Sacks, for the plaintiff. Peter M. Willcock and R. Shah, articling student,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5" w:name="Judgment_37"/>
      <w:bookmarkEnd w:id="265"/>
      <w:r>
        <w:pict>
          <v:line id="_x0000_s1218" style="position:absolute;z-index:2518005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6" w:name="OPPAL J."/>
            <w:bookmarkEnd w:id="266"/>
            <w:r>
              <w:rPr>
                <w:rFonts w:ascii="arial" w:eastAsia="arial" w:hAnsi="arial" w:cs="arial"/>
                <w:b/>
                <w:color w:val="000000"/>
                <w:sz w:val="30"/>
                <w:lang w:val="en-US" w:eastAsia="en-US" w:bidi="ar-SA"/>
              </w:rPr>
              <w:t>OPPAL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operates a resort which was insured under a policy of insurance issued by the defendants who are insurance agents. After a fire caused damage and loss to the resort, the plaintiff learned that it was underinsured in that the value of the loss exceeded the amount of the coverage under the policy. The plaintiff alleges that the defendants were negligent in failing to give proper advice and in failing to provide the plaintiff with adequate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defence position is that the underinsuring of the property resulted from the plaintiff's own under-estimate of the replacement cost values as well as the failure of the plaintiff to provide an accurate appraisal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have agreed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Whether the defendant agents were negligent in not providing the plaintiff with proper advice and with adequate insurance to cover the damage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operates a resort in Blind Bay, which is situated near Vernon, in the province of British Columbia. Richard Bornholdt is the president and shareholder of the resort. He is responsible for its day-to-day operations. The defendant Capri Insurance Services Ltd. (Capri) operates an insurance agency in Vernon. The defendant Bob Collins (Mr. Collins) is an insurance agent who at all material times was a shareholder and selling agent of Capri.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Bornholdt is 60 years old. He has a grade 9 education. He has had a varied work history. He has worked on farms, on highways, in oil fields and in building maintenance. He has also been a heavy equipment operator. In 1990 he purchased a 25% interest in the plaintiff company from Lou Miller, who remains a 25% shareholder. However, it appears that the latter is no longer active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initial policy of insurance on the resort had been purchased by Mr. Miller from Mr. Collins and Capri in 1989. The circumstances relating to the purchase of the policy are said to be most relevant. However, neither Mr. Miller nor Mr. Collins was called to testify. Plaintiff's counsel read in Mr. Collins' evidence from the examination for discovery. The plaintiff's position in this action is that the defendants failed to provide it with full replacement cost coverage and failed to explain co-insurance. The defence position is that the onus was on Mr. Miller to tell Mr. Collins the value of the property and that the policy was based upon the values that Mr. Miller provided to Mr. Collins. The defence has further argued that Mr. Miller had full knowledge about co-insurance.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Mr. Collins' evidence at the examination for discovery, he discussed the values for replacement costs with Mr. Miller and he relied on him in order to determine the initial values of the property. He testified that at the time he sold the policy to Mr. Miller the agency used an application form entitled "a statement of values". He said that the statement which does not specify whether the values are actual cash values or replacement cost values is no longer in use. It appears that Mr. Collins does not have a clear recollection as to what took place in his initial meeting with Mr. Miller. He said that on that first occasion he walked through the property, examined it and took measurements and photographs. He then made a checklist. However, he often referred to what was his normal practice. In relating evidence of that first meeting, he gave the following answers at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what you recall in terms of what you did when you were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would have done the inspection, you know, walked through the campground, measured up the size of buildings, took photos of each building, sent them off to the insurance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else? Prepared the insurance quote for him,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take it you didn't prepare the insurance quote while you were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mean I got the application for the insurance quote and went back to the office.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specifically recall doing these things or you're telling me that's what you think you probably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know I was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I'm not challenging the fact that you were there. Presumably, you walked through the campground?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Measured up the buildings?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for a fact that you did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 you know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it is normal practice.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that in determining values his practice is to go over a checklist with a client in order to determine a customer's wishes. He said that it is ultimately the customer who decides the value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important to note that some time in the 1980s Mr. Miller had suffered an unrelated financial loss as a result of underinsuring a hotel that he owned in Parksville. It is the defence position that the evidence of the previous fire loss is relevant to show that Mr. Miller at least was aware of the consequences of underinsuring property. There is some dispute as to what Mr. Miller told Mr. Collins about the previous fire loss. The plaintiff's position is that Mr. Collins failed to advise Mr. Miller about co-insurance, while the defence position is that Mr. Miller knew, or at the very least ought to have known, about co-insurance. At the discovery Mr. Collins said "he [Miller] had been through a fire on the Island at a hotel and he knew what to be underinsured was like". He agreed that Mr. Miller was particularly concerned about being underinsured. He was then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else do you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Him telling me what values he wanted.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recollect anymore.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further questioning he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about making sure that the property is insured to 100 percent of replacement cost?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Seeing as Lou had already been through a fire, he said that it was the replacement cost.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he told you this is the replacement cost?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you were satisfied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tell him about co-insurance?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tell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tell him about co-insurance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tell him about co-insurance because he knew, he already had been through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had been through a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 hmm, which related to co-insurance.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about that. What do you recall about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said that he was vastly underinsured on a motel or hotel on the Island.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 heard you tell me that he didn't want to be underinsured; I didn't hear that he had been underinsured.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he had been underinsured. He had a big fire in a hotel that I believe it was Parksville, but I'm not sure, but I know it was on the Island, and was vastly underinsured so he knew what co-insurance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discussing co-insurance with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Bornholdt took over the management of the resort in 1994. He testified that when he assumed the managerial position, he was unaware of the precise amount of insurance that was needed. Each year he simply renewed the previous policy with Mr. Collins. From time to time it was adjusted in order to address inflation. He said that other than a discussion about annual premiums, he had no real discussions with Mr. Collins about insurance. According to Mr. Bornholdt, Mr. Collins did not sit down with him in order to discuss coverage, claims, losses or co-insurance. He said that he had no real knowledge of insurance coverage and that he relied on Mr. Collins. He said, "I leave it up to the agent." He also said he knew nothing about co-insurance. He learned about it two days after the fire. He had assumed that the insurance was adequate. He said that Mr. Collins did not tell him that there were limits to his recovery. Mr. Bornholdt did not appear to be overly sophisticated on insurance matters. For his part, Mr. Collins said that he discussed replacement values with Mr. Bornholdt but did not discuss co-insurance.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purchased the policy in question on July 31, 1995 for a one-year term. The policy provided coverage for the building on the plaintiff's premises in the amount of $280,000. Again, the statement of values fails to make any distinction between actual cash values and replacement cost values. The policy contained a co-insurance clause which stipulated that the insured must insure the property to an amount equal to at least 90 percent of the replacement cost in order to secure full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March 25, 1996 a fire destroyed a substantial portion of the plaintiff's building. It is not in dispute that the loss well exceeded the amount of the coverage provided by the policy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September 1994 the plaintiff's property had been appraised. The appraisal took into account both the land and buildings. Mr. Bornholdt said that when he renewed the policy in 1995 he did not give the appraisal to Mr. Collins. He said that he thought the appraisal was for tax purposes and had nothing to do with insurance. Moreover, Mr. Collins did not ask for an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Mr. Bornholdt agreed that he had on previous occasions purchased insurance in a meat business that he owned in Saskatchewan as well as for a garbage disposal company in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Each party called expert testimony. Mrs. Joanne Thompson, a chartered insurance broker, testified for the plaintiff. She said that the advice and the service offered by Mr. Collins were totally inadequate. She testified that since Mr. Bornholdt was in effect a new client she would have treated the matter as a new application. She said that he should have provided a detailed report with a checklist. She said that a reasonably competent insurance broker ought to have seen an appraisal in order to ensure that there was adequate insurance on the property. She was also critical of the statement of values that was relied on by Mr. Collins. She said that that statement fails to mention replacement costs, actual cash value or co-insurance. She said that he clearly ought to have advised Mr. Bornholdt that co-insurance was available and further ought to have advised him of the consequences of not having co-insurance. She also testified that "I would have told him that he would suffer a co-insurance penalty". She also said that a reasonably competent broker would have obtained an inventory of a client's replacement cost or actual cash value. She said he should have done an inspection on the property and that his records were not adequate. Moreover he ought to have told Mr. Bornholdt to get a replacement cost appraisal. However, in cross-examination she agreed that in a previous trial in which she was a defendant she testified that it was not necessary to carefully inspect a property in the way that she suggested. She also agreed that in the previous trial she stated that it was not necessary to make a checklist that she now advocates. It should be noted that the claim against her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called Jack Robertson, a broker who, not surprisingly, disagreed with some of the opinion evidence offered by Mrs Thompson. He has been an insurance broker since 1956. He was not critical of the procedures and policies suggested by Mrs. Thompson. However, he said it is not practicable for an agent to comply with such detailed and cumbersome procedures. He further stated that the industry standard is such that few, if any, agents would undertake the type of scrutiny and preparation advocated by Mrs. Thompson. He agreed with many of Mrs. Thompson's suggestions and opinions. He said that the majority of clients are concerned with costs and coverage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Robertson said that he would rely on an insured's statement of value for the purpose of replacement cost insurance, providing the values provided to him were not "ridiculous". He said that it is his practice at the time of a policy renewal to provide an insured with a summary of the insurance, a summary of the coverage with limitations. However, he agreed in cross-examination that it would be prudent for an agent to use a form that sets out in clear and concise terms the distinction of replacement cost and actual cash value. He agreed that the statement of values should have specified whether the policy was to be in actual cash values or replacement cost values. He said that he would have asked an insured if there were an appraisal of the property. Mr. Robertson agreed that a reasonably competent broker should have explained a co-insurance clause to an insured. He also agreed that the September 1994 appraisal which was a market value appraisal is of no value for replacement cost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leading case on the duty of care of an insurance agent is Fine's Flowers Ltd. et al. v. General Accident Assurance Co. of Canada et al. </w:t>
      </w:r>
      <w:hyperlink r:id="rId610" w:history="1">
        <w:r>
          <w:rPr>
            <w:rFonts w:ascii="arial" w:eastAsia="arial" w:hAnsi="arial" w:cs="arial"/>
            <w:i/>
            <w:color w:val="0077CC"/>
            <w:sz w:val="20"/>
            <w:u w:val="single"/>
            <w:shd w:val="clear" w:color="auto" w:fill="FFFFFF"/>
            <w:lang w:val="en-US" w:eastAsia="en-US" w:bidi="ar-SA"/>
          </w:rPr>
          <w:t>(1977), 81 D.L.R. (3d) 139</w:t>
        </w:r>
      </w:hyperlink>
      <w:r>
        <w:rPr>
          <w:rFonts w:ascii="arial" w:eastAsia="arial" w:hAnsi="arial" w:cs="arial"/>
          <w:color w:val="000000"/>
          <w:sz w:val="20"/>
          <w:lang w:val="en-US" w:eastAsia="en-US" w:bidi="ar-SA"/>
        </w:rPr>
        <w:t xml:space="preserve"> (Ont. C.A.). The facts are worth noting. The heating system in the plaintiff's greenhouses failed and caused damage to its crops. The plaintiff assumed that he was covered for the loss. The defendant agent had obtained coverage under a policy that did not fully cover the loss. The trial judge held the agent liable for a breach of contract and also for a breach of duty to inform the plaintiff of the shortcoming in the coverage. The Ontario Court of Appeal in dismissing the insurer's appeal held that the insurer was in breach of a contractual undertaking and was also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breach of duty for failing to warn the plaintiff of the lack of coverage. Estey C.J.O., at p. 143,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the duty of the defendant agent to either procure such coverage, or draw to the attention of the plaintiff his failure or inability to do so and the consequent gap in coverage. Having done neither, the defendant agent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whether or not the instructions to insure all "insurable" risks or to see that the plaintiff was "adequately covered with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Supreme Court of Canada approved of the reasoning in Fine's Flowers, supra, in Fletcher v. Manitoba Public Insurance Co. </w:t>
      </w:r>
      <w:hyperlink r:id="rId611" w:history="1">
        <w:r>
          <w:rPr>
            <w:rFonts w:ascii="arial" w:eastAsia="arial" w:hAnsi="arial" w:cs="arial"/>
            <w:i/>
            <w:color w:val="0077CC"/>
            <w:sz w:val="20"/>
            <w:u w:val="single"/>
            <w:shd w:val="clear" w:color="auto" w:fill="FFFFFF"/>
            <w:lang w:val="en-US" w:eastAsia="en-US" w:bidi="ar-SA"/>
          </w:rPr>
          <w:t>(1990), 74 D.L.R. (4th) 636</w:t>
        </w:r>
      </w:hyperlink>
      <w:r>
        <w:rPr>
          <w:rFonts w:ascii="arial" w:eastAsia="arial" w:hAnsi="arial" w:cs="arial"/>
          <w:color w:val="000000"/>
          <w:sz w:val="20"/>
          <w:lang w:val="en-US" w:eastAsia="en-US" w:bidi="ar-SA"/>
        </w:rPr>
        <w:t xml:space="preserve"> (S.C.C.). In that case the Court held that at an insurer has a duty to advise an insured of the availability of underinsured motorist coverage. The trial judge found that had the insurance been offered to the plaintiff he would have purchased it. However, by failing to apprise the plaintiff of its availability, the insurer was in breach of its duty to the insured. Wilson J., at pp. 654-655,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Fine's Flowers stands for the proposition that private insurance agents owe a duty to their customers to provide not only information about available coverage, but also advice about which forms of coverage they require in order to meet their needs. I note that Professor H. Snow has summarized the effect of Fine's Flowers in "Liability of Insurance Agents for Failure to Obtain Effective Coverage: Fine's Flowers Ltd. v. General Accident Insurance Co." (1979), 9 Man. L.J. 165, in the following terms (at p. 169):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implication of this case and many others like it in recent years seems clear. Consumers who place their faith in insurance agents holding themselves out as competent and find their faith misplaced, will frequently be able to find recourse against the agent. ... </w:t>
      </w:r>
      <w:r>
        <w:rPr>
          <w:rFonts w:ascii="arial" w:eastAsia="arial" w:hAnsi="arial" w:cs="arial"/>
          <w:b/>
          <w:color w:val="000000"/>
          <w:sz w:val="20"/>
          <w:lang w:val="en-US" w:eastAsia="en-US" w:bidi="ar-SA"/>
        </w:rPr>
        <w:t>[T]he extent of the duty owed by an insurance agent, both in placing insurance and in indicating to the insured which risks are covered and which are not, as set out in this case, is a fairly stringent one for the agent</w:t>
      </w:r>
      <w:r>
        <w:rPr>
          <w:rFonts w:ascii="arial" w:eastAsia="arial" w:hAnsi="arial" w:cs="arial"/>
          <w:color w:val="000000"/>
          <w:sz w:val="20"/>
          <w:lang w:val="en-US" w:eastAsia="en-US" w:bidi="ar-SA"/>
        </w:rPr>
        <w:t>. Moreover, given the general situation of the principal relying very heavily on the expertise of the agent, it does not seem to be an unreasonable burden for an insurance agent to bear.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owed by an insurance agent was further elaborated in G.K.N. Keller Canada Ltd. v. Hartford Fire Insurance Co. </w:t>
      </w:r>
      <w:hyperlink r:id="rId612" w:history="1">
        <w:r>
          <w:rPr>
            <w:rFonts w:ascii="arial" w:eastAsia="arial" w:hAnsi="arial" w:cs="arial"/>
            <w:i/>
            <w:color w:val="0077CC"/>
            <w:sz w:val="20"/>
            <w:u w:val="single"/>
            <w:shd w:val="clear" w:color="auto" w:fill="FFFFFF"/>
            <w:lang w:val="en-US" w:eastAsia="en-US" w:bidi="ar-SA"/>
          </w:rPr>
          <w:t>(1983), 1 C.C.L.I. 34</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[1983] I.L.R. 1-1656</w:t>
        </w:r>
      </w:hyperlink>
      <w:r>
        <w:rPr>
          <w:rFonts w:ascii="arial" w:eastAsia="arial" w:hAnsi="arial" w:cs="arial"/>
          <w:color w:val="000000"/>
          <w:sz w:val="20"/>
          <w:lang w:val="en-US" w:eastAsia="en-US" w:bidi="ar-SA"/>
        </w:rPr>
        <w:t xml:space="preserve"> (Ont. H.C.)(confirmed on appeal </w:t>
      </w:r>
      <w:hyperlink r:id="rId614" w:history="1">
        <w:r>
          <w:rPr>
            <w:rFonts w:ascii="arial" w:eastAsia="arial" w:hAnsi="arial" w:cs="arial"/>
            <w:i/>
            <w:color w:val="0077CC"/>
            <w:sz w:val="20"/>
            <w:u w:val="single"/>
            <w:shd w:val="clear" w:color="auto" w:fill="FFFFFF"/>
            <w:lang w:val="en-US" w:eastAsia="en-US" w:bidi="ar-SA"/>
          </w:rPr>
          <w:t>(1984), 4 C.C.L.I. xxxvii</w:t>
        </w:r>
      </w:hyperlink>
      <w:r>
        <w:rPr>
          <w:rFonts w:ascii="arial" w:eastAsia="arial" w:hAnsi="arial" w:cs="arial"/>
          <w:color w:val="000000"/>
          <w:sz w:val="20"/>
          <w:lang w:val="en-US" w:eastAsia="en-US" w:bidi="ar-SA"/>
        </w:rPr>
        <w:t xml:space="preserve"> (Ont. C.A.)). It was held in that case that </w:t>
      </w:r>
      <w:r>
        <w:rPr>
          <w:rFonts w:ascii="arial" w:eastAsia="arial" w:hAnsi="arial" w:cs="arial"/>
          <w:color w:val="000000"/>
          <w:sz w:val="20"/>
          <w:u w:val="single"/>
          <w:lang w:val="en-US" w:eastAsia="en-US" w:bidi="ar-SA"/>
        </w:rPr>
        <w:t>where the customer adequately describes the nature of his or her business to the agent, the onus is then on the agent to review the insurance needs of the customer and provide the full coverage requested. Should an uninsured loss occur, the agent will be liable unless he or she has pointed out the gaps in coverage to the customer and advised him or her how to protect against those gaps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More specifically, there is a duty on an agent to advise an insured about co-insurance. In Niagara Frontier Caterers Ltd. v. Continental Insurance Co. of Canada </w:t>
      </w:r>
      <w:hyperlink r:id="rId615" w:history="1">
        <w:r>
          <w:rPr>
            <w:rFonts w:ascii="arial" w:eastAsia="arial" w:hAnsi="arial" w:cs="arial"/>
            <w:i/>
            <w:color w:val="0077CC"/>
            <w:sz w:val="20"/>
            <w:u w:val="single"/>
            <w:shd w:val="clear" w:color="auto" w:fill="FFFFFF"/>
            <w:lang w:val="en-US" w:eastAsia="en-US" w:bidi="ar-SA"/>
          </w:rPr>
          <w:t>(1990), 5 C.C.L.I. (2d) 54</w:t>
        </w:r>
      </w:hyperlink>
      <w:r>
        <w:rPr>
          <w:rFonts w:ascii="arial" w:eastAsia="arial" w:hAnsi="arial" w:cs="arial"/>
          <w:color w:val="000000"/>
          <w:sz w:val="20"/>
          <w:lang w:val="en-US" w:eastAsia="en-US" w:bidi="ar-SA"/>
        </w:rPr>
        <w:t xml:space="preserve"> (Ont. S.C.), the Court held that having regard to the significance of a co-insurance requirement, an agent was negligent in failing to advise the insured of the possible consequences and effects of the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"Duties of Insurance Agents and Brokers A Guide to Managing Responsibilities" by Alan I. Bossin, (Aurora Professional Press, a division of Canada Law Book Inc., 1995), the learned author stated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agent is the link between the insurer and insured and bears the consequences of the actions between the parties. The common law of agency is concerned with the responsibilities of an agent to its principal, and the examination of the duties of an insurance agent begins with a determination as to whom the duties are 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agent owes a duty to whichever of the parties in the insurance transaction is its principal. The authority granted to the agent by the principal forms the basis for the agent's assumption of these responsibilities. In many instances, the shifting nature of the insurance agent's obligations throughout the many steps in the insurance transaction has made the insurance agent both the agent of the insurer for some tasks, and the agent of the insured/client for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agent will be face with a variety of fairly strict obligations to the client throughout the many stages of the transaction. These responsibilities and challenges include:</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obtaining and understanding the client's instructions;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determining the client's needs and requirements;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appropriate counsel and advice;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effectively marketing the client's risks;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confirming coverage or the absence of coverage;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servicing the client's ongoing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law is not in dispute. An insurance agent owes a duty of care to a client. That duty goes beyond the mere taking and complying with instructions. As the Court said in the Fine's Flowers case, an agent owes a duty to a client not only to provide information about available coverage but also advice on the forms of coverage that may be required to meet a client's needs. In this case, the evidence is clear that both Mr. Miller and Mr. Bornholdt wanted full replacement cost coverage. Mr. Collins knew about their needs and the nature of their business. He agreed that the statement of values was important in determining the amount of coverage that was required. However, the statement of value fails to make any distinction between actual cash values and replacement cost values. In failing to make that distinction and in failing to fully discuss the insurance needs with both clients, Mr. Collins failed to meet the standard of a reasonably competent insurance broker. Moreover, I cannot accept the defence argument that Mr. Collins told Mr. Miller about co-insurance. Mr. Collins' evidence on this point is unclear at best. In fact, at the discovery on two occasions he said he did not tell him about co-insurance and on two occasions he said he had. It is an agent's duty to explain a co-insurance clause and its consequences to a client: see Niagara Frontier Caterers Ltd. v. Continental Insurance Co. of Canada, supra. The most that can be said is that Mr. Collins assumed that Mr. Miller knew about co-insurance because of his previous fire loss. The fact that he did not have full coverage for that loss should have alerted Mr. Collins of the need to explicitly advise him about co-insurance. He ought to have clearly explained co-insurance to Mr. Miller. Mr. Collins agreed that he did not explain co-insurance to Mr. Bornholdt. Since Mr. Bornholdt was purchasing insurance on an annual basis, albeit on renewals, Mr. Collins similarly ought to have explained co-insurance to him. Mr. Collins must surely have been aware of Mr. Bornholdt's lack of sophistication. Thus, Mr. Collins' failure to explain full replacement costs and co-insurance to both Mr. Miller and Mr. Bornholdt was a breach of his duties to both parties. For these reasons the plaintiff's claim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will be judgment for the plaintiff in the amount agreed upon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OPPAL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Texada Land Corp. v. Texada Logging Ltd., [2003] B.C.J. No. 2225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S016944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2225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1458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416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Texada Land Corporation, plaintiff, and Texada Logging Ltd., Agra Simons Limited/Agra Simons Limitee and ORM Resources Canada Ltd. dba Olympic Resource Management, defendants, and Regan Tretheway,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40"/>
      <w:bookmarkEnd w:id="267"/>
      <w:r>
        <w:rPr>
          <w:rFonts w:ascii="arial" w:eastAsia="arial" w:hAnsi="arial" w:cs="arial"/>
          <w:b/>
          <w:color w:val="000000"/>
          <w:sz w:val="20"/>
          <w:lang w:val="en-US" w:eastAsia="en-US" w:bidi="ar-SA"/>
        </w:rPr>
        <w:t>Practice — Trials — Summary trials — Availability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8" w:name="Case Summary_38"/>
            <w:bookmarkEnd w:id="2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Texada Logging for dismissal of Texada Land Corporation's action against it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Cross-application by Texada Land for dismissal of Texada Logging's application. Texada Land purchased land from Texada Logging under a contract. Texada Land claimed it was induced into concluding the contract because of a misrepresentation by Texada Logging with respect to the volume of merchantable timber that might be harvested from the lands. Texada Logging denied that it made any representation with respect to timber volumes. A clause under the contract provided that there were no representations affecting the agreement, except as expressed in the contract.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9" w:name="Holdings of Court_33"/>
            <w:bookmarkEnd w:id="269"/>
            <w:r>
              <w:rPr>
                <w:rFonts w:ascii="arial" w:eastAsia="arial" w:hAnsi="arial" w:cs="arial"/>
                <w:color w:val="000000"/>
                <w:sz w:val="20"/>
                <w:lang w:val="en-US" w:eastAsia="en-US" w:bidi="ar-SA"/>
              </w:rPr>
              <w:t>HELD: Application dismissed and cross-application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matter was not suitable for trial under Rule 18A, given that certain findings of fact could not be made summarily. Those questions could not be answered without full consideration of all the evidence in the course of a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0" w:name="Legislation Cited_31"/>
      <w:bookmarkEnd w:id="2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1" w:name="Counsel_39"/>
      <w:bookmarkEnd w:id="2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D.P. Church and I.G. Schildt, for the plaintiff. H. Shapray, Q.C. and S.M. Fitterman, for the defendants, Texada Logging Ltd. D.R. Bennett and A.G. Mackay, for the defendants, ORM Resources Canada Ltd. G.B. Walker, for the defendants, Agra Simons Limited.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38"/>
      <w:bookmarkEnd w:id="272"/>
      <w:r>
        <w:pict>
          <v:line id="_x0000_s1223"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PITFIELD J."/>
            <w:bookmarkEnd w:id="273"/>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is under case management and scheduled for trial commencing January 26, 2004. Texada Logging Ltd. has applied under Rule 18A of the Rules of Court for an order that the Texada Land Corporation action founded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 dismissed. The application is scheduled for hearing commencing October 7, 2003. In response to TLL's application, TLC applies under Rule 18A(8) for an order dismissing the TLL application. Rule 18A(8) provides as follows:</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an application under subrule (1), the court may</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application under subrule (1), or</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application under subrule (1) on the ground that</w:t>
      </w:r>
    </w:p>
    <w:p>
      <w:pPr>
        <w:numPr>
          <w:numId w:val="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application under subrule (1) are not suitable for disposition under this rule, or</w:t>
      </w:r>
    </w:p>
    <w:p>
      <w:pPr>
        <w:numPr>
          <w:numId w:val="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under subrule (1)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TLC purchased land from TLL under a contract dated June 23, 1999. TLC claims it was induced to conclude the contract because of a misrepresentation made by TLL with respect to the volume of merchantable timber that might be harvested from the lands. It claims that the misrepresentation made by TLL constituted a breach of contract. In the alternative, TLC says the information imparted to it by TLL with respect to timber volumes on the property constituted an actionable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TLL denies that it made any representation with respect to timber volumes. It says, in any event, that the sale agreement made no reference to timber volumes and there can be no action in respect of any discussion about timber volumes that might have occurred because of s. 17.1 of the contract which provided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are no representations, warranties, collateral agreements or conditions affecting this Agreement or the Property other than as expressed herein in writing, and this Agreement supersedes all memoranda previously executed by the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agree that there is a dispute regarding the nature of the representation, should one have been made by TLL with respect to timber volume, and there is a dispute regarding the actual volume of timber on the property. The parties agree that resolution of those issues, if they must be resolved, will necessitate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TLL submits that the dispute is ripe for determination under Rule 18A because of clause 17.1 which obviates the need to do anything other than construe the terms of the contract, none of which makes any reference to timber volumes. Simply stated, TLL's position is that because of clause 17.1, the court need not be concerned with evidence regarding that which might have been said or done in the pre-contract stage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To the contrary, TLC submits that one or more terms of the contract extends to timber volumes and, in the alternative, the "no representation or warranties" clause cannot defeat its action founded in negligent misrepresentation. TLC submits that the judge who tries the action must consider the factual matrix surrounding the entire transaction in order to make findings of fact on the following questions: whether there was a representation with respect to timber volumes; whether any representation that was made was accurate or inaccurate; whether any representation was negligently made; and whether any representation negligently made was relied upon by TLC. It says all of those findings will have a bearing on the question whether clause 17.1 affords TLL the protection it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relation to its action based on contract, TLC points to clauses 7(1)(k) and (n) of the contract providing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[TLL] represents, covenants and warrants that: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and every document, schedule, item and other information to be delivered to [TLC] by [TLL] hereunder shall be fully true and complete, in all material respects, and no such document, schedule or information contains or will contain any untrue statement of a material fact;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best information and belief of [TLL] the disclosure statement attached as Schedule "C" is correct in all material respects and there are no other material matters not disclosed to [TLC]. To the extent that any matter contained in Schedule "C" is inconsistent with any of the representations or warranties of [TLL] contained in this [agreement] then such representation or warranty shall be read as if the words "except as disclosed in Schedule "C"" was contained in such representation or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TLC says Schedule "C" contained no reference to timber volume. It says that timber volume was a material matter that should have been disclosed and claims that the fact it was not resulted in a breach of the TLL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my opinion, the question whether clause 7(1)(k) or (n) is directed to timber volumes must be determined, at least in part, by reference to evidence that will permit the court to make a finding with respect to the question whether anything was said about timber, whether what was said was inaccurate, and whether any inaccuracy that might be proved amounted to a "material matter" within the meaning of clause 7(1)(n).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Having regard for the fact that the parties agree the findings of fact to which I have referred cannot be made in a Rule 18A proceeding, the matter is not suitable for trial in conformity with that Rule: Inspiration Management Ltd. v. McDermid St. Lawrence Ltd. </w:t>
      </w:r>
      <w:hyperlink r:id="rId27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TLC's alternative claim is that if the representation made by TLL with respect to timber volume was not of a kind described in the contract, it was a negligent misrepresentation in respect of which TLL is afforded no protection by clause 17.1 of the contract. In support of its position, TLC relies on Zippy Print Enterprises Ltd. v. Pawliuk </w:t>
      </w:r>
      <w:hyperlink r:id="rId623" w:history="1">
        <w:r>
          <w:rPr>
            <w:rFonts w:ascii="arial" w:eastAsia="arial" w:hAnsi="arial" w:cs="arial"/>
            <w:i/>
            <w:color w:val="0077CC"/>
            <w:sz w:val="20"/>
            <w:u w:val="single"/>
            <w:shd w:val="clear" w:color="auto" w:fill="FFFFFF"/>
            <w:lang w:val="en-US" w:eastAsia="en-US" w:bidi="ar-SA"/>
          </w:rPr>
          <w:t>(1994), 100 B.C.L.R. (2d) 55</w:t>
        </w:r>
      </w:hyperlink>
      <w:r>
        <w:rPr>
          <w:rFonts w:ascii="arial" w:eastAsia="arial" w:hAnsi="arial" w:cs="arial"/>
          <w:color w:val="000000"/>
          <w:sz w:val="20"/>
          <w:lang w:val="en-US" w:eastAsia="en-US" w:bidi="ar-SA"/>
        </w:rPr>
        <w:t xml:space="preserve"> at 70 citing Bauer v. Bank of Montreal </w:t>
      </w:r>
      <w:hyperlink r:id="rId624" w:history="1">
        <w:r>
          <w:rPr>
            <w:rFonts w:ascii="arial" w:eastAsia="arial" w:hAnsi="arial" w:cs="arial"/>
            <w:i/>
            <w:color w:val="0077CC"/>
            <w:sz w:val="20"/>
            <w:u w:val="single"/>
            <w:shd w:val="clear" w:color="auto" w:fill="FFFFFF"/>
            <w:lang w:val="en-US" w:eastAsia="en-US" w:bidi="ar-SA"/>
          </w:rPr>
          <w:t>(1980), 110 D.L.R. (3d) 424</w:t>
        </w:r>
      </w:hyperlink>
      <w:r>
        <w:rPr>
          <w:rFonts w:ascii="arial" w:eastAsia="arial" w:hAnsi="arial" w:cs="arial"/>
          <w:color w:val="000000"/>
          <w:sz w:val="20"/>
          <w:lang w:val="en-US" w:eastAsia="en-US" w:bidi="ar-SA"/>
        </w:rPr>
        <w:t xml:space="preserve"> (S.C.C.) at 430-31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Various authorities were cited for the proposition that a contract induced by misrepresentation or by an oral representation, inconsistent with the form of the written contract, would not stand and could not bind the party to whom the representation had been made. These authorities included Canadian Indemnity Co. v. Okanagan Mainline Real Estate Board et al </w:t>
      </w:r>
      <w:hyperlink r:id="rId625" w:history="1">
        <w:r>
          <w:rPr>
            <w:rFonts w:ascii="arial" w:eastAsia="arial" w:hAnsi="arial" w:cs="arial"/>
            <w:i/>
            <w:color w:val="0077CC"/>
            <w:sz w:val="20"/>
            <w:u w:val="single"/>
            <w:shd w:val="clear" w:color="auto" w:fill="FFFFFF"/>
            <w:lang w:val="en-US" w:eastAsia="en-US" w:bidi="ar-SA"/>
          </w:rPr>
          <w:t>(1970), 16 D.L.R. (3d) 715</w:t>
        </w:r>
      </w:hyperlink>
      <w:r>
        <w:rPr>
          <w:rFonts w:ascii="arial" w:eastAsia="arial" w:hAnsi="arial" w:cs="arial"/>
          <w:color w:val="000000"/>
          <w:sz w:val="20"/>
          <w:lang w:val="en-US" w:eastAsia="en-US" w:bidi="ar-SA"/>
        </w:rPr>
        <w:t xml:space="preserve"> at p. 720, </w:t>
      </w:r>
      <w:hyperlink r:id="rId625" w:history="1">
        <w:r>
          <w:rPr>
            <w:rFonts w:ascii="arial" w:eastAsia="arial" w:hAnsi="arial" w:cs="arial"/>
            <w:i/>
            <w:color w:val="0077CC"/>
            <w:sz w:val="20"/>
            <w:u w:val="single"/>
            <w:shd w:val="clear" w:color="auto" w:fill="FFFFFF"/>
            <w:lang w:val="en-US" w:eastAsia="en-US" w:bidi="ar-SA"/>
          </w:rPr>
          <w:t>[1971] S.C.R. 493</w:t>
        </w:r>
      </w:hyperlink>
      <w:r>
        <w:rPr>
          <w:rFonts w:ascii="arial" w:eastAsia="arial" w:hAnsi="arial" w:cs="arial"/>
          <w:color w:val="000000"/>
          <w:sz w:val="20"/>
          <w:lang w:val="en-US" w:eastAsia="en-US" w:bidi="ar-SA"/>
        </w:rPr>
        <w:t xml:space="preserve"> at p. 500, per Judson, J.; Jaques v. Lloyd D. George &amp; Partners Ltd., [1968] 1 W.L.R. 625 (C.A.), per Lord Denning at pp. 630-1; Firestone Tire &amp; Rubber Co., Ltd. v. Vokins &amp; Co. Ltd., [1951] 1 Lloyd's Rep. 32 (K.B.), see Devlin, J., at p. 39, and Mendelssohn v. Norman Ltd., [1970] 1 Q.B. 177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quarrel can be made with the general proposition advanced on this point by the appellant. To succeed, however, this argument must rest upon a finding of some misrepresentation by the bank, innocent or not...For reasons which will appear later in that part of this judgment dealing with the collateral contract argument, I am of the view that there is no evidence which would support any such finding against the bank. The cases referred to above support the general proposition advanced but rest upon a factual basis providing support for the argument. In each case there is a clear finding of a specific misrepresentation which led to the formation of the contract in question, a circumstance not to be found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Zippy Print, Lambert J.A. cited the unanimous decision of the Court of Appeal in Betker v. Williams </w:t>
      </w:r>
      <w:hyperlink r:id="rId626" w:history="1">
        <w:r>
          <w:rPr>
            <w:rFonts w:ascii="arial" w:eastAsia="arial" w:hAnsi="arial" w:cs="arial"/>
            <w:i/>
            <w:color w:val="0077CC"/>
            <w:sz w:val="20"/>
            <w:u w:val="single"/>
            <w:shd w:val="clear" w:color="auto" w:fill="FFFFFF"/>
            <w:lang w:val="en-US" w:eastAsia="en-US" w:bidi="ar-SA"/>
          </w:rPr>
          <w:t>(1991), 63 B.C.L.R. (2d) 14</w:t>
        </w:r>
      </w:hyperlink>
      <w:r>
        <w:rPr>
          <w:rFonts w:ascii="arial" w:eastAsia="arial" w:hAnsi="arial" w:cs="arial"/>
          <w:color w:val="000000"/>
          <w:sz w:val="20"/>
          <w:lang w:val="en-US" w:eastAsia="en-US" w:bidi="ar-SA"/>
        </w:rPr>
        <w:t xml:space="preserve"> and then stated the following at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apply the principle enunciated by this Court in Betker v. Williams to the circumstances of this case. A general exclusion clause will not override a specific representation on a point of substance which was intended to induce the making of the agreement unless the intended effect of the exclusion clause can be shown to have been brought home to the party to whom the representation was made by being specifically drawn to the attention of that party, or by being specifically acknowledged by that party, or in some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reasoning of the Court of Appeal in Zippy Print was followed by Melnick J. in 411397 B.C. Ltd. v. Granmour Holdings Ltd., </w:t>
      </w:r>
      <w:hyperlink r:id="rId627" w:history="1">
        <w:r>
          <w:rPr>
            <w:rFonts w:ascii="arial" w:eastAsia="arial" w:hAnsi="arial" w:cs="arial"/>
            <w:i/>
            <w:color w:val="0077CC"/>
            <w:sz w:val="20"/>
            <w:u w:val="single"/>
            <w:shd w:val="clear" w:color="auto" w:fill="FFFFFF"/>
            <w:lang w:val="en-US" w:eastAsia="en-US" w:bidi="ar-SA"/>
          </w:rPr>
          <w:t>[1996] B.C.J. No. 1310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for TLL forcefully submitted that as a consequence of the decision of the Supreme Court of Canada in Martel v. R., </w:t>
      </w:r>
      <w:hyperlink r:id="rId628"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xml:space="preserve">, it was under no duty of care towards TLC in the course of pre-contract negotiations. With respect, I do not construe to Martel to state such a broad principle. Rather, on policy grounds, the court refused to impose a duty of care on a party to commercial negotiations that did not result in the formation of a contact. In the same judgment, the court endorsed its ruling in Canadian National Railway v. Norsk Pacific Steamship Co., </w:t>
      </w:r>
      <w:hyperlink r:id="rId629"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in which it identified five categories of cases that potentially give rise to recovery for purely economic loss: independent liability of statutory public authorities; </w:t>
      </w:r>
      <w:r>
        <w:rPr>
          <w:rFonts w:ascii="arial" w:eastAsia="arial" w:hAnsi="arial" w:cs="arial"/>
          <w:b/>
          <w:color w:val="000000"/>
          <w:sz w:val="20"/>
          <w:lang w:val="en-US" w:eastAsia="en-US" w:bidi="ar-SA"/>
        </w:rPr>
        <w:t>negligent misrepresentation</w:t>
      </w:r>
      <w:r>
        <w:rPr>
          <w:rFonts w:ascii="arial" w:eastAsia="arial" w:hAnsi="arial" w:cs="arial"/>
          <w:color w:val="000000"/>
          <w:sz w:val="20"/>
          <w:lang w:val="en-US" w:eastAsia="en-US" w:bidi="ar-SA"/>
        </w:rPr>
        <w:t>; negligent performance of a service; negligent supply of shoddy goods or structures; and relational economic loss.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opinion, Martel has no application in present circumstances where the negotiations resulted in a contract and the allegation is that TLC was induced to enter the contract on the terms it did because of a negligent misrepresentation made by TLL with respect to timber volumes.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Much the same factual issues arise in relation to the claim of negligent misrepresentation as arise in relation to the breach of contract claim. The trier of fact will be required to determine whether there was a representation, whether any representation that was made was inaccurate, whether the inaccuracy resulted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whether TLC relied on any representation with respect to volumes, and whether any misrepresentation that might have been made was of such substance as to compel the trier of fact to conclude that TLL should be denied the protection of the "no representation and warranties" clause. As I have previously stated, and as is acknowledged by the parties, those questions cannot be answered without full consideration of all the evidence in the course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TLC application is granted and the TLL application is dismissed for the reason that relevant evidentiary issues are not suitable for disposition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Williamsburg Water Utility Co. v. Conyd, [2017] B.C.J. No. 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S30438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Williamsburg Water Utility Co. Ltd., Plaintiff, Defendant by Counterclaim, and Magdy Conyd, Defendant, Plaintiff by Counterclaim, and Comptroller of Water Rights - Water Management Branch, Glen Davidson, Comptroller, Pieter Bekker, Deputy Comptroller, Rick Couroux, Ass. Deputy Comptroller,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41"/>
      <w:bookmarkEnd w:id="274"/>
      <w:r>
        <w:rPr>
          <w:rFonts w:ascii="arial" w:eastAsia="arial" w:hAnsi="arial" w:cs="arial"/>
          <w:b/>
          <w:color w:val="000000"/>
          <w:sz w:val="20"/>
          <w:lang w:val="en-US" w:eastAsia="en-US" w:bidi="ar-SA"/>
        </w:rPr>
        <w:t>Natural resources law — Water — Application by comptroller of water rights to dismiss counterclaim allowed — Dispute arose between Conyd and private water utility that serviced his property concerning water utility's ongoing maintenance and operation — Conyd alleged that comptroller had duty of care to protect him against water utility's actions — Counterclaim did not raise cause of action — Recognition of private law duty of care would conflict with comptroller's public law duty to make discretionary decisions in public interest.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39"/>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 comptroller of water rights to dismiss the counterclaim as against it. A dispute arose between Conyd and a private water utility that serviced his property concerning the water utility's ongoing maintenance and operation. Conyd alleged that the comptroller had a duty of care to protect him against the water utility's actions and that the comptroller negligently misrepresented his rights with respect to digging a well on the property and exiting from the service area.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6" w:name="Holdings of Court_34"/>
            <w:bookmarkEnd w:id="27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counterclaim did not raise a cause of action. The recognition of a private law duty of care would conflict with the comptroller's public law duty to make discretionary decisions in the public interest. It would interfere with the overarching duty to regulate in the public interest and with the comptroller's role as a neutral arbiter in disputes between a utility and its customers. The comptroller did not tell Conyd that he could dig the well and be free of liability to the water utility.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7" w:name="Legislation Cited_32"/>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and amendments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Utilities Commission Act, </w:t>
      </w:r>
      <w:hyperlink r:id="rId637" w:history="1">
        <w:r>
          <w:rPr>
            <w:rFonts w:ascii="arial" w:eastAsia="arial" w:hAnsi="arial" w:cs="arial"/>
            <w:i/>
            <w:color w:val="0077CC"/>
            <w:sz w:val="20"/>
            <w:u w:val="single"/>
            <w:shd w:val="clear" w:color="auto" w:fill="FFFFFF"/>
            <w:lang w:val="en-US" w:eastAsia="en-US" w:bidi="ar-SA"/>
          </w:rPr>
          <w:t>R.S.B.C. 1996, c. 473, s. 10</w:t>
        </w:r>
      </w:hyperlink>
      <w:r>
        <w:rPr>
          <w:rFonts w:ascii="arial" w:eastAsia="arial" w:hAnsi="arial" w:cs="arial"/>
          <w:color w:val="000000"/>
          <w:sz w:val="20"/>
          <w:lang w:val="en-US" w:eastAsia="en-US" w:bidi="ar-SA"/>
        </w:rPr>
        <w:t>, s. 45(1), s. 59(1), s. 59(4), s. 59(5), s. 61, s. 72(1), s. 72(2), s. 73, s.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Water Act,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Water Utility Act, </w:t>
      </w:r>
      <w:r>
        <w:rPr>
          <w:rFonts w:ascii="arial" w:eastAsia="arial" w:hAnsi="arial" w:cs="arial"/>
          <w:i/>
          <w:color w:val="000000"/>
          <w:sz w:val="20"/>
          <w:lang w:val="en-US" w:eastAsia="en-US" w:bidi="ar-SA"/>
        </w:rPr>
        <w:t>R.S.B.C. 1996, C. 485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8" w:name="Counsel_40"/>
      <w:bookmarkEnd w:id="2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 by Counterclaim Williamsburg Water Utility Co. Ltd.: L.G. Bergerman.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and Plaintiff by Counterclaim appearing on his own behalf: M. Conyd.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by Counterclaim Comptroller of Water Rights - Water Management Branch: B.C. Elwood.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39"/>
      <w:bookmarkEnd w:id="279"/>
      <w:r>
        <w:pict>
          <v:line id="_x0000_s1228"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N. BROWN J."/>
            <w:bookmarkEnd w:id="280"/>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EXPLANATION OF THE PROCEEDINGS AND INTERCONNECTED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Several separate but linked proceedings are now before me. The first is </w:t>
      </w:r>
      <w:r>
        <w:rPr>
          <w:rFonts w:ascii="arial" w:eastAsia="arial" w:hAnsi="arial" w:cs="arial"/>
          <w:i/>
          <w:color w:val="000000"/>
          <w:sz w:val="20"/>
          <w:lang w:val="en-US" w:eastAsia="en-US" w:bidi="ar-SA"/>
        </w:rPr>
        <w:t>Williamsburg Water Utility Co. Ltd. v. Magdy Conyd</w:t>
      </w:r>
      <w:r>
        <w:rPr>
          <w:rFonts w:ascii="arial" w:eastAsia="arial" w:hAnsi="arial" w:cs="arial"/>
          <w:color w:val="000000"/>
          <w:sz w:val="20"/>
          <w:lang w:val="en-US" w:eastAsia="en-US" w:bidi="ar-SA"/>
        </w:rPr>
        <w:t xml:space="preserve"> ("Mr. Conyd"). The plaintiff in this civil claim is the Williamsburg Water Utility Co. Ltd. ("WWU"), a privately owned and operated water utility that services 29 of the 30 lots in a residential development located in the Chilliwack River Valley, Chilliwack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William Robert Schellenberg and Linda Rose Schellenberg operate the plaintiff Utility, WWU. The defendant, Mr. Conyd is the registered owner of 4410 Estate Drive, Chilliwack B.C., one of the lots located in Williamsburg. Without going into detail at this stage, a dispute arose between the plaintiff, the defendant and other ratepayers about the ongoing maintenance and operation of the water utility. The dispute eventually devolved into the defendant electing not to pay a water bill the plaintiff rendered and claims as outstanding. In addition, the defendant drilled a well on his property in or about February 2015. The plaintiff states the defendant was not legally entitled to do that and allegedly broke a bylaw in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the following relief in their Notice of Civil Claim, dated January 15, 2016 (at p. 4):</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 Performance and or Damages to have the Defendant immediately disconnect the unauthorized well from the plumbing on his premises;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Permanent injunctive relief to ensure that the Defendant does not, in the future, reconnect to the well to the plumbing on his premises;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compelling the defendant to make all outstanding payments to the Plaintiff, including costs associated with tampering with the Plaintiff's waterworks;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Certificate of Pending Litigation;</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and amendments thereto;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Honourable court may seem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filed a response to the plaintiff's civil claim on March 11, 2016. He states that a certain water utility covenant registered against the title of his and other properties in the development, from when the residential development was first completed, has been breached by the plaintiff. He maintains that a certain tariff the defendant and other users have had to pay under the covenant no longer applies to his property. I will discuss those details further in these reasons, but I will not dispose of that question in these reasons, which dispose of another matter, an application brought by the Comptroller of Water Rights - Water Management Branch, Glen Davidson, Comptroller, Pieter Bekker, Deputy Comptroller, and Rick Couroux, Assistant Deputy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also filed a counterclaim on March 11, 2016. In it, he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Removal of the Covenant and the rental agreement from [his] Land Title (Lot #22).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Removal of (Lot #22) from CPCN boundary;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Compensation for the hardship having NO WATER for 31 days [caused] by [the defendant] and the Comptroller office.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the WELL ($30,100.00) by [the defendant] and Comptroller's office.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Compensation for Stress related for years since 2012.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costs associated with property value loss.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for Legal [defence] (1.5).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Such further and other relief as to this Honourable Court may seem just.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Conyd is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should note that the first numbered relief sought, "Removal of the Covenant and the rental agreement from [the defendant's] Land Title" is misplaced in Mr. Conyd's counterclaim. He is now seeking that relief in a Petition, where it should have been put in the first place. I will try to explain that and the confused state of the pleadings as they were presented at the hearing. They actually encompassed three parties and a montage of civil claims, a counterclaim, a Petition, and an application brought by the Comptroller to dismiss Mr. Conyd's counterclaim as against the Comptroller and some other persons associated with him that branch out of a Provincial Ministry. The Comptroller became caught in the middle of the proceedings between Mr. Conyd and Williamsburg and wants to be disentangled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Comptroller of Water Rights-Water Management Branch, Glenn Davidson, Comptroller, Pieter Bekker, Deputy Comptroller, and Rick Couroux, Associate Deputy Comptroller, filed a response to the defendant's counterclaim and have brought their own application to dismiss the counterclaim as against the Comptroller of Water Rights-Water Management Branch and those named individuals. That application is what principally occupies these reasons for judgment. They do not dispose of the litigation between Mr. Conyd and the WWU, that is, WWU's claim for debt against Mr. Conyd; Mr. Conyd's counterclaim in that action; and his Petition for removal of WWU's covenant against his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Petition I mentioned was filed Mr. Conyd, as petitioner. It was initially identified in the Chilliwack Registry by the number S030438, Chilliwack Registry. That numbering has to be changed for the record because it is the same number as the one attached to the Notice of Civil Claim and the defendant's Counterclaim. Accordingly, the Registry will be directed to assign the Petition a different Registry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Further, the Petition's style of cause is also errant because it does not properly identify its respondents, which should be the 'Comptroller of Water Rights-Water Management Branch, Glenn Davidson, Comptroller, Pieter Bekker, Deputy Comptroller, and Rick Couroux, Assistant Deputy Comptroller'. Also Williamsburg Water Utility Co. Ltd. should be added as a respondent to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petition, Mr. Conyd seeks the following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Dismissal of the Notice of Civil Claim S-030438 Registered Jan. 15, 2016 in Chilliwack Supreme Court of BC.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the Covenant Registration No.: AC130995 and Rent Charge from Lot #22, Land Title No. BV44492 from Land Title No.: BE219438, District NEW WESTMINSTER. ...</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Lot #22 from the CPCN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respondent, Williamsburg Water Utility Co. Ltd. [WWU] opposes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Comptroller filed his notice of application in the S030438 action. There is an error in that style of cause too because it names Williamsburg Water Utility Co. Ltd., Comptroller of Water Rights-Water Management Branch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as plaintiffs, whereas they should be identified as defendants to the counterclaim filed by the defendant, Mr. Conyd.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WWU was served with notice of the Comptroller's application; but the relief sought by the Comptroller in the application was directed only at Mr. Conyd. I will refer to the Comptroller and the other individual parties connected with the Comptroller, as "the Comptroller" as they all stand in and for the same position. If one of those individuals has sworn an affidavit or otherwise figures individually in the facts, I will refer to them by name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What the Comptroller seeks is an order dismissing the counterclaim as against the Comptroller and those various individuals I have already mentioned. I note that although the Comptroller is taking an adversarial position with respect to his application to dismiss the counterclaim against the Comptroller, for the most part the facts set out in the Comptroller's materials are not adversarial, rather, provide neutral background information on which the court can rely in determining relevant background facts, the nature of various events that occurred between Mr. Conyd and WWU, the role of the Comptroller in the midst of all that has occurred between the parties, and, above all, the significance of various statutory provisions that the Comptroller has a duty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Regarding Mr. Conyd's petition, which shall be disposed of in another set of reasons, I should at least note here that the Comptroller explained that he has no jurisdiction to order the cancellation of the covenant that Mr. Conyd seeks in his petition. Nonetheless, the Comptroller's response to Mr. Conyd's petition contains facts and information relevant to Mr. Conyd's petition to cancel the covenant on his property. Provided I am satisfied Mr. Conyd has given adequate notice of his application and an opportunity for the WWU and other lot owners to be heard on whether the Covenant and its Rent Charge should be removed, the Comptroller takes no position on Mr. Conyd's application for an order removing the Rent Charge Covenant from the title to his lot. On that subject, he can only provide information to assist the court in assessing the nature of the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That all said in an attempt to clarify the confused state of the pleadings and the nature of the individual suits, I shall first dispose of the application of the Comptroller. I do so for two reasons, the first being that the Comptroller is clearly entitled to the relief sought; the second being that the Comptroller's neutral exposition of the relevant statutory provisions and of some of the events that have occurred are relevant to the disposition of both the claimant's counterclaim and the claimant's petition. Those will be disposed of in separate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NATURE OF WWU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not in issue that the WWU is a privately owned water utility that services a 29-lot subdivision in the Chilliwack River Valley. Mr. Conyd is a property owner in the service area of the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ROLE OF THE COMPTROLLER AND RELATED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Comptroller, the defendant by counterclaim, is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Mr. Couroux, one of the Comptroller's affiants on this application, recently retired from the position of Secretary to the Comptroller, a statutory position in the "Utility Regulation Section of the Water Management Branch within the Ministry of Forest Lands and Natural Resource Operations" Accordingly, he has the necessary personal knowledge of the matters he deposed to in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Couroux explains at para. 2 of his affidavit that under the </w:t>
      </w:r>
      <w:r>
        <w:rPr>
          <w:rFonts w:ascii="arial" w:eastAsia="arial" w:hAnsi="arial" w:cs="arial"/>
          <w:i/>
          <w:color w:val="000000"/>
          <w:sz w:val="20"/>
          <w:lang w:val="en-US" w:eastAsia="en-US" w:bidi="ar-SA"/>
        </w:rPr>
        <w:t>Water Utility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WUA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the Comptroller of Water Rights has certain powers and jurisdiction over the regulation of privately owned water utilities paralleling those vested in the British Columbia Utilities Commission in respect of public utilities.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secretary to the Comptroller, Mr. Couroux had certain duties under s. 10 of the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xml:space="preserve"> to assist with proceedings before the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para. 3 of his second affidavit sworn July 26, 2016, Mr. Couroux explains there are approximately 124 private water utilities under the Comptroller's jurisdiction across British Columbia. He states that the primary responsibility of the Comptroller is to ensure that rates charged for water are fair, just and reasonable, and that private utilities provide safe and adequate water service to their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He notes as well that the Comptroller also receives complaints from customers, and attempts to resolve them when they fall within his jurisdiction. He further explains that when the Comptroller reviews or investigates the customer's complaint, they are concerned with whether the utility is following the approved water tariff, which acts as a contract with its customers, and with any applicable provision of the </w:t>
      </w:r>
      <w:r>
        <w:rPr>
          <w:rFonts w:ascii="arial" w:eastAsia="arial" w:hAnsi="arial" w:cs="arial"/>
          <w:i/>
          <w:color w:val="000000"/>
          <w:sz w:val="20"/>
          <w:lang w:val="en-US" w:eastAsia="en-US" w:bidi="ar-SA"/>
        </w:rPr>
        <w:t>UCA, WUA</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Comptroller does not assist customers in seeking financial compensation or any legal remedy not provided for in the legislation. Neither does the Comptroller investigate complaints that do not arise under the approved water tariff or the legislation. He attempts to resolve complaints that fall within the Comptroller's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Turning now to the WWU, it is not in issue that it is a small, privately owned water utility servicing a 29-lot subdivision and was first issued the mandatory Certificate of Public Convenience and Necessity ("CPCN") in 1989. At para. 9, Mr. Couroux explains that "A rent charge was registered on title to each lot in the service area of the Utility at the time the subdivision was registered." The rent charge has a 40-year term. For WWU to obtain its CPCN, it first had to have a Rent Charge. Mr. Couroux explains: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requirement assists in ensuring the Utility has revenue from all lots in the service area as there are fixed costs that need to be paid by the Utility whether or not water service is being provided. This is similar to a tax on a property for services that are available, whether the services are used or not.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Comptroller on events and communications with customers of WWW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Water Tariff, one of the central documents in the case, (attached as Exhibit "A" to Mr. Couroux's affidavit) provides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that upon the Grantor (Mr. Conyd) making application to the Grantee to connect any of the said lots to the waterworks system operated by the Grantee (WWU) and agreeing to pay to the Grantee thereafter a water users' charge in accordance with the Tariff of Rates from time to time issued by the Grantee, then the above mentioned rent charge shall abate for so long as the water users' charge is paid in accordance with the said tariff. PROVIDED HOWEVER that the Grantor has paid all arrears and interest to the Grantee including the rent charge accrued to the date of application for connection, and if the arrears and interest are not paid the Grantor shall have the right to refuse the water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Comptroller accepted the current terms on which the WWU was to provide water service to the property owners, as set out in the document attached as Exhibit "B" to Mr. Couroux's affidavit. Some of its provisions are particularly relevant to the dispute that arose between WWU and some of its utility customers in June 2015. Clause 3 provides that "When an account becomes one month overdue service may be shut off upon 15 days' written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Clause 4(a)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Customers must give at least two working days' notice in writing at the office of the Utility when requesting discontinuance of service and shall be liable for payment for all service until such service has been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Clause 4(b)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Utility may discontinue service to any customer who contravenes the terms and conditions contained in this tariff ... [which would encompass paying the amount due and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clause further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event of further contravention of the tariff, the Utility may detach the service connection from the customer's premises and, upon re-application for service, the customer shall be liable to pay the Utility's cost of performing the said detachment and re-connection in addition to other applicable rates and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Clause 5 provides that the customer gives "consent, upon reasonable notice, for representatives of the Utility to enter onto the customer's property for the purposes of making connections/disconnections,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Clause 10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person, who is not an agent or employee of the Utility, shall make any connections with or alterations to or tamper with any of the Utility's waterworks, including any water meter belonging to the Utility, nor turn on or off any valve or curb stop of the Utility, without prior authorization by the Utility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Addressing the nature of the dispute which arose between customers and the Utility in 2014, Mr. Couroux explained at para. 11 of his second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Utility provided safe and adequate water service to its customers, with few complaints to our office for over 25 years. Disputes arose in 2014 ... over erratic billing. Customers expressed concern to my office over the Utility's failure to bill them for services for more than nine months. Some customers also withheld payment due to what they claimed to be incorrect billing.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Couroux provides further background to the matter at para. 12 of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customers complained that, at or around 5:00 p.m., on December 31, 2014 (New Year's Eve), they had their water service shut off by the Utility, allegedly for not paying their water bills after being given a shut off notice. My office determined that the Utility mailed the final notice on or around December 21, 2014, which gave only 10 days' notice. Fifteen days are required by the Water Tariff [as noted earlier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para. 13 of his affidavit, Mr. Couroux noted some customers disputed the amounts owing, turning their service back on themselves by tampering with the Utility's works, "which is prohibited by the Water Tariff." He notes that, "The situation escalated into verbal altercations, cars being parked overtop of the Utility's service connection boxes to prevent the Utility from turning the water back off, and involvement by the RCMP". I note in passing that it is evident from materials filed by Mr. Conyd and Mr. Schellenberg on behalf of WWU that matters did get very heated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will turn to some of the statutory provisions that address the role of the Comptroller, his statutory obligations and whether he can be sued for damages further on in these reasons. For now, I will turn to the Comptroller's response to Mr. Conyd's assertions that the Comptroller had given WWU and Linda and William Schellenberg misleading advice and failed in his duty and obligation to protect him as a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Conyd also alleged that Mr. Couroux advised him he could drill his own well and be out of WWU. In addition to removal of the covenant and its rental agreement from his title to lot #22, as mentioned earlier, and its removal from the CPCN boundary, Mr. Conyd also sought compensation for the hardship he allegedly suffered from not having water for 31 days, allegedly caused by both WWU and the Comptroller's office, compensation for stress he has suffered since 2012 and costs associated with the loss of property value. The following evidence provided by the Comptroller, Mr. Couroux specifically, responds to those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not in issue that in 2014 disputes arose between WWU and customers related to erratic billing practices. Customers complained to the Comptroller's office that WWU had failed to bill them for services for more than nine months, with some customers withholding payment due to what they regarded as incorrect billing. The Comptroller received further complaints from several utility customers that at about 5:00 p.m. on December 31, 2014, the Utility had shut off their water service based on their allegedly not having paid their water bills after given final notice to do so. The Comptroller noted that the Utility had given the customers only 10 days' notice as opposed to the 15 days the Water Tariff Agreement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Disputing the amounts allegedly owed, some customers restored their service by tampering with the Utility's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 email a customer of the Utility sent to Mr. Couroux about January 18, 2015, formed part of Mr. Conyd's constellation of complaints against the Comptroller. In the email the customer, Mr. David Page, put a series of questions that Mr. Page stated had arisen from his discussions with neighbours about putting in personal wells and disconnecting from the Utility. One of Mr. Page's questions was whether they were allowed to cut ties from WWU. He stated he thought there was a disconnection fee, but wanted to know whether there were any other fees ongoing even though they do not use the Utility's water. In Mr. Couroux's reply to Mr. Page, marked as Exhibit "C" to his affidavit he confirmed that, "A property owner may drill a well for his own domestic use by using a qualified well drilling outfit". But he also clarified a variety of other government approvals that might be required when two or more property owners have become involved in sharing a well. He further advised that while a customer may have the water service turned off, they would then be subject to an availability of service charge, otherwise referred to as a rent charge of $437 annually, I note that is the figure set out in Schedule "G" of WWU's Water Tariff. He further advised, "Alternatively, a property owner may request to have their water service disconnected completely and have their lot removed from the Utility's service area. There would be no charge to have this done however once a customer's property is removed from the service area the Utility may use the additional system capacity now available to provide service to another lot ..." He also addressed some other complicating factors in his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Comptroller's office advised the parties that both the WWU's premature shut off of water and the customer self-help were contrary to the terms of the Water Tariff. Mr. Couroux noted that other customers telephoned the Comptroller's office to make inquiries similar to those of Mr. Page and were given responses consistent with the information contained in his January 20, 2015 email to Mr.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para. 18, Mr. Couroux deposes that the next his office heard of the matter was that the Utility had disconnected three customers who had begun to drill wells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para. 19, Mr. Couroux deposes that based on information available to his office it appeared to him that the Utility was in violation of its Water Tariff by disconnecting certain customers. He noted further that as the Comptroller interpreted the matter, there was nothing in the applicable legislation or in the Water Tariff prohibiting customers from drilling their own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Couroux noted s. 16 of the Water Tariff whose objective is to prevent cross-contamination when an owner connects to any other source of water supply, including a private well. Accordingly, it provides that a property owner must first obtain the Utility owner's permission (and if necessary, install a back flow preventer) or alternatively, disconnect from the Utility's water supply first, so that cross-contamination cannot occur. He noted further, however, that s. 16 does not require the owner to obtain the consent of the Utility to drill a well on the customer's own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para. 20, Mr. Couroux's expressed the view the Utility's action in disconnecting some of the customers was premature because none of them had requested their water service be disconnected and none had completed wells or connected them to their homes when the Utility shut off their water service. Accordingly, he saw no cross-connection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Couroux noted at para. 21 that none of the customers asked the Comptroller's office to intervene to have their water service restored, rather, completed their wells and connected them to their homes, taking the position that they wanted nothing further to do with the Utility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noted on the other hand,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Utility may have been in violation of its Water Tariff for disconnecting them prematurely, the customers are still responsible to the Utility for water service provided up to the day the Utility shut off their water service. Also, because there is a Rent Charge registered on the title to their properties, in favour of the Utility, their lots were subject to paying a water service availability charge as set out in Schedule "G" of the Water Tariff.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'Water availability charge', aka 'rent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note for clarification that the water service availability charge is the same charge contained in the covenant that Mr. Conyd wishes to have struck from his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para. 23, Mr. Couroux noted that the Comptroller's office had provided information to customers who inquired that if they wanted to have nothing more to do with the Utility and its owners, they could request the Utility to agree to having the Rent Charge removed from the title to their properties. If the Utility agreed, it could then apply to amend the CPCN to remove those customer's lots from its service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para. 24, Mr. Couroux noted that following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customers] and Mr. Conyd asked the Comptroller to remove their lots from the Utility's service area on grounds that the Utility, by actions it had taken, was in breach of the Rent Charge, therefore making it void. [The Rent Charge is essentially one of the same as the Availability of Service Charge.] Our response was that the Rent Charge was between them as the property owners and the Utility, and that they would need to take whatever action was available to them to have the Rent Charges removed if they believed it was no longer valid. However, we told them, while the Rent Charges [were] in place, they </w:t>
      </w:r>
      <w:r>
        <w:rPr>
          <w:rFonts w:ascii="arial" w:eastAsia="arial" w:hAnsi="arial" w:cs="arial"/>
          <w:color w:val="000000"/>
          <w:sz w:val="20"/>
          <w:u w:val="single"/>
          <w:lang w:val="en-US" w:eastAsia="en-US" w:bidi="ar-SA"/>
        </w:rPr>
        <w:t>would still be subject to the Availability of Service Charges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March 19, 2015, Mr. Couroux to Mr. Conyd in response to his letter of January 29, 2015, wherein Mr. Conyd had requested that his lot be removed from the service area of WWU. Mr. Couroux noted that the removal of Mr. Conyd's lot from the Utility's service area required an amendment of the Utility's CPCN. He acknowledged Mr. Conyd's request that he have no further contact with Mr. and Mrs. Schellenberg, the Utility owner and operator, but explained that matter was beyond the Comptroller's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March 31, 2015, the Comptroller's office issued an Information Notice to the Utility and its customers regarding the applicability of the Availability of Service Charges and the Rent Charge. In it, attached as Exhibit "E" to Mr. Couroux's affidavit, he stated,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customer requests service to be shut off permanently, the Rent Charge Agreement provides for payment of the Rent Charge amount in accordance with the terms of the Rent Charge Agreement for 40 years from the date of the Agreement (until May 25, 2029).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way that a lot owner would not be subject to the terms of the Rent Charge would be if the Rent Charge Agreement on title was removed. The lot owner would need to seek legal advice in order to explore how that might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April 20, 2015, Mr. Couroux advised Mr. Conyd of the following regarding the Rent Charge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do not wish to have the availability of water service to your lot, the Rent Charge must be discharged from your land title. After this is done, a request may be made to this office to amend the Utility's Certificate of Public Convenience and Necessity to remove your lot from the service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be advised that the registered rent charge </w:t>
      </w:r>
      <w:r>
        <w:rPr>
          <w:rFonts w:ascii="arial" w:eastAsia="arial" w:hAnsi="arial" w:cs="arial"/>
          <w:color w:val="000000"/>
          <w:sz w:val="20"/>
          <w:u w:val="single"/>
          <w:lang w:val="en-US" w:eastAsia="en-US" w:bidi="ar-SA"/>
        </w:rPr>
        <w:t>is a legal matter</w:t>
      </w:r>
      <w:r>
        <w:rPr>
          <w:rFonts w:ascii="arial" w:eastAsia="arial" w:hAnsi="arial" w:cs="arial"/>
          <w:color w:val="000000"/>
          <w:sz w:val="20"/>
          <w:lang w:val="en-US" w:eastAsia="en-US" w:bidi="ar-SA"/>
        </w:rPr>
        <w:t xml:space="preserve"> and this office is prohibited from advising about legal rights or actions associated with land titles and charges. </w:t>
      </w:r>
      <w:r>
        <w:rPr>
          <w:rFonts w:ascii="arial" w:eastAsia="arial" w:hAnsi="arial" w:cs="arial"/>
          <w:color w:val="000000"/>
          <w:sz w:val="20"/>
          <w:u w:val="single"/>
          <w:lang w:val="en-US" w:eastAsia="en-US" w:bidi="ar-SA"/>
        </w:rPr>
        <w:t>Therefore, if you wish to pursue this matter, you would need to seek legal advice from a qualified professional on how to proceed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May 21, 2015, Mr. Couroux replied to a letter together with an invoice Mr. Conyd had received, from WWU demanding payment in full. In his letter to Mr. Conyd, Mr. Couroux stated the Comptroller's position was that while there is a Rent Charge Agreement registered on the title to the property, the Utility was authorized to charge the Availability Charges as set out in Schedule "G" of its Water Tariff and that the current rate was $437 per year, $36.42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Comptroller acknowledged Mr. Conyd's position that the Rent Charge Agreement was unreasonable, but explained the Comptroller's position that until it was removed from the title to his property, the charge was legal and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June 9, 2015, Mr. Couroux wrote to another utility customer in terms similar to that which he wrote to Mr. Conyd.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July 22, 2015, the Comptroller ruled the customers who drilled their own wells had not in so doing breached the Water Tariff and that the Utility had no authority to issue fines for the alleged violations. The Utility was advised of this in writing on July 22,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Couroux does not specifically recall speaking to customers, Mr. Heaps, Mr. Bodnar, Mr. Wahl, or Mr. Conyd, about the various tariff subjects discussed in this affidavit. He surmises that had he done so he would have provided information consistent with the information contained in his affidavit. He does remember receiving a call from Mr. Conyd, which Mr. Bekker, the Comptroller, and Mr. Couroux took in Mr. Bekker's office. He recalled this occurred after Mr. Conyd had drilled his well. He recalls Mr. Conyd asked that the Comptroller to remove the Rent Charge from title to his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Couroux explained further at para. 38, "We told Mr. Conyd that this was not something the Comptroller could do, and recommended that he seek legal advice on his options with respect to removing the Rent Charge." He further deposes that had there been a similar telephone conversation with Mr. Wahl, he would have provided similar information to him. Responding to Mr. Conyd's assertion, he states at para. 40, "I did not tell Mr. Conyd to 'dig [his] own well.' I would not give instructions of that nature to a customer of a water utility. I did not tell Mr. Conyd that, if he dug his own well, he would 'be out of the CPCN and boundary and no water rights will be applied to [his] Lot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para. 41, he also denied his having advised Mr. Heaps, Mr. Bodnar or Mr. Wahl to "discontinue water service with [the Utility]." He also denied telling them they would have no further obligations due to the Utility following the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Couroux noted at para. 42 of his second affidavit that "the Water Tariff includes a dispute resolution clause." It "authorizes the Comptroller to adjudicate on disagreements or disputes regarding the application of any of its terms." He notes as well that during the period when the parties were in disputes his office "told customers and the Utility several times that if they had disputes which they wanted the Comptroller to adjudicate, to ask us by forwarding a complaint that we would then forward to the other party in the dispute, for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notes at para. 43 that none of said customers or Mr. Conyd "invoked the dispute resolution mechanism in the Water Tariff in relation to the wells that they dug on their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CONYD'S COMPLAINTS AGAINST THE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Conyd alleged at para. 10 of his fourth affidavit sworn August 2, 2016, the following conversation with Mr. Couroux: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Late November 2012 I made a telephone call to Mr. COUROUX and had a conversation with him. I discussed with him the absence of a contingency fund and insurance with respect to the Utility... The conversation became a little heated and Mr. [COUROUX] said to me "if you don't like it, dig [your] own well and get out of the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Conyd does not deny his having received the correspondence sent to him by Mr. Couroux advising him of the respective rights of the Utility and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para. 37 of his fourth affidavit, Mr. Conyd summarizes his complaints against the Comptroller:</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ensure that the utility sent financial invoices in a timely manner;</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comptroller failed to have oversight of the utility and because of this allowed the utility to act outside the terms and conditions of the covenant;</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comptroller did not fulfil its role as adjudicator in keeping with the terms and conditions of the covenant;</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review the activities of the utility to determine if the allegations were correct;</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comptroller gave poor advice with respect to instructing [him] to drill a well without providing advice as to removing the covenant from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comptroller gave poor advice to the Utility when the Utility was told that they could do what they deemed necessary to deal with the customer[s] they believed were not keeping their obligation to the Tariff.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will comment on those briefly: insofar as to the Comptroller's having to ensure the Utility sent financial invoices in a timely manner; the Comptroller specifically addressed that issue and required WWU to retain a bookkeeper to prepare and deliver the invoices in a more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for the Comptroller's failing to have oversight of the Utility and because of so doing, allowing the Utility to act outside the terms and conditions of the covenant; the Comptroller did directly address the Utility's actions in cutting off the water supply and advised the Utility it did not have the right to do so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item d), when the cutting off of the water supply was brought to the Comptroller's and attention, he did address and correct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for item e), giving poor advice with respect to drilling the well without providing advice as to removing the covenant from the property, the correspondence referred to clearly contradicts Mr. Conyd's position. Mr. Couroux was quite clear that the Comptroller had no jurisdiction over removal of the covenant and that Mr. Conyd would have to take legal action to have the covenant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for item f), giving poor advice to the Utility that they can do what they deem necessary to deal with the customers they believed were not keeping their obligation to the Tariff, Exhibit "H" attached to Mr. Conyd's fourth affidavit shows Mr. Couroux advised Mr. Schellenberg, WWU's manager, that if a customer is interfering with the Utility's access to its works and/or "is tampering with the Utility's works by turning their service back on after it has been turned off, without the Utility's consent, the Utility may use whatever </w:t>
      </w:r>
      <w:r>
        <w:rPr>
          <w:rFonts w:ascii="arial" w:eastAsia="arial" w:hAnsi="arial" w:cs="arial"/>
          <w:color w:val="000000"/>
          <w:sz w:val="20"/>
          <w:u w:val="single"/>
          <w:lang w:val="en-US" w:eastAsia="en-US" w:bidi="ar-SA"/>
        </w:rPr>
        <w:t>legal</w:t>
      </w:r>
      <w:r>
        <w:rPr>
          <w:rFonts w:ascii="arial" w:eastAsia="arial" w:hAnsi="arial" w:cs="arial"/>
          <w:color w:val="000000"/>
          <w:sz w:val="20"/>
          <w:lang w:val="en-US" w:eastAsia="en-US" w:bidi="ar-SA"/>
        </w:rPr>
        <w:t xml:space="preserve"> action is required to gain access to his works."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Further, "Taking whatever action it deemed necessary" was in relation to "preventing further damage and/or tampering such as putting a lock on the meter box; or, in extreme cases, completely disconnecting a customer service line from the Utility's meter and water 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DOES MR. CONYD HAVE A CAUSE OF ACTION AGAINST THE COMPTROLLER AND THE INDIVIDUALS NAMED WITH HIM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Conyd's claim against the Comptroller and related individual defendants by counterclaim does not raise a cause of action and, on the evidence, it has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appears that the basis for Mr. Conyd's complaints against the Comptroller and the related personal defendants to him arises from the following potential bases:</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had a duty of care to protect him and his interests against the actions of the Utility.</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negligently misrepresented Mr. Conyd's rights with respect to digging his own well and exiting from the WWU service area. As already discussed, it was his position that he was advised he could do so without incurring any liabilities to the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COMPTROLLER'S STATUTORY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With narrow exception, any duty of care owed to Mr. Conyd by the Comptroller arises from his statutory powers. As explained earlier, the </w:t>
      </w:r>
      <w:r>
        <w:rPr>
          <w:rFonts w:ascii="arial" w:eastAsia="arial" w:hAnsi="arial" w:cs="arial"/>
          <w:i/>
          <w:color w:val="000000"/>
          <w:sz w:val="20"/>
          <w:lang w:val="en-US" w:eastAsia="en-US" w:bidi="ar-SA"/>
        </w:rPr>
        <w:t>Water Utility Act</w:t>
      </w:r>
      <w:r>
        <w:rPr>
          <w:rFonts w:ascii="arial" w:eastAsia="arial" w:hAnsi="arial" w:cs="arial"/>
          <w:color w:val="000000"/>
          <w:sz w:val="20"/>
          <w:lang w:val="en-US" w:eastAsia="en-US" w:bidi="ar-SA"/>
        </w:rPr>
        <w:t xml:space="preserve"> stipulates that the Comptroller has certain powers and jurisdiction over the regulation of privately owned water utilities. These parallel those powers and jurisdiction vested in the British Colombia Utilities Commission under the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statutory powers of the Comptroller most pertinent here include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Section 45(1) of the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person must not begin the construction or operation of a public utility plant or system, or an extension of either, without first obtaining from the commission's certificate that public convenience and necessity require or will require the construction or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CPCN confirms that the Comptroller feels the construction of the water utility consists with the public interest and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Section 61 requires that the utility has to file with the Commission, under its rules within the time, and in the form required by it, schedules showing all rates established by it and collected, charged or enforced or to be collected or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Section 59(1) stipulates that a public utility must not to make, demand or receive:</w:t>
      </w:r>
      <w:r>
        <w:rPr>
          <w:rFonts w:ascii="arial" w:eastAsia="arial" w:hAnsi="arial" w:cs="arial"/>
          <w:sz w:val="20"/>
          <w:lang w:val="en-US" w:eastAsia="en-US" w:bidi="ar-SA"/>
        </w:rPr>
        <w:cr/>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unjust, unreasonable, unduly discriminatory or unduly preferential rate for a service provided by it in British Columbia, or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rate that otherwise contravenes [the </w:t>
      </w:r>
      <w:r>
        <w:rPr>
          <w:rFonts w:ascii="arial" w:eastAsia="arial" w:hAnsi="arial" w:cs="arial"/>
          <w:i/>
          <w:color w:val="000000"/>
          <w:sz w:val="20"/>
          <w:lang w:val="en-US" w:eastAsia="en-US" w:bidi="ar-SA"/>
        </w:rPr>
        <w:t>UCA</w:t>
      </w:r>
      <w:r>
        <w:rPr>
          <w:rFonts w:ascii="arial" w:eastAsia="arial" w:hAnsi="arial" w:cs="arial"/>
          <w:color w:val="000000"/>
          <w:sz w:val="20"/>
          <w:lang w:val="en-US" w:eastAsia="en-US" w:bidi="ar-SA"/>
        </w:rPr>
        <w:t>], the regulations, orders of the commission, or any other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Sections 59(4) and (5) stipulate that the Comptroller may oversee the setting of water rates, determining what rates are "just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Section 72(1)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72(1) The commission has jurisdiction to inquire into, hear and determine an application by or on behalf of any party interested, complaining that a person constructing, maintaining, operating or controlling a public utility service or charged with a duty or power relating to that service, has done, is doing or has failed to do anything required by this Act or another general or special Act, or by a regulation, order, bylaw or direction made under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Subsection 2 gives the commission jurisdiction to inquire into, hear and determine an application by a customer or a utility that a person is constructing, maintaining, operating or controlling a private water utility in a manner contrary to the legislation to which the Comptroller's jurisdiction extends. [Note: the legislation refers to "Commissioner". In this instance "Commissioner" should be read as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Section 73 gives the Comptroller authority to order a person to do something or cease doing something within the scope of matters to which the Comptroller's jurisdiction extends.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Section 83 gives the Comptroller authority to determine what if any action is to be taken in response to a complaint by a customer or a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Couroux explains at paras. 3 and 5 of his second affidavit "[ensuring] that rates charged for water are fair, just and reasonable, and that private utilities provide safe and adequate water service to their customers" is a primary responsibility of the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At para. 4, he noted that when the Comptroller receives complaints from customers they attempt to resolve them when they fall within their jurisdiction, concerned with whether the utility is following the approved water tariff, "which acts as a contract with its customers, and any applicable provision of the </w:t>
      </w:r>
      <w:r>
        <w:rPr>
          <w:rFonts w:ascii="arial" w:eastAsia="arial" w:hAnsi="arial" w:cs="arial"/>
          <w:i/>
          <w:color w:val="000000"/>
          <w:sz w:val="20"/>
          <w:lang w:val="en-US" w:eastAsia="en-US" w:bidi="ar-SA"/>
        </w:rPr>
        <w:t>Utilities Commission Act, Water Utility Act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para. 5, he notes "The Comptroller does not assist customers [in] seeking financial compensation or any legal remedy which is not provided for in the legislation." It investigates complaints that arise in and of the approved water tariff or legislation and nothing outside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As the Court of Appeal noted in </w:t>
      </w:r>
      <w:r>
        <w:rPr>
          <w:rFonts w:ascii="arial" w:eastAsia="arial" w:hAnsi="arial" w:cs="arial"/>
          <w:i/>
          <w:color w:val="000000"/>
          <w:sz w:val="20"/>
          <w:lang w:val="en-US" w:eastAsia="en-US" w:bidi="ar-SA"/>
        </w:rPr>
        <w:t>Shuswap Lake Utilities Ltd. v. Mattison</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2008 BCCA 176</w:t>
        </w:r>
      </w:hyperlink>
      <w:r>
        <w:rPr>
          <w:rFonts w:ascii="arial" w:eastAsia="arial" w:hAnsi="arial" w:cs="arial"/>
          <w:color w:val="000000"/>
          <w:sz w:val="20"/>
          <w:lang w:val="en-US" w:eastAsia="en-US" w:bidi="ar-SA"/>
        </w:rPr>
        <w:t>, the Comptroller's role is to act as a tribunal under the Act, one that is fundamentally adjudicative or administrative, its rulings and decisions subject to appeal to the Supreme Court or the Court of Appeal. As such, it must uphold the principles of natural justice, including procedural fairness [paras. 60-61 and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Rain Coast Water Corp. v. Her Majesty the Queen in Right of the Province of British Columbia</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2016 BCSC 845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Rain Coast</w:t>
      </w:r>
      <w:r>
        <w:rPr>
          <w:rFonts w:ascii="arial" w:eastAsia="arial" w:hAnsi="arial" w:cs="arial"/>
          <w:color w:val="000000"/>
          <w:sz w:val="20"/>
          <w:lang w:val="en-US" w:eastAsia="en-US" w:bidi="ar-SA"/>
        </w:rPr>
        <w:t>], the plaintiff Rain Coast brought a claim against the Province of British Columbia, claiming it had been mistreated by the actions of the Premier, several Cabinet Ministers and a number of civil servants, etc.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Lack of foundation for tort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defendants in </w:t>
      </w:r>
      <w:r>
        <w:rPr>
          <w:rFonts w:ascii="arial" w:eastAsia="arial" w:hAnsi="arial" w:cs="arial"/>
          <w:i/>
          <w:color w:val="000000"/>
          <w:sz w:val="20"/>
          <w:lang w:val="en-US" w:eastAsia="en-US" w:bidi="ar-SA"/>
        </w:rPr>
        <w:t>Rain Coast</w:t>
      </w:r>
      <w:r>
        <w:rPr>
          <w:rFonts w:ascii="arial" w:eastAsia="arial" w:hAnsi="arial" w:cs="arial"/>
          <w:color w:val="000000"/>
          <w:sz w:val="20"/>
          <w:lang w:val="en-US" w:eastAsia="en-US" w:bidi="ar-SA"/>
        </w:rPr>
        <w:t xml:space="preserve"> took the position that the plaintiff had failed to establish a proper evidentiary foundation for the tort of negligent misrepresentation for a number of reasons:</w:t>
      </w:r>
      <w:r>
        <w:rPr>
          <w:rFonts w:ascii="arial" w:eastAsia="arial" w:hAnsi="arial" w:cs="arial"/>
          <w:sz w:val="20"/>
          <w:lang w:val="en-US" w:eastAsia="en-US" w:bidi="ar-SA"/>
        </w:rPr>
        <w:cr/>
      </w:r>
    </w:p>
    <w:p>
      <w:pPr>
        <w:numPr>
          <w:numId w:val="2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 duty of care was owed by the defendants to the plaintiff because:</w:t>
      </w:r>
    </w:p>
    <w:p>
      <w:pPr>
        <w:numPr>
          <w:numId w:val="2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 relationship of proximity existed between the Province and the plaintiff;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a duty of care should not be recognized for policy reasons.</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made no inaccurate, untrue or misleading misrepresentations.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act negligently.</w:t>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reasonably rely on any statements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114, items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OF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Rain Coast</w:t>
      </w:r>
      <w:r>
        <w:rPr>
          <w:rFonts w:ascii="arial" w:eastAsia="arial" w:hAnsi="arial" w:cs="arial"/>
          <w:color w:val="000000"/>
          <w:sz w:val="20"/>
          <w:lang w:val="en-US" w:eastAsia="en-US" w:bidi="ar-SA"/>
        </w:rPr>
        <w:t xml:space="preserve"> at para. 115, Leask J. substantially agreed with the defendant's submissions "that the regulatory statutory scheme under the </w:t>
      </w:r>
      <w:r>
        <w:rPr>
          <w:rFonts w:ascii="arial" w:eastAsia="arial" w:hAnsi="arial" w:cs="arial"/>
          <w:i/>
          <w:color w:val="000000"/>
          <w:sz w:val="20"/>
          <w:lang w:val="en-US" w:eastAsia="en-US" w:bidi="ar-SA"/>
        </w:rPr>
        <w:t>1979 Water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R.S.B.C. 1979, C. 214 ... preclude[d] the establishment of a "special relationship" between the plaintiff company and the civil servants and Cabinet Ministers with whom [the plaintiff] had dealings." At para. 116, he pointed out that "The </w:t>
      </w:r>
      <w:r>
        <w:rPr>
          <w:rFonts w:ascii="arial" w:eastAsia="arial" w:hAnsi="arial" w:cs="arial"/>
          <w:i/>
          <w:color w:val="000000"/>
          <w:sz w:val="20"/>
          <w:lang w:val="en-US" w:eastAsia="en-US" w:bidi="ar-SA"/>
        </w:rPr>
        <w:t>1979 Water Act, Land Act</w:t>
      </w:r>
      <w:r>
        <w:rPr>
          <w:rFonts w:ascii="arial" w:eastAsia="arial" w:hAnsi="arial" w:cs="arial"/>
          <w:color w:val="000000"/>
          <w:sz w:val="20"/>
          <w:lang w:val="en-US" w:eastAsia="en-US" w:bidi="ar-SA"/>
        </w:rPr>
        <w:t>, and related legislation are aimed at regulating access to provincial resources, and as such, are not intended to create private law tort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the appellant was an investor who alleged that the Registrar of Mortgage Brokers, a statutory regulator,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oversee the conduct of an investment company which the Registrar licensed. The court noted that the question was whether the Registrar owed a private law duty of care to members of the investing public, giving rise to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losses that the investor had sustained. The court also noted that such a duty of care is as yet unrecognized by Canadian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para. 43,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In this case, the factors giving rise to proximity, if they exist, must arise from the statute under which the Registrar is appointed. That statute is the only source of his duties, private or public. Apart from that statute, he is in no different position than the ordinary man or woman on the street. If a duty to investors with regulated mortgage brokers is to be found, it must be in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At para. 44, the court noted that "The Registrar's duty is rather to the public as a whole. Indeed, a duty to individual investors would potentially conflict with the Registrar's overarching duty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para. 49,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 regulatory scheme governing mortgage brokers provides a general framework to ensure the efficient operation of the mortgage marketplace. The Registrar must balance a myriad of competing interests, ensuring that the public has access to capital through mortgage financing while at the same time instilling public confidence in the system by determining who is "suitable" and whose proposed registration as a broker is "not objectionable". All of the powers or tools conferred by the Act on the Registrar are necessary to undertake this delicate balancing.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Further at para. 49, regarding protecting private investors: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 Even though to some degree the provisions of the Act serve to protect the interests of investors, the overall scheme of the Act mandates that the Registrar's duty of care is not owed to investors exclusively but to the public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At paras. 30 to 39 the court considered the application of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(H.L.)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para. 42, the court asked whether the facts in that case gave rise to a situation in which a new duty of care should be noticed: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 It may be that the investors can show that it was reasonably foreseeable that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suspend Eron or issue warnings might result in financial loss to the plaintiffs. However, as discussed, mere foreseeability is not enough to establish a prima facie duty of care. </w:t>
      </w:r>
      <w:r>
        <w:rPr>
          <w:rFonts w:ascii="arial" w:eastAsia="arial" w:hAnsi="arial" w:cs="arial"/>
          <w:color w:val="000000"/>
          <w:sz w:val="20"/>
          <w:u w:val="single"/>
          <w:lang w:val="en-US" w:eastAsia="en-US" w:bidi="ar-SA"/>
        </w:rPr>
        <w:t>The plaintiffs must also show proximity -- that the Registrar was in a close and direct relationship to them making it just to impose a duty of care upon him toward the plaintiffs. In addition to showing foreseeability, the plaintiffs must point to factors arising from the circumstances of the relationship that impose a duty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para. 43,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In this case, the factors giving rise to proximity, if they exist, </w:t>
      </w:r>
      <w:r>
        <w:rPr>
          <w:rFonts w:ascii="arial" w:eastAsia="arial" w:hAnsi="arial" w:cs="arial"/>
          <w:color w:val="000000"/>
          <w:sz w:val="20"/>
          <w:u w:val="single"/>
          <w:lang w:val="en-US" w:eastAsia="en-US" w:bidi="ar-SA"/>
        </w:rPr>
        <w:t>must arise from the statute under which the Registrar is appointed</w:t>
      </w:r>
      <w:r>
        <w:rPr>
          <w:rFonts w:ascii="arial" w:eastAsia="arial" w:hAnsi="arial" w:cs="arial"/>
          <w:color w:val="000000"/>
          <w:sz w:val="20"/>
          <w:lang w:val="en-US" w:eastAsia="en-US" w:bidi="ar-SA"/>
        </w:rPr>
        <w:t>. That statute is the only source of his duties, private or public. Apart from that statute, he is in no different position than the ordinary man or woman on the street. If a duty to investors with regulated mortgage brokers is to be found, it must be in the statute.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At para. 44, it was noted that "the statute does not impose a duty of care on the Registrar to investors with mortgage brokers regulated by the Act. The Registrar's duty is rather </w:t>
      </w:r>
      <w:r>
        <w:rPr>
          <w:rFonts w:ascii="arial" w:eastAsia="arial" w:hAnsi="arial" w:cs="arial"/>
          <w:color w:val="000000"/>
          <w:sz w:val="20"/>
          <w:u w:val="single"/>
          <w:lang w:val="en-US" w:eastAsia="en-US" w:bidi="ar-SA"/>
        </w:rPr>
        <w:t>to the public as a whole</w:t>
      </w:r>
      <w:r>
        <w:rPr>
          <w:rFonts w:ascii="arial" w:eastAsia="arial" w:hAnsi="arial" w:cs="arial"/>
          <w:color w:val="000000"/>
          <w:sz w:val="20"/>
          <w:lang w:val="en-US" w:eastAsia="en-US" w:bidi="ar-SA"/>
        </w:rPr>
        <w:t>. ... [A] duty [of care] to individual investors would potentially conflict with the Registrar's overarching duty to the public."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At para. 118 of </w:t>
      </w:r>
      <w:r>
        <w:rPr>
          <w:rFonts w:ascii="arial" w:eastAsia="arial" w:hAnsi="arial" w:cs="arial"/>
          <w:i/>
          <w:color w:val="000000"/>
          <w:sz w:val="20"/>
          <w:lang w:val="en-US" w:eastAsia="en-US" w:bidi="ar-SA"/>
        </w:rPr>
        <w:t>Rain Coast</w:t>
      </w:r>
      <w:r>
        <w:rPr>
          <w:rFonts w:ascii="arial" w:eastAsia="arial" w:hAnsi="arial" w:cs="arial"/>
          <w:color w:val="000000"/>
          <w:sz w:val="20"/>
          <w:lang w:val="en-US" w:eastAsia="en-US" w:bidi="ar-SA"/>
        </w:rPr>
        <w:t xml:space="preserve">, Leask J. noted that the facts in the case before him were similar to the facts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in that "the </w:t>
      </w:r>
      <w:r>
        <w:rPr>
          <w:rFonts w:ascii="arial" w:eastAsia="arial" w:hAnsi="arial" w:cs="arial"/>
          <w:i/>
          <w:color w:val="000000"/>
          <w:sz w:val="20"/>
          <w:lang w:val="en-US" w:eastAsia="en-US" w:bidi="ar-SA"/>
        </w:rPr>
        <w:t>1979 Water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create a duty to the public. A duty to an individual licensee would potentially conflict with the Province's duty to the public as a whole regarding management of and access to provincial resources, and further, may create a situation of conflicting duties as between the various licensees under these </w:t>
      </w:r>
      <w:r>
        <w:rPr>
          <w:rFonts w:ascii="arial" w:eastAsia="arial" w:hAnsi="arial" w:cs="arial"/>
          <w:i/>
          <w:color w:val="000000"/>
          <w:sz w:val="20"/>
          <w:lang w:val="en-US" w:eastAsia="en-US" w:bidi="ar-SA"/>
        </w:rPr>
        <w:t>Acts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Imperial Tobacco alleged that Canada negligently misrepresented the health attributes of low-tar cigarettes to consumers and was therefore liable for contribution and indemnity on the basis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if the class members were successful in their suit. They further alleged that Canada made negligent misrepresentations to the tobacco companies and that Canada was liable for any losses that the tobacco companies incurred to the plaintiffs in either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At para. 44, the Supreme Court commented on an alleged duty of care arising explicitly or by implication from a statutory scheme, the statute itself creating a private relationship of proximity giving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 It may be difficult to find that a statute creates sufficient proximity to give rise to a duty of care. Some statutes may impose duties on state actors with respect to particular claimants. However, more often, statutes are aimed at public goods, like regulating an industry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or removing children from harmful environments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 In such cases, it may be difficult to infer that the legislature intended to create private law tort duties to claimants. This may be even more difficult if the recognition of a private law duty would conflict with the public authority's duty to the public: see, e.g.,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"[w]here an alleged duty of care is found to conflict with an overarching statutory or public duty, this may constitute a compelling policy reason for refusing to find proximity" (at para. 28; see also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[2010] 1 S.C.R. 132</w:t>
        </w:r>
      </w:hyperlink>
      <w:r>
        <w:rPr>
          <w:rFonts w:ascii="arial" w:eastAsia="arial" w:hAnsi="arial" w:cs="arial"/>
          <w:color w:val="000000"/>
          <w:sz w:val="20"/>
          <w:lang w:val="en-US" w:eastAsia="en-US" w:bidi="ar-SA"/>
        </w:rPr>
        <w:t>,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para. 50, the Court further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 To borrow the words of Sharpe J.A. of the Ontario Court of Appeal in </w:t>
      </w:r>
      <w:r>
        <w:rPr>
          <w:rFonts w:ascii="arial" w:eastAsia="arial" w:hAnsi="arial" w:cs="arial"/>
          <w:i/>
          <w:color w:val="000000"/>
          <w:sz w:val="20"/>
          <w:lang w:val="en-US" w:eastAsia="en-US" w:bidi="ar-SA"/>
        </w:rPr>
        <w:t>Eliopoulos Estate v. Ontario (Minister of Health and Long-Term Care)</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(2006), 276 D.L.R. (4th) 411</w:t>
        </w:r>
      </w:hyperlink>
      <w:r>
        <w:rPr>
          <w:rFonts w:ascii="arial" w:eastAsia="arial" w:hAnsi="arial" w:cs="arial"/>
          <w:color w:val="000000"/>
          <w:sz w:val="20"/>
          <w:lang w:val="en-US" w:eastAsia="en-US" w:bidi="ar-SA"/>
        </w:rPr>
        <w:t xml:space="preserve"> (C.A.), "I fail to see how it could be possible to convert any of the Minister's public law discretionary powers, to be exercised in the general public interest, into private law duties owed to specific individuals":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 agree with the defendant's position that this Court's recognition of a private law duty of care would conflict with the Comptroller's public law duty to make discretionary decisions in the public interest. It would interfere with the overarching duty to regulate in the public interest and with the Comptroller's role as a neutral arbiter in disputes between a utility and its customers. I find no proximate relationship between the Comptroller and Mr. Conyd within the applicable legislation. Accordingly, the alleged duty of care could arise narrowly as a result of specific interactions that occurred between the respective parties. I note in this regard, however, that where an alleged duty of care conflicts with the overarching public duty, the court must find that no proximity arises: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Insofar as specific interactions between the parties are concerned, I have already addressed that question. I find the evidence conclusive that Mr. Couroux made no statement to Mr. Conyd to the effect that he could drill his own well and be out of WWU and free of any liability to WWU. The correspondence, including the information note sent to the customers of WWU and the letter sent to Mr. Conyd specifically argue strongly to the contrary. Even had Mr. Couroux made the statement alleged by Mr. Conyd, which I do not find, I agree with the Comptroller that it is effectively no more than information given to him with respect to the terms of the Water Tariff in relation to a contractual dispute that was ongoing between him and WWU.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Conyd did not seek the assistance of the Comptroller's office to engage and attempt to resolve issues with the water utility. To the extent the Comptroller provided information, it was with the purpose of helping the parties resolve their complaints informally. This would take the form, presumably, as it did in this case, in providing information to both the Utility and to the customers about the water tariff and how the Comptroller interpreted it. In my view, the Comptroller was not providing anything resembling legal advice; in fact, Mr. Conyd was reminded of the need for him to obtain legal advice on removal of the covenant. It appears the Comptroller was seeking to remain independent; and in that regard, his criticism of the parties' tariff infractions was even-handed.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also agree with the Comptroller's position that were the court to find the information he provided gave rise to a private duty of care, it would conflict with his general duty to other customers, the water utility, and the public at large, to manage the provincial water resource and adjudicate complaints in accordance with the statutory scheme. I also agree such a finding gives rise to flood-gate concerns flowing from setting up an indeterminate government liability with the door being opened to any member of the public corresponding with the office of the Comptroller to sue for damages for negligent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sum, I conclude that the evidence in this case fails to create the necessary degree of proximity on which to base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owed to Mr. Conyd. I further agree that policy considerations bar the actionability of any of Mr. Conyd's alleged interactions with the Comptroller's office, which I find did not occur anyway in the terms alleged by him. In summary, I found no evidence the Comptroller's office failed to protect Mr. Conyd's interests or that of any of the customers, or that the Comptroller gave anyone information that that was incorrect, or carelessly given, or that led Mr. Conyd astray. I find no merit in Mr. Conyd's counterclaim against the Comptroller and the other personally named defendants associated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Although nothing legally prevented Mr. Conyd from drilling his well and he did so in a careful manner, he had the option of asking the Comptroller to have WWU restore his water supply, an option he rejected, as he wanted nothing further to do with the WWU and to be out of the Utility's service area. The Comptroller was not responsible for the inconvenience, stress, and costs Mr. Conyd incurred for building a well. Mr. Conyd's claims for compensation related to those complaints and for costs are also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application of the Comptroller and the personally named associated defendants is granted and Mr. Conyd's counterclaim against him and the individually named defendants linked to him,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Comptroller is not seeking costs against Mr. Conyd. Accordingly, each party shall bear their own costs with respect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Nelson v. British Columbia (Environment), [2020] B.C.J. No. 514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10-14, July 15-18, August 12-13,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S198558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514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479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Jeremy Nelson, Plaintiff, and Her Majesty the Queen in Right of the Province of British Columbia as represented by the Ministry of Environment - BC Parks, Her Majesty the Queen in Right of the Province of British Columbia as represented by the Ministry of Tourism, Culture and the Arts - Recreation Sites and Trails BC, and Her Majesty the Queen in Right of the Province of British Columbia as represented by the Ministry of Transportation and Infrastructure, Her Majesty the Queen in Right of the Province of British Columbia as represented by the Ministry of Forests, Lands and Natural Resource Operations, Trails Society of British Columbia, Jane Doe Ltd., John Doe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(280 paras.)</w:t>
      </w:r>
    </w:p>
    <w:p>
      <w:pPr>
        <w:jc w:val="both"/>
        <w:rPr>
          <w:rFonts w:ascii="arial" w:eastAsia="arial" w:hAnsi="arial" w:cs="arial"/>
          <w:sz w:val="20"/>
          <w:lang w:val="en-US" w:eastAsia="en-US" w:bidi="ar-SA"/>
        </w:rPr>
      </w:pPr>
      <w:bookmarkStart w:id="281" w:name="Counsel_41"/>
      <w:bookmarkEnd w:id="2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0"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 Urquhart, L. Morrison, A. Sharkey,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Province of British Columbia: M. Weintraub, D. Brownell, N. Healey.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2" w:name="Judgment_40"/>
      <w:bookmarkEnd w:id="282"/>
      <w:r>
        <w:pict>
          <v:line id="_x0000_s1231" style="position:absolute;z-index:2517534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Description of the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Columbia &amp; Western Rail Trail and its Predecessor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Ownership, Maintenance, Inspection and Condition of the CWRT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RST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Maintenance of the CWRT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Inventory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Water Licenses - Notice to Admit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1996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The Debris Flood and Immediate Aftermath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Response to the Debris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Analysis of Expert Evidence on Peak Flow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Assessment of Mr. Deverney's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Causes of the Debris Flood and Sediment Transport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Design of the Remediation of Brooklyn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LIABILITY UNDER THE 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Independent Contractors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Contractual Terms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Remediation of the Brooklyn Crossing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RST's Inventory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Katim and White Contracting Independent Contractors?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Non-Delegable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SUMMARY OF CONCLUSIONS AND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3" w:name="N. SHARMA J."/>
            <w:bookmarkEnd w:id="283"/>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Jeremy Nelson, owns property in Brooklyn, which is a small, "off the grid", community located on the south shore of Lower Arrow Lake in the Kootenay region of British Columbia. His property consists of a number of legal lots, and he has built a residence on one of those lots. The community is very small, comprising six households.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April 2012, there was an incident that gives rise to this litigation. The parties and their experts used different terminology to describe the incident, but for convenience I will refer to it as the "Debris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written submission helpfully provides a concise statement of his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 for the plaintiff is straightforward. It arises out of a landslide that was caused by the failure of a culvert located on land owned by ... the 'Province' ... The landslide caused damage to property owned by the plaintiff ... and to amenities that he enjoyed in connection with his property, in particular the domestic water and hydro-electric power supply. The ongoing impacts of the landslide on the plaintiff's property continue to the present day and will continue for a matter of decades. The plaintiff is entitled to damages for the costs that he has incurred, and will incur, to respond to these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Debris Flood also washed out a footbridge located near the shore of the lake and completely buried another property owner's weir.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submits the Province is liable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 xml:space="preserve">, or at common law in nuisance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he pleaded liability pursuant to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he made no submissions on that ground, and on that basis, I dismiss that aspect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Province submits that the Debris Flood was caused by natural environmental conditions. Its position is that the failure of an embankment created the Debris Flood, which caused the damage. Although the Province accepts that the Debris Flood probably contributed water and suspended sediment to the stream where the community's domestic water and power intakes are located, it denies liability for the damages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Despite its position with respect to the natural cause of the Debris Flood, the Province's primary position is that the plaintiff has waived his right to sue the Province for losses in relation to the Debris Flood because he signed restrictive covenants that contain liability exclusion clauses in favour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 alternative, the Province addressed each of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It submits it was not negligent for one of several reasons: all of the alleged negligent acts were performed by independent contractors for which it is not vicariously liable; the alleged negligent acts constituted policy decisions, which do not attract liability; the evidence does not establish a causal link between any of the alleged negligent acts and the loss or damages claimed by the plaintiff; it acted reasonably and exercised due diligence thus meeting the requisite standard of care; and, the plaintiff has not established on the evidence his entitlement to the damages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Province submits it cannot be liable in nuisance if the Debris Flood was caused by natural environmental conditions unless it breached a duty of care to the plaintiff, which it submits it did not. The Province submits that in the circumstances of this case, the law of nuisance incorporates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In any event, the Province submits any interference to the plaintiff's property was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With regard to the plaintiff's claim pursuant to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the Province submits it exercised due diligence and took all reasonable steps such that it cannot be liable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for the damage that occurred to the plaintiff's property as a result of the Debris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court appreciates that the parties agreed to a substantial number of facts through notices to admit. In addition, many facts were either unchallenged or not disputed. Although there were factual disputes, I only address and resolve disputes that were relevant to findings or conclusions that I have drawn. The following narrative represents my 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Description of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events in this case took place within the Pup Creek watershed, which comprises approximately 22 km2 and is located on steep terrain on the south shore of Lower Arrow Lake, about 27 km west of Castlegar, British Columbia. Pup Creek has two tributaries: Brooklyn Creek and Churchill Creek. The Brooklyn Creek sub-watershed is about 6.5 km2 and drains the western portion of Pup Creek watershed, entering Pup Creek about 1.6 km upstream of Lower Arrow Lake. A reference in this judgment to a watershed means the Brooklyn Creek sub-watershed unless otherwise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Most of the non-expect witnesses referred to the waterway from Brooklyn Crossing (described below, para. 25) to the lake as Brooklyn Creek. However, Brooklyn Creek converges with Pup Creek and everything downstream of that convergence is properly called Pup Creek, including where the domestic water intake is located. However, for convenience, in this judgment, references to the creek refers to Brooklyn Creek from the Brooklyn Crossing to its convergence with Pup Creek, and that portion of Pup Creek that continues downstream to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purchased his properties in the area in 2001 and 2003, and around the same time, he did some logging and roadbuilding. In September 2011, he subdivided the waterfront property into three parcels (the "Waterfront Lots"). He began building a home on one of the Waterfront Lots the next year. The plaintiff also has a half interest in three lots which do not front on the lake (the "Upstream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Dave White gave evidence by way of affidavit, which the plaintiff did not challenge. Mr. White also owns waterfront property in Brooklyn. He has been living there since about 1999 or 2000, and currently resides there permanently (as opposed to seasonally). He is also the only other resident who, like the plaintiff, owns property that abuts the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has always drawn water from the community domestic water intake, located in the creek. He does not divert water himself. The community water intake is in the creek, closet to property owned by Mr. White. Water drawn from that intake is distributed to the neighbouring properties. The intake was already in existence when the plaintiff bought his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other residents in the community draw power from a diversion on the creek, which operates as a small-scale hydroelectric dam. It was in existence before the plaintiff bought his property. The power house (a small structure for that dam) is located on Mr. White's property and that was built later, with the plaintiff's involvement. It is located south of the intake for the 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the plaintiff does not draw power from the community's dam. Prior to the Debris Flood, the plaintiff's power was supplied simply by running an extension cord from one of his neighbour's houses. However, around the time he completed construction of his house, he installed his own turbine on one of his Waterfront Lots, which is powered by the tailrace of the community's dam, which is the water channel below the 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to the two intakes located in the creek, there were two bridges impacted by the Debris Flood. There was an old footbridge located on waterfront property (the "Lower Bridge"). This was in place when the plaintiff bought his property. The plaintiff also claims damages in relation to what I will refer to as the "Upper Bridge". The Upper Bridge is not located on property owned by the plaintiff, and is located upstream from the Waterfront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Daniel Haack testified. He's a part-time resident of Brooklyn. He confirmed that the two intakes were constructed by the residents in the mid to early 2000s, before the plaintiff bought his properties. The plaintiff does not pay for his use of either, but Mr. Haack said the plaintiff's contribution has been in the way of heavy equipment work for the community's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Lower Bridge, which is at the end of the creek, is a small footbridge that was built by Mr. Haack, his wife and some friends as a weekend project in 1997 or 1998. He said it was only about four feet wide and was not designed or reviewed by an engineer. His evidence was that no part of the Lower Bridge was on Mr. Nelson's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Brooklyn residents also built the Upper Bridge, probably in the early 2000's. According to Mr. Haack, everyone used the Upper Bridge. The Upper Bridge appeared to sit at or below the creek's bank level, and I find that it was not designed by an engineer. The evidence was unclear as to the exact location of the Upper Bridge, but both Mr. Haack and the plaintiff testified that on the day of the Debris Flood, that Upper Bridge was blocked which caused the creek to escape its bed and cause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Columbia &amp; Western Rail Trail and its Predecessor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About four kilometres upstream from the plaintiff's Waterfront Lots is the Columbia &amp; Western Rail Trail (the "CWRT"). The CWRT is a recreational trail that has been operational on what used to be a rail line. There is a steep incline between Brooklyn and the CWRT.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CWRT is part of what was originally a 180 km railway that was constructed by Columbia &amp; Western Railway Company in about 1898. The company had authority to build a right-of-way linking Trail with Rossland and then onto Midway and Penticton. At the time it was one of the most expensive pieces of rail corridor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railway company built an embankment to span Brooklyn Creek and redirected the flow of the creek through a flume which passed under the railway before returning the creek to its natural course (the "Brooklyn Crossing"). The embankment was about 20 metres deep, and sloped on both sides of the CWRT. The elevation of the Brooklyn Crossing is about 954 metres. Although not installed at this time, central to this litigation is a culvert and related repairs done at the Brooklyn Crossing (the "Culvert"), which is discussed in greater detail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about 1911, the railway was sold to Canadian Pacific Railway. The tracks were removed in about 1992. Since that time the CWRT has been used and maintained by members of the public as a recreational trail. Starting in about the 1990s, a volunteer stewardship group, the Columbia and Western Trail Society (the "Society") monitored and maintained the CWRT.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about May 2004, Tourism BC (a now defunct Crown corporation) purchased the railway. Tourism BC was basically a marketing agency so it did not inspect or maintain the CWRT. Instead, it hired companies to do that work. Tourism BC was dissolved as a Crown corporation in April 2010, but all of its rights, property, assets and liabilities were transferred to and vested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Pursuant to ministerial order dated March 7, 2011, the CWRT has been designated as a recreational trail pursuant to s. 56(1)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Around the same time, there was a significant reorganization within government, which amalgamated various ministries. Management of the CWRT was conferred on Recreational Sites and Trails ("RST"), a department now within the Ministry of Forests, Land, and Natural Resources Operations.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Ownership, Maintenance, Inspection and Condition of the CWRT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almost all facts under this topic were undisputed, the parties did not agree on the legal significance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relation to inspection and maintenance of the CWRT, the following witnesses testified: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Leigh-Ann Johnson, who is the current owner of Katim Enterprises ("Katim"). In 2004, she was responsible for Katim's contract with Tourism BC to oversee the inventory and improvement of the CWRT.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earlier, the plaintiff's neighbour, Mr. White gave evidence by affidavit. In addition to living in Brooklyn, Mr. White owns White Contracting, a general contracting and excavating company, which was hired by Tourism BC and later the Province to do work in the area.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Ralph Waters is a former employee of Pennco Engineering. Mr. Waters was a junior engineer working under the supervision and direction of Bernie Penner, who was Pennco's principal at the relevant times. Pennco prepared a drawing that guided the installation of the Culvert.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 Johnson is an experienced registered professional forester who upon retiring from the BC Forest Service, formed his own consulting company called Pilot Point Forest Consultants. He carried out the inventory and inspection of features and structures along the CWRT in October 2011. At the time, he was hired as a subcontractor of SNT Engineering Ltd. ("SNT"), which was hired by the Province to conduct an inventory and inspection of CWRT.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Hawkings, is the current director of RST. He was the trails manager within the same organization from 2007 to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found all of these witnesses to be credible and reliable. They testified in a straight-forward manner and their demeanour was consistent throughout direct and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RST manages about 1,300 recreational sites and 1,000 trails across B.C. Its mandate includes the administration and oversight of about 600 km of abandoned rail lines now owned by the Province and managed as recreational trails. That trail network includes the CWRT, the Kettle Valley Rail Trail and Slocan Valley Rail Trail.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RST does not have resources or expertise to carry out any field work, but it contracts with over 400 stewardship groups and/or independent professionals as needed to carry out inspection, maintenance design and construction of works along the rail trails. Mr. Hawkings testified that the Province's intention was to improve rail grades so that they could be used as world class recreational trails.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Hawkings discussed RST's funding over the years. He explained that following a major government reorganization, RST was first given responsibility for the 600 km of rail trials in 2010, which was additional to its responsibility for other recreational sites. However, its budget was not increased. In most years, RST's trails program has an annual operational budget ranging from $90,000 to $120,000. The bulk of that funding is spent on rail trails, but some funds go to other items such as an avalanche safety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2011, RST contracted with SNT to carry out an inspection and inventory of the CWRT, but the cost of that was significant and almost exhausted RST's entire annual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2013, RST was in a deficit position and the trails program had to pay back about $30,000 of its annual budget allocation. As a result, in 2014 and again in 2015, Mr. Hawkings had to seek approval for funding to implement recommendations made in consultants' reports regarding erosion control. Those funding requests were not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ministerial order establishing the CWRT as a recreational trail, empowered RST to act in relation to the trail and to enter into partnerships with community organizations to maintain the trail. Mr. Hawkings believed that the Society had members who tended to the trail as often as a couple of times a week. He also confirmed the Society was doing works even before the Province and the Society entered a formal agreement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described by Mr. Hawkings, RST relies on the Society to be its "eyes and ears", to carry out minor maintenance and to inform RST of things that need to be done, which are outside the scope and capability of the Society. On occasion, RST will engage professionals to inspect the entire CWRT network to identify priority repairs. Ideally, Mr. Hawkings would like to see the entire network inspected every five years. He noted that more frequent inspections would be financially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Hawkings also sought in 2014 a decision from his minister to implement a strategic approach to rail trail management. This was meant to acknowledge and address the fact that RST did not have sufficient funding to meet community expectations. This strategic approach would prioritize public and environmental risks leaving the aesthetics to community groups. The intent of the approach was to engage a broader range of partners to assist in trail maintenance, which would reduce overall costs. The minister approved of that approach in June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Maintenance of the CWRT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Shortly after acquiring the CWRT, Tourism BC hired Katim to perform project maintenance services with respect to the trail, including cleaning and replacing culverts. Katim's contract obligated it to monitor the trail, schedule works, implement best management practices and oversee tendering and regulatory approvals. Ms. Johnson explained that she engaged and oversaw other contractors to do work under the Tourism BC contract. She also stated that she worked very closely with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Johnson provided regular reports to Tourism BC, including indicating what funds had been committed, how the project was progressing and any issues that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Tourism BC also contracted White Contracting as an excavator operator to undertake culvert maintenance, grade and flood repair for the CWRT from Castlegar to Christina Lake. Mr. White deposed that he has worked in the Castlegar area since the early 1990s and that he had decades of experience in road construction, maintenance and repair. A necessary part of that work included drainage management including ditches and installation of culverts.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Johnson recalls attending the Brooklyn Crossing before the Culvert was installed. She testified that portion of the rail trial was quite eroded, broken down and very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Waters also recalled attending the Brooklyn Crossing on behalf of Pennco Engineering with Ms. Johnson. The purpose of the site visit was to find a solution to make the Brooklyn Crossing more stable. She asked Pennco Engineering to look at what could be done to improve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November 16, 2004, Mr. Waters walked around that site with Mr. White and they came up with two options to address stability and drainage. Both options involved installing a 1,000 millimetre culvert at the Brooklyn Crossing. Mr. Waters returned to the office, discussed the matter with Mr. Penner, and prepared a field report and sketch which he delivered to Mr. Penner. It is apparent that Mr. Penner simply forwarded Mr. Waters' report to Ms. Johnson, indicating his agreement with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That report contained a simple drawing and document for works to be done. Neither Mr. Penner nor Mr. Waters raised any concerns or recommended any further engineering involvement in the proposed works. In particular, no professional engineer prepared a sealed engineering design for the Culvert, attended the installation or inspected the completed culvert installation. White Contracting installed the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Johnson confirmed that she attended a post-work inspection of the Culvert with Mr. White as well as representatives from the Society. The remediated Brooklyn Crossing sloped down further than before because the trail had been widened by using the fill material from the existing embankment. Ms. Johnson also observed that a grate was placed over the Culvert, but she testified that raised no concerns in her mind at the time. It was not disputed that the Pennco design did not include the grate.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As it was required to do, Katim applied for approval under s.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to install the Culvert. A memo dated November 17, 2005, by an employee of the Ministry, recorded that verbal approval had been given to the application at the time the Culvert was installed.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about 2009, Tourism BC again hired Katim, but this time to engage in a one-year contract to monitor, carry out maintenance, and oversee certain improvements to the CWRT. During this time, no concerns were raised regarding the Brooklyn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2011, the Province entered into a contract with SNT to perform the inspection of all structures and culverts on the CWRT. That inventory was conducted by Mr. Johnson, as a subcontractor to SNT. However, SNT set the parameters and criteria for the inventory. That included the criterion that only major culverts (those more than 1200 mm) needed to be included. Mr. Johnson testified his belief that a major culvert was one that required engineering. The Culvert did not fall into that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traversed about 79 km of the CWRT, starting from Castlegar, heading west. He identified over 200 features, about 50 structures and approximately 60 maintenance items. He created a ledger which recorded all those items, dated November 2011, which was entered into evidence. The ledger indicated no maintenance was required for the flume or the Culvert at the Brooklyn Crossing. He also identified features which required monitoring and again the Brooklyn Crossing was not one of those.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Water Licenses - Notice to Admit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April 2012, the plaintiff held conditional water licenses, which were appurtenant to the Waterfront Lots. Those authorize diversion and domestic use of water from specified points in Pup Creek. However, he did not at any time divert or use water from the points of diversion that is indicated on those licenses. Nor did he build works (and none were in place when he purchased the adjacent property) at the points of diversion as shown on the licenses.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Instead, he draws water from the tailrace of the community dam, which is located hundreds of meters upstream from the points of diversion shown on his water licenses.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June or July 2012, the plaintiff applied for a license to divert and use water from Pup Creek to generate power. In about February 2014, the plaintiff received an email from the water stewardship officer in relation to that application that outlined steps the plaintiff needed to take to complete his application, including having a qualified professional prepare a water development plan. The plaintiff did not submit a water development plan, and he did not receive any approval or authorization in relation to 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Apart from the works authorized in his domestic use licenses, the plaintiff does not hold any written authorizations or approvals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Water Sustainability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2014, c. 15</w:t>
      </w:r>
      <w:r>
        <w:rPr>
          <w:rFonts w:ascii="arial" w:eastAsia="arial" w:hAnsi="arial" w:cs="arial"/>
          <w:color w:val="000000"/>
          <w:sz w:val="20"/>
          <w:lang w:val="en-US" w:eastAsia="en-US" w:bidi="ar-SA"/>
        </w:rPr>
        <w:t>, to do works in or around Pup Creek, Brooklyn Creek or their tributaries.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1996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late May 1996, Dwain Boyer, an engineer with then the Ministry of Environment, Lands and Parks for the Province, received a phone call from a Brooklyn resident (Doug Haines) who reported experiencing silty water, which was uncommon given the rate of creek flows at the time. That resident speculated that there had been a landslide at Brooklyn Crossing a few weeks earlier. Mr. Boyer attended the site the next day, took photos, some measurements and recorded some video footage. He alerted Canadian Pacific Railway about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Mr. Boyer did not testify, his observations represent what the Province can reasonably be said to have known when it took ownership of the CWRT. Among other things he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failure was caused when foundation pedestals were displaced by a minor hill slope failure. The water flowing into and ponding against the fill may have caused the failure of the railway fill.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Approximately 7 ft3/s was existing the toe of the fill. ... There was no evidence of distress or weakening of the remaining railway grade. There was no seepage or slumping on the down slope face of the fill and there was only minor evidence of fines emerging at the toe. The base of the fill seems to have a large percentage of large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called a representative of CPR who asked what should be done and Mr. Boyer advised CPR to inspect the site and "[a]t a minimum...fix the bypass channel to get through high water" and since there was still snow, they could expect higher runoff with warmer temperatures. He also walked the Brooklyn Crossing and noted that the concrete wing wall [I infer this is part of the flume structure] on the right side of the inlet had fallen into the channel.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returned later that year, in September, and walked from the Brooklyn Crossing to the lake. He dug into the fill and confirmed there had been a concrete culvert under the fill but it had been buried for many decades. He also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unlikely a significant volume of material in the form of a debris flow, initiated by a mass failure of the railway grade, would reach the properties on the lakeshore. At the site of the gradients are steep enough to mobilize a debris flow. However, there are a number of flatter reaches downstream where the main volume of debris would arrest. During such an event there would obviously be major impacts on water quality. The water supply system for the residents would be damaged. Also, there could be flooding of private property.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The Debris Flood and Immediate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parties agree that on April 26, 2012, the Culvert failed and a portion of the embankment at the Brooklyn Crossing collapsed, dumping large amounts of soil into Brooklyn Creek. They disagree on what caused that failure and how it impacted the water and land downstream of the Brooklyn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Both Mr. Haack and the plaintiff were in the area on April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found Mr. Haack to be a credible and reliable witness who testified in a straight forward manner. He recalled that he had just arrived by boat when he noticed the power go out. He drove towards the powerhouse to investigate and he noticed water running down the road at such a depth that he could no longer safely drive. He saw debris slamming into and jamming the Upper Bridge. This caused muddy water to escape the right bank and flow down the road. He noticed up the valley that treetops were moving. He heard the crashing of rocks and trees. He described that the main flood happened quickly, but that higher than usual flows persisted after that. According to Mr. Haack, the plaintiff was not there for the peak of the event, but arrived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was unsure of which date the Debris Flood occurred, but believed it happened between 11:00 a.m. and 1:00 p.m. He testified he was pouring concrete for the foundation of his house on the date of the Debris Flood, and that it was a clear and sunny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Haack testified that no one went up to the Brooklyn Crossing until the day after the Debris Flood. He confirmed that the residents started cleaning out the Creek by removing debris from the Upper Bridge, which was blocked. They used the plaintiff's backhoe to do this. He recalled it took about a couple of days to get the domestic water flowing again and about a week to get the hydroelectric system back online. He also noted that the event washed out the Lower Bridge and buried his wharf.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terms of ongoing maintenance, Mr. Haack testified that in the summer of 2012, they had to clean out the intakes four times or more, but that by the time of trial, the maintenance required was getting back to normal. Mr. Haack confirmed that prior to 2012, the intake systems usually required clearing of sediment and debris after the spring runoff. The residents would work together for about a day to perform that maintenance, usually with hand tools, although occasionally they needed to use heavy machinery. He also testified that he always experienced dirty water in the spring time and that he filtered his domestic water since he built his cabin in about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testified that before 2012 very minimal hand work was done and some years, no maintenance was needed. He also claimed he had no issues with water quality before the Debris Flood. His evidence on those two points conflicted with Mr. Haack's testimony. As I now explain, I prefer Mr. Haack's testimony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Province challenges the reliability and credibility of the plaintiff's testimony. It submits the plaintiff was prone to hyperbole if he perceived that to be an advantage, but where he thought questioning would result in disadvantage, he became evasive, claimed ignorance or a frailty of memory. The Province also asserts that there were numerous contradictions and inconsistencies in the plaintiff's evidence, and also between his evidence and independent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agree that during cross-examination the plaintiff tended to shift his evidence, or claim a degree of ignorance, if he perceived that to be an advantage to his position in the litigation, especially in relation to the information about the water licenses and the covenants on his property. For example, he admitted he did not obtain a license to divert and use creek water for power despite admitting he was advised by a consultant to do so. Yet, at other points of his testimony he said that he did not seek any approvals because his rights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permitted him to do "anything necessary, including stream diversion, construction, removal of rocks, building roads or bridges to access my water intakes, diversion, building storages ..." and that "BC water law is very explicit" and he could "literally go all the way to the rail grade" and do "whatever necessary to maintain my domestic water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What is relevant is not whether his understanding of the law is correct. The point is that at times he claimed to have little knowledge or lack of familiarity, but at other times, purported to have a comprehensive understanding of the legal regime. This is one example of the plaintiff most probably altering his evidence if he believed it would suit his purposes, but there were a significant number of other examples. This diminishes both the credibility and reliability of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also agree with the Province that the plaintiff had numerous inconsistencies in his testimony, and was impeached on a few occasions by answers given at his examination for discovery which decreases his reliability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Province submitted the plaintiff demonstrated animus towards the Province in the litigation. I find the Province had a legitimate basis to take that position, although I would not go so far as to make that particular finding. I am concerned that the plaintiff cast aspersions against specific Provincial employees, including claiming that Mr. Hawkings had been fired for "pretending to have power" that he did not have. That claim was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also claimed an unnamed Provincial employee told him that he did not need to obtain approval to build a new bridge. Even if such a conversation occurred (I do not make a finding on that point), it is difficult to accept that the plaintiff would have believed it. That possibility is belied by the plaintiff's hiring of Mr. Deverney to assist him with an application for the new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also testified that an unnamed Ministry of Environment person attended the Brooklyn Crossing and told him "to do what you have to do" in the creek, implying he had permission to carry out works with heavy equipment to address an "emergency", even a year after the Debris Flood. Again, I find it highly unlikely that any employee of the Ministry of Environment would purport to authorize anything in such a casual and careless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testified in a very firm manner about those conversations. However, based on my observations and consideration of all his testimony, I find it probable that the plaintiff embellished other conversations that may have happened in an effort to support his position in the litigation. Accordingly, I find on both points the plaintiff's testimony was unreliable. In addition to the other concerns discussed in the preceding paragraphs, I conclude the plaintiff's overall credibility and reliability as a witness was significantly eroded.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Accordingly, I approach his testimony with caution. I note, however, that the plaintiff's credibility is not material to many issues in this litigation. Where it is relevant, I will identify how my assessment impacts the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Response to the Debris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Province learned of the Debris Flood by May 1, 2012. Within a few days, Mr. Hawkings contacted SNT and was enquiring whether SNT and/or Mr. Johnson would be able to give an opinion on further risks and "have a professional set of eyes" on the situation. He contacted a person in the Society who had been at Brooklyn Crossing a few days earlier. He even contacted Ms. Johnson knowing she had been involved in 2004. On or about May 7, 2012, a contractor hired by the Province visited the site. On May 9, 2012, Peter Jordan, a geomorphologist employed by the Province carried out an inspection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June 20, 2012, Mr. Johnson attended at the site to supervise emergency works carried out by the local contractor, Glen Sorenson. Mr. Johnson determined the scope of Mr. Sorenson's work. At that time, unstable material from the now-exposed embankment slopes was removed, a log was installed as a safety device and improvements were done to temporarily divert the CWRT around the Debris Flood, which included digging a water bar to divert flow water away from the fill slope. He also seeded areas of exposed soil with grass. Mr. Johnson noted that there were certain areas that were too unsafe to be able to perform any works on them because it would risk further destabilizing of the slopes.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Johnson attended the site again in November 2012, when he had a contract with RST to lay out and supervise permanent works to realign the Brooklyn Crossing. These were based on a design prepared by SNT but carried out by a local contractor, Allstar Excavating. Those permanent works included construction of a trail surface adequate for a pickup truck, installation of a new 1,400 mm culvert under the trail (the "Replaced Culvert"), channel reinforcement above and below, and installation of water bars on both approaches and seeding.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spring of 2013, Mr. Johnson returned to the site to do some of that seeding and he provided a post-completion report to RST. Mr. Johnson returned again in May 2013, and he testified that the works had held up fairly well over the winter. He did note there had been some minor scour but he patched that using hand tools. Later in 2013, he returned with a tractor to carry out some ditching work and install more water 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2016, pursuant to a contract with the Province, a numbered company doing business as White Contracting installed a cross-ditch on the CWRT just east of Brooklyn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spring of 2018, Mr. Johnson carried out further inspections and rail trail work as a contractor to RST. At that time, he observed what he thought was probably a high-water flow that had scoured out the stream bed immediately below the Replaced Culvert outlet. This caused the stream to redirect to the right and cut into the bank. He recommended some work be done to remedy this, and he supervised that work, which was carried out by Impact Equipment Ltd. in the fall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Four expert witnesses gave evidence relevant to the cause of the Debris Flood:</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Norman Deverney is a professional engineer who was qualified to give opinion evidence on geotechnical engineering, forest hydrology, stream channel assessment, forestry bridge and culvert design, and land failure assessment. He was called by the plaintiff. His expert report was dated July 31, 2018.</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Brian LaCas is also an engineer. He was qualified to give opinion evidence in hydrological engineering and modelling, stream channel restoration, culvert hydraulics design, and review of water intake works. He was called by the plaintiff. His report was dated March 8, 2019.</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Millar was qualified to give opinion evidence with regard to hydrotechnical engineering and geoscience, with particular expertise in hazard assessment, engineering hydrology, calculations of peak flows and flow return periods. He was called by the Province and prepared a September 14, 2018 report responsive to Mr. Deverney's report. He also prepared a report dated April 23, 2019 in response to Mr. LaCas's report.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Matthias Jakob is a geoscientist who is the principal geoscientist at BGC Engineering. He was qualified to give opinion evidence on steep creek processes, including hazard and risk assessments, mass movement processes (of soil or rock), and fluvial geomorphology. He was called by the Province. His report dated September 17, 2018 was responsive to Mr. Deverney's report, and his April 18, 2019 report was responsive to the report of Mr. LaCas.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Analysis of Expert Evidence on Peak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Both Mr. LaCas and Mr. Millar estimated the peak water flow at the Brooklyn Crossing on April 26, 2012, and based on their estimate, they opined on the "return rate" for that peak flow. The return rate is an estimation of the period of time in which the identified peak flow would likely occur once. Despite the terminology, however, it is not a predictive figure, only a statistical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LaCas estimated the peak flow was 0.7 cubic metres per second, which in his view represented between 1:10 year to 1:20 year return rate. Mr. Millar calculated the peak water flow as between 1.1 and 1.2 cubic metres per second, and the return rate approaching 1:100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place more weight on Mr. Millar's opinion. Unlike any other expert, he was specifically qualified to give opinion evidence on calculations of peak flows and flow return periods. Accordingly, his calculations are at the core of his expertise, whereas the same is not true of Mr. LaCas. Absent any other factor, that alone justifies placing more weight on Mr. Millar's calculations of peak flow and return rate. I also found him to give clear and persuasive testimony which was not weakened during cross-examination. However, more significantly, I agree with the Province that Mr. Millar's methodology and analyses were superior to Mr. LaCas's.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Estimating the historic peak water flow for a geographical area is largely driven by the amount and intensity of rainfall. When snow pack exists, "rain on snow" is an additional factor because that causes snow to melt, which of course increases the amount of water. Snowmelt is affected by temperature, so that is also an important factor in the calculation of peak flow. Because there are no rain gauges close to the Brooklyn Crossing, the experts were required to rely on data from other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Millar explained why his calculations differed from Mr. LaCas's. Mr. LaCas used a method to estimate rainfall that Mr. Millar had never heard of and would not use. Mr. LaCas overlaid still shots (taken every 10 minutes) of Environment Canada weather radar maps over the watershed and estimated rainfall by looking at the colours on the map. The maps have a legend that assigns a different gradient of colour for specific ranges of precipitation. Thus, Mr. LaCas would count up the different "squares" of each gradient colour over a period of time on that portion of the map covering the watershed.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Millar had never heard of that method of estimating rainfall, and stated he would not use that method. Nor was there any evidence that this was a generally accepted method of calculating historic rainfall over a geographic area. Mr. Millar pointed out that the radar station generating the images was about 120 km from the watershed. He explained that radar data is less reliable when applied to distances greater than 100 km from the radar station because, at that distance, the curvature of the earth causes radar beams to scan higher segments of the atmosphere, not capturing all the rainfall.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Millar relied on Environment Canada's Canadian Precipitation Analysis system ("CaPA"). CaPA provides almost real time estimates of rainfall in six hour periods. It relies on four sources of data of which weather radar is only one. The other three are surface climate measurements, numerical atmospheric and soil moisture models, and satellite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agree with the Province's contention that Mr. LaCas's unorthodox methodology significantly decreases the weight I should place on his opinion. The Province did not object to the admissibility of the opinion, but pointed out that in </w:t>
      </w:r>
      <w:r>
        <w:rPr>
          <w:rFonts w:ascii="arial" w:eastAsia="arial" w:hAnsi="arial" w:cs="arial"/>
          <w:i/>
          <w:color w:val="000000"/>
          <w:sz w:val="20"/>
          <w:lang w:val="en-US" w:eastAsia="en-US" w:bidi="ar-SA"/>
        </w:rPr>
        <w:t>White Burgess Langille Inman v. Abbott and Haliburton Co.</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xml:space="preserve"> at para. 23, the Supreme Court of Canada held that that novel or contested science is subject to an independent assessment of the reliability of the underlying science. In my view, as applied to Mr. LaCas's estimation of rainfall,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supports reducing the probative value of his opinion because of his unorthodox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Millar also testified that in his view Mr. LaCas's estimation of snowmelt was too low by almost 50%. The plaintiff submits Mr. Millar's criticism is flawed because correcting the error identified by Mr. Millar, would result in an over-estimation of snowmelt by Mr. LaCas, not the opposite. In my view, neither party accurately captured Mr. LaCas's methodology, or the potential flaw with 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Different equations are used to calculate snowmelt depending upon whether an area is in a clearing or heavily forested. The amount of forest cover impacts the amount of sunshine that reaches the snow, which has a direct effect on snowmelt. The watershed is forested.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LaCas relied on data from the Farron Manual Snow Survey site, which is located at a similar elevation as the watershed and about 13.8 km away from the Brooklyn Crossing. However, it is in a clearing. Mr. Millar's report appeared to say that because Mr. LaCas relied on Farron snow data, Mr. LaCas must have applied the wrong formula to determine the rain on snow calculations. However, the plaintiff submitted Mr. Millar mis-stated Mr. LaCas's methodology, and Mr. LaCas did use the correct equation.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that dispute does not capture what I have found to be a problematic aspect of Mr. LaCas's approach. The following paragraph in Mr. LaCas's report described how he calculated snowmelt: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heavily forested regions ... the total basin snowmelt during rainfall can be estimated by an equation, using the mean rainfall and the mean free air temperature. Using temperature estimated for the Brooklyn Creek watershed, and daily rainfall measured at Castlegar BCHPA dam, snowmelt was calculated from April 3, 2012 to April 26, 2012. In order to match the calculated snowmelt with the measured snowmelt at the Farron site, a factor of 0.455 was applied to the estimated snowmelt. This factor was applied to snowmelt calculations on April 26, 2012 at the Upper Brooklyn Creek Watershed. </w:t>
      </w:r>
      <w:r>
        <w:rPr>
          <w:rFonts w:ascii="arial" w:eastAsia="arial" w:hAnsi="arial" w:cs="arial"/>
          <w:color w:val="000000"/>
          <w:sz w:val="20"/>
          <w:u w:val="single"/>
          <w:lang w:val="en-US" w:eastAsia="en-US" w:bidi="ar-SA"/>
        </w:rPr>
        <w:t>Based on the rainfall amount from the radar data analysis</w:t>
      </w:r>
      <w:r>
        <w:rPr>
          <w:rFonts w:ascii="arial" w:eastAsia="arial" w:hAnsi="arial" w:cs="arial"/>
          <w:color w:val="000000"/>
          <w:sz w:val="20"/>
          <w:lang w:val="en-US" w:eastAsia="en-US" w:bidi="ar-SA"/>
        </w:rPr>
        <w:t>, the total snowmelt calculated for April 26, 2012 was 10.0 millimetres.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Apart from anything else, the underlined portion in the preceding paragraph identifies that a critical component of Mr. LaCas's snowmelt calculations was his rainfall calculations, which I have already found to be deserving of less weight. However, that is not the only reason I place decreased weight on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During his examination in chief he elaborated on his methodology. He concluded that because there had been snow at the Farron snow survey site on April 27, "probably there was snow on the upper Brooklyn Creek watershed" and the amount would be "just about the same". He calculated the difference between the snow survey measurements taken at the Farron site on April 3 and April 27, to conclude that in that period, 105 millimetres of snowmelt had been produced. He continued: "And one thing I want to say is that, again, we made the assumption that if 105 [millimetres] of snow/water equivalent was on Farron, it's likely that it would be pretty close what it would be on upper Brooklyn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However, he continued and explained that knowing that much snow melted in the period between April 3 and April 27 was not precise enough to identify how much snowmelt there was on April 26, 2012. Since snowmelt is a function of temperature and rainfall, he looked for temperature data from the weather station closest to the watershed, which was the Nancy Green climate station. He adjusted that data to accommodate the difference in elevation between the Nancy Green climate station and the Brooklyn Crossing. That station recorded the temperatures for each day, including April 26, 2012. He then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now we know or estimated the temperature at the upper Brooklyn Creek watershed now for those days, each day, including the 26th. So the next thing we need to do is add rainfall. </w:t>
      </w:r>
      <w:r>
        <w:rPr>
          <w:rFonts w:ascii="arial" w:eastAsia="arial" w:hAnsi="arial" w:cs="arial"/>
          <w:color w:val="000000"/>
          <w:sz w:val="20"/>
          <w:u w:val="single"/>
          <w:lang w:val="en-US" w:eastAsia="en-US" w:bidi="ar-SA"/>
        </w:rPr>
        <w:t>Well, we couldn't use the Nancy Green rainfall because their rainfall was a combination of rain and snow, precipitation, so it didn't split it up the snow and the rain, so we just couldn't use 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Plaintiff's counsel asked Mr. LaCas why he did not simply use the rainfall he calculated using the radar maps.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what we did was - it's called data pairing. So data pairing is when you have a gap in your data. So we know what the snow equivalent [at Farron] is April 3rd, and we know April 27th. So we can't use Nancy Green because it includes snow and rain. So we had to throw that one out. So we got the next closest station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then what we did was we knew and </w:t>
      </w:r>
      <w:r>
        <w:rPr>
          <w:rFonts w:ascii="arial" w:eastAsia="arial" w:hAnsi="arial" w:cs="arial"/>
          <w:color w:val="000000"/>
          <w:sz w:val="20"/>
          <w:u w:val="single"/>
          <w:lang w:val="en-US" w:eastAsia="en-US" w:bidi="ar-SA"/>
        </w:rPr>
        <w:t>we came up with a number a lot larger than 105</w:t>
      </w:r>
      <w:r>
        <w:rPr>
          <w:rFonts w:ascii="arial" w:eastAsia="arial" w:hAnsi="arial" w:cs="arial"/>
          <w:color w:val="000000"/>
          <w:sz w:val="20"/>
          <w:lang w:val="en-US" w:eastAsia="en-US" w:bidi="ar-SA"/>
        </w:rPr>
        <w:t xml:space="preserve"> because the fact is it's not calibrated. </w:t>
      </w:r>
      <w:r>
        <w:rPr>
          <w:rFonts w:ascii="arial" w:eastAsia="arial" w:hAnsi="arial" w:cs="arial"/>
          <w:color w:val="000000"/>
          <w:sz w:val="20"/>
          <w:u w:val="single"/>
          <w:lang w:val="en-US" w:eastAsia="en-US" w:bidi="ar-SA"/>
        </w:rPr>
        <w:t>But we know that the actual number is 105</w:t>
      </w:r>
      <w:r>
        <w:rPr>
          <w:rFonts w:ascii="arial" w:eastAsia="arial" w:hAnsi="arial" w:cs="arial"/>
          <w:color w:val="000000"/>
          <w:sz w:val="20"/>
          <w:lang w:val="en-US" w:eastAsia="en-US" w:bidi="ar-SA"/>
        </w:rPr>
        <w:t>. ...We're trying to figure out what's on April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how we adjusted the data was </w:t>
      </w:r>
      <w:r>
        <w:rPr>
          <w:rFonts w:ascii="arial" w:eastAsia="arial" w:hAnsi="arial" w:cs="arial"/>
          <w:color w:val="000000"/>
          <w:sz w:val="20"/>
          <w:u w:val="single"/>
          <w:lang w:val="en-US" w:eastAsia="en-US" w:bidi="ar-SA"/>
        </w:rPr>
        <w:t>we had 105 millimetres of snowmelts that we knew was going to occur. We end up with a larger number - and I would have to look back, but I think it's 236 and that was just with random -</w:t>
      </w:r>
      <w:r>
        <w:rPr>
          <w:rFonts w:ascii="arial" w:eastAsia="arial" w:hAnsi="arial" w:cs="arial"/>
          <w:color w:val="000000"/>
          <w:sz w:val="20"/>
          <w:lang w:val="en-US" w:eastAsia="en-US" w:bidi="ar-SA"/>
        </w:rPr>
        <w:t xml:space="preserve"> or not randomly. It's taking those temperatures and putting it in, but it's not calibrated, so we have to calibrate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we looked at the relationship between each day after we calculated snowmelt, and then we used those relationships </w:t>
      </w:r>
      <w:r>
        <w:rPr>
          <w:rFonts w:ascii="arial" w:eastAsia="arial" w:hAnsi="arial" w:cs="arial"/>
          <w:color w:val="000000"/>
          <w:sz w:val="20"/>
          <w:u w:val="single"/>
          <w:lang w:val="en-US" w:eastAsia="en-US" w:bidi="ar-SA"/>
        </w:rPr>
        <w:t>based on 105</w:t>
      </w:r>
      <w:r>
        <w:rPr>
          <w:rFonts w:ascii="arial" w:eastAsia="arial" w:hAnsi="arial" w:cs="arial"/>
          <w:color w:val="000000"/>
          <w:sz w:val="20"/>
          <w:lang w:val="en-US" w:eastAsia="en-US" w:bidi="ar-SA"/>
        </w:rPr>
        <w:t xml:space="preserve"> and put it into the - there, so it's called data pairing...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His calculation of snowmelt based on data from the Farron station data drove his analysis. The issue was not only which equation he used. Instead, I find it problematic that he relied on a measurement of snowmelt which was taken from a clearing and assumed that represented how much snowmelt occurred in the watershed, which is a forested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assumed equivalence between snowmelt in Farron and the watershed was central to his methodology, to the point where it was used to reject other data. As identified above, his calculations (I infer, relying on data from Nancy Green weather station) came up with a higher number for snowmelt in the watershed, but he ignored that because he "had 105 millimetres of snowmelt that we knew was going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If there are different equations used to determine snowmelt depending upon whether the area is forested or not, I would think assuming the amount of snow in a forested area is "just about the same" as the amount of snow in a clearing is problematic. The plaintiff pointed out that ought not to diminish the weight of his opinion, because if anything, the clearing, being exposed to more sun, would tend to have greater snowmelt, meaning his calculations would be over-estimates, whereas as Mr. Millar said Mr. LaCas's calculation was perhaps 50% too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However, that is not the point. The issue is the reliability of Mr. LaCas's approach. I am not satisfied that he adequately justified the feasibility of using a type of "reverse calculation" to ensure his data would result in 105 mm of snowmelt in the watershed. Among other things, the higher calculations (which I infer came from calculations from the Nancy Green weather station) should have been at least subjected to some analysis as a "test" against 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Combined with the comments about his unorthodox reliance on radar maps, I find his approach to calculating snowmelt in the watershed significantly diminishes the weight I attach to Mr. LaCas's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will not review Mr. Jakob's commentary on Mr. LaCas's report because it was consistent with Mr. Millar's views, and relied on Mr. Millar's calculations of peak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Based on the foregoing, I place minimal weight on Mr. LaCas's calculation of peak flow, and his corresponding evidence about what return period that represented. Given my comments about his methodology, I find his opinions are less reliable than Mr. Millar's. I place significant weight on Mr. Millar's calculations and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Accordingly, I find on a balance of probabilities that the total peak flow on April 26, 2012, was between 1.1 and 1.2 cubic metres per second, which represented a return rate close to 1:100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Assessment of Mr. Deverney's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Deverney had a pre-existing client relationship with the plaintiff. Mr. Deverney was hired by the plaintiff in 2005 to prepare a report in support of the plaintiff's application to subdivide his properties, and years later, he was hired to undertake a bridge design. The Province submits his opinions are inherently unreliable because they are based on observations and field work that was done for professional purposes when he was a consultant hired by the plaintiff. The Province submits this has resulted in what it calls "selectivity bias" in his observations, which weakens the reliability of his opinions thereby reducing the weight the court should place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not clear to me those factors necessarily detract from Mr. Deverney's independence to the degree asserted by the Province. However, as I explain below, I do place minimal weight on Mr. Deverney's opinions for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Mr. Deverney's analysis and the content of his report suffer from a number of deficiencies. Most concerning, he confirmed in his report that he was "unable to quantify the downstream impacts" of the Debris Flood on the plaintiff's property, or the community hydroelectric and water intakes. The lack of quantification significantly decreases the reliability of his conclusion that a majority of the sediment from the embankment which entered Brooklyn Creek did travel all the way to the lake. However, he made no attempt to do any hydrological analysis to back up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was clear during his testimony and in his report that his opinion was based to a large degree on his observations that Brooklyn Creek was "undisturbed" upstream of the Brooklyn Crossing. This was a subjective description based on him merely "looking upstream"; he did not traverse that area or make any detailed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also concluded that the flume structure had been in disrepair for "some time", implying that it would not have been able to perform its function on the date of the Debris Flood, contributing to the pooling of water. However, that conclusion was based on his observation of the flume after the Debris Flood. The Province adduced evidence from Mr. Johnson that in November 2011, the flume structure was stable, in good shape and performing its function to divert the flow of Brooklyn Creek from its natural channel upstream of the rail trail.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Thus, Mr. Deverney simply assumed the flume had already been in disrepair before the Debris Flood, but he provided no explanation for that conclusion. Given Mr. Johnson's evidence that the flume was in good repair when he inspected it in November 2011, it is possible that an event subsequent to November 2011 and before the Debris Flood, or the Debris Flood itself damaged the flume.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More problematic, Mr. Deverney did no quantitative analysis to support his opinion that the cause of the Debris Flood was the accumulation of water behind the Culvert that saturated the embankment. For example, he did not turn his mind to how much water would need to pool in order to saturate the embankment nor how much saturation would cause the embankment to fail. In other words, he did not subject his conclusions to any analysis to confirm how plausible his theory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He also described Pup Creek as undisturbed beyond a short distance, which is consistent with his theory that the only cause of the Debris Flood was the failure of the Culvert. Again, he did not traverse that area and merely looked at it from the point where Pup and Brooklyn creeks converged. Nor did he document in any way what led him to conclude it was undisturbed. He did not address the flow capacity of the Pup Creek channel or the sediment transport capability.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my view, his opinion as to what caused the Debris Flood is not supported by sufficient objective measures or analyses, and therefore his opinion is essentially an educated guess. For that reason, I place minimal weight on his opinion and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Causes of the Debris Flood and Sediment Transport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only expert called by the plaintiff to opine on what caused the Debris Flood was Mr. Deverney. As noted above, I place minimal weight on his opinions. However, Mr. Millar and Mr. Jakob agreed with some aspects of Mr. Deverney's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Deverney opined that the Debris Flood was caused by blockage or partial blockage of the Culvert because of debris being caught in the grate. He stated that the grate blocked or slowed the flow of water through the Culvert, saturating the embankment which then caused its collapse.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Millar agreed with Mr. Deverney that it is likely debris accumulation against the grate caused ponding above the crown of the Culvert, which reduced the Culvert's flow capacity by between 14% to 33%. Unlike Mr. Deverney, however, his opinion was supported by some hydrological analysis. However, Mr. Millar stated that Mr. Deverney's conclusion that the embankment fill became saturated and then collapsed was unsupported by any analysis. Mr. Millar opined that other processes such as internal erosion and soil piping may have been active and contributed to the embankment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experts also agreed that the installation of the grate at the Culvert's inlet was not part of Pennco's design. However, Mr. Millar was unaware of any regulations or practice guidelines relating to the installation of trash racks or grates. While he agreed that the grate increased potential for blockages, he opined that the "absence of the trash rack would not guarantee that blockage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experts agreed that the Culvert was not installed at the level of the original stream bed as recommended by Pennco. Mr. Deverney opined that the installation of the Culvert at the incorrect level created the potential for scour and erosion of underlying sandy soils at the outlet. However, he concluded "those defects were probably not the cause" of the Debris Flood. Mr. Millar agreed with that conclusion, again pointing out that the "susceptibility of the underlying fill material to internal erosion has not been determined, and the fill material below the [Culvert] may have been susceptible [to] piping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Jakob generally agreed with Mr. Deverney's description of the Debris Flood as a "torrent of soil and water released from the [CWRT] embankment resulted in scouring to the stream channel bed, deposition of fine sediments, and loss of mature streamside timber over a distance of more than 3.7 kilometres". However, he notes Mr. Deverney did not attempt to estimate how much of the scour and bank erosion would have occurred absent the failure of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Jakob relied on Mr. Millar's estimation of peak flow of 1.2 cubic metres per second and opined that a discharge of that magnitude "would have likely resulted in some scour and deposition, even in the absence of the [Culvert]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Jakob explained the terminology he used to describe the likelihood of occurrences or his confidence in various opinions or inferences. He relied on the classification of probability used by the UN's Intergovernmental Panel on Climate Change. For example, under that rubric, "likely" equates to 66% to 100% probability of the outcome whereas very likely equates to 90% to 100% probability of the outcome. While expressed as percentages, he clarified that the probabilities were not statistically quantified. The rubric helped him express his judgment and apply his own analysis to the evidence and documents he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Jakob also opined that it was '"very likely that at least some sediment would have been entrained due to erosion by high water flows, regardless of the CWRT failure" in contrast to Mr. Deverney's conclusion that the disturbances he observed were not triggered by naturally high runoff flows alone. Mr. Jakob based his conclusion on the "visually observed grain size distribution and the estimated peak discharge of rain-on-snow event". He added that the peak discharge immediately downstream of the Brooklyn Crossing at the time of the Culvert failure was "likely an order of magnitude higher than the 1.2 cubic metres estimated by [Mr.] Millar" although that flow would have "attenuated prior to reaching the hydroelectric and domestic water intakes". He also opined that it is likely the total sediment load arriving at the intakes would have been affected by sediment transport from both the Brooklyn Creek sub-watershed and the Pup Creek watershed, conflicting with Mr. Deverney's opinion. He also wrote that "[a] runoff even of substantial magnitude would likely have generated some erosion and deposition along Brooklyn and Pup Creek, regardless of the CWRT crossing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Jakob also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more than approximately 20% of the coarse sediment load was transported past the main deposition zone at 840 m to 860 m elevation. An unknown amount was further deposited as overbank sediment and in sediment wedges upstream of the hydroelectric intake and water intake. This implies that only a small proportion of the total sediment load from the CWRT failure would have arrived at the hydroelectric and domestic water intakes.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further wrote that "[s]ediment from the CWRT failure transported further downstream than [the alluvial fan area] would likely be limited to sands and gravels, and some coarser (likely cobble and gravel) sediment entrained by channel erosion downstream of the log jams".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summary, Mr. Jakob opined the Debris Floor on April 26, 2012, was likely of substantially higher peak flow immediately downstream of the CWRT failure. Therefore, the total sediment load attributable to Debris Flood was very likely higher immediately downstream of Brooklyn Crossing than it would have been absent the failure of the embankment alone. He also opined that it is likely that fine sedimentation and gravel would have deposited in the settlement ponds for the dam and domestic water intake in the absence of the Culvert failure because of the rain-on-snow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Jakob's report and evidence was presented in a clear manner. I did not find his cross-examination diminished the weight of any of his opinions. Also, sediment transport is one of the core areas of Mr. Jakob's expertise, and absent flaws in his approach or reasoning, that would justify placing greater weight on his opinions. For all those reasons, I find Mr. Jakob's opinions are entitled to significant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Design of the Remediation of Brooklyn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providing his opinion on the causes of the landslide, Mr. Deverney focussed on the trash rack and incorrect elevation of the Culvert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stated that if an engineer had designed the remediation that was done at Brooklyn Crossing, standard practice dictated a follow-up inspection by the engineer to ensure the works conformed with the design. Mr. Millar agreed with that proposition. Mr. Waters also agreed that was the usual practice. He added, however, that in his view, a hydraulic design would not necessarily have been required for the Brooklyn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position is that follow-up by an engineer would have resulted in removal of the grate. I am not satisfied that he has proven that supposition on a balance of probabilities. I do find if more probable than not that if Pennco was asked to and did conduct a follow up inspection, it would have alerted Katim that the installation of the grate did not conform with its design. However, in my view, that does not prove the grate would not have been on the Culvert on the date of the Debris Flood (see below, paras. 255 and 256).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all experts agreed the Culvert was not installed at the height recommended in the Pennco report, it is not clear to me that a follow-up inspection would have resulted in re-installation of the Culvert at the correct height. There is no evidence to support that supposition. In any event, the plaintiff's expert did not find the height of the installation contributed to the damage. However, again, I agree that Katim would have been informed that the height of the Culvert was not in conformity with the Pennco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Deverney also opined that professional engineer's design "should be required" for high hazard sites. He then referred to a 1996 report by Dwain Boyer that commented on a "risk of failure" and "high risk of some run-out onto private land and environmental impacts to the stream and lake". He also stated that "[p]rudent practice might suggest a professional engineer's design should be required for high hazard sites, or where there is potential for adverse downstream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Although not stated directly in his report, the implication is that Brooklyn Crossing was an area of "high risk". However, to the extent that was his opinion, it was based on nothing other than his interpretation of some portions of Mr. Boyer's email. Specifically, he confirmed he did not conduct a risk assessment of the Brooklyn Crossing for his expert report like he had done for the plaintiff in 2005 in support of the application for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agree with Mr. Jakob's commentary on this aspect of Mr. Deverney's opinion. Mr. Jakob points out that Mr. Boyer's report describes only his field observations and was not a risk assessment, which would require at a minimum a "qualitative risk assessment in which the probability of the undesirable event (in this case the CWRT embankment failure) and the consequences (in this case, the sedimentation of the intake pond and a partial failure of the electric power generation) are juxtaposed". He included an example of an applicable matrix and opined it may have resulted in an overall risk assessment of low to moderate, but certainly not "very high". I prefer Mr. Jakob's analysis on this issue to Mr. Deverney's because it is analytical.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LaCas also opined that the Brooklyn Crossing remediation should have been designed by a professional engineer. The reasons he states are because there are year-round residents living downstream, the reference to the 1996 incident and a fill height of about 20 metres with no emergency outlet. However, the foundation for his opinion is not his independent analysis, based on his expertise. Instead, he refers to and relies on portions from Mr. Deverney's report. In particular, he repeats portions of Mr. Boyer's email commenting on the aftermath of the 1996 event. For that reason, I place no weight on Mr. LaCas's opinion on this point. In any event, as noted in the preceding paragraph I prefer Mr. Jakob's evidence about risk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Millar also commented on the need for involvement by a professional engineer. However, he noted that that the regulations and professional practice guidelines that existed in 2004 did not require that a professional engineer provide design for all culverts (and certainty not for those the same size as the Culvert). He also pointed out that Pennco did not recommend that Katim obtained sealed professional engineer design for its recommendations. Nor did Pennco classify the remediation as "high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However, Mr. Millar did state that he believed he would have recommended a professional engineer had he been retained, not based on regulatory requirements, but based on the potential for the Culvert and/or embankment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following issues arise:</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waived any claims he had against the Province in restrictive covenants registered against his properties?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has not waived the claims, or not waived some of the claims: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plaintiff entitled to compensation from the Province pursuant to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Province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acts of contractors and did it have non-delegable duty; and if so, did any breach cause damage to the plaintiff's property?</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Debris Flood a nuisance caused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Province's position is that the plaintiff received approval to subdivide his land and build his home conditional upon waiving the right to sue the Province with regard to damage from flooding. It submits this waiver is a complete answer to virtually all claims raised in the lawsuit. The plaintiff's position is that the waiver does not preclude any of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all subdivisions require the approval of the relevant approving officer. Section 86(1)(d) empowers an approving officer to require as a condition of subdivision that the applicant enter into a covenant if the approving officer "considers that the land is, or could reasonably be expected to be, subject to flooding, erosion, land slip or avalanche". That is what happened in this case. As a condition of getting approval to subdivide his property, and pursuant to s. 219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the plaintiff entered a restrictive covenant with respect of his property along the waterfront and beside the creek, which are identically worded and contain a liability exclusion clause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Specifically, the Waiver is contained in clause 3(b) of the restrictive covenant:</w:t>
      </w:r>
      <w:r>
        <w:rPr>
          <w:rFonts w:ascii="arial" w:eastAsia="arial" w:hAnsi="arial" w:cs="arial"/>
          <w:sz w:val="20"/>
          <w:lang w:val="en-US" w:eastAsia="en-US" w:bidi="ar-SA"/>
        </w:rPr>
        <w:cr/>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 ... acknowledges that [the Province] does not represent to [the plaintiff ] nor to any other person that any building ... improvement, chattel, or other structure, including the contents of any of them, built, constructed or placed on the [Waterfront Lots] will not be damaged by flooding or erosion and [the plaintiff] ... with full knowledge of the potential flood erosion danger and in consideration of the approvals given by [the Province] hereby:</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agrees to indemnify and save harmless the Province ... from all loss, damage, costs, actions, suits, debts, accounts, claims and demands which the Province ... may suffer or incur or be put to arising out of or in connection with any breach of any covenant or agreement on the part of [the plaintiff] ... contained in this Agreement or arising out of or in connection with any personal injury, death or loss or damages to the [Waterfront Lots], or to any building, ... other structure ... built, constructed or placed on the [Waterfront Lots] ... caused by flooding, erosion or some other similar cause;</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remise, release and forever discharge the Province ... from all manner of actions, cause of actions, suits, debts, accounts, covenants, contracts, claims and demands which [the plaintiff] ... may have against the Province ... from and by reason of any personal injury, death or loss or damage to the [Waterfront Lots], or to any building, ... improvement ... or other structure ... built, constructed or placed on the [Waterfront Lots], caused by flooding, erosion or some such similar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Other portions of the restrictive covenants emphasize the plaintiff's knowledge of the flood risk. One clause stipulated that the plaintiff was aware of and acknowledged there is was a potential flood danger to his land. Another clause prohibits the construction of buildings or other structures within areas outlined on the reference plan. In addition, "no area used for habitation, business or storage of goods damageable by floodwaters" could be located within a specified distance of the creek's natural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parties appear to disagree with respect to the appropriate analytical approach to determine the applicability of the Wavier as it relates to the Debris Flood. In my view, the analytical framework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must be followed with respect to the applicability and enforceability of exclusion clauses. However, given the factual differences,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may not provide a complete answer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divided (5-4) on the result, however, was unanimous on the approach with respect to exclusion clauses. Justice Binnie, in dissent, set out a three-stage analytical framework when a party seeks to be exempt from the operation of an exclusion clause (at paras. 122-23; adopted by the majority at para. 62):</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matter of ordinary contractual interpretation does the limitation clause apply to the circumstances establishing by the evidence, considering the parties' intentions as expressed in the contract;</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exclusion clause applies, was it unconscionable at the time the contract was made; and,</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limitation clause is valid and applicable, should the court nevertheless refuse to enforce it because of an overriding public policy, proof of which lies on the party seeking to avoid its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It is clear, based on the plaintiff's submissions, that his position with respect to the Waiver is focused on the first stage of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analysis: whether the Wavier applies in the circumstances. The plaintiff did not advance any argument with respect to the Waiver being unconscionable or an overriding public policy such that the court should refuse to enforce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plaintiff submits the Waiver is inapplicable for two reasons. First, the Waiver was only intended to apply to natural flooding, not the flooding in this case because the Culvert was not a natural element of Brooklyn Creek. Second, the Waiver was not intended to waive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or pursuant to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Both of these general arguments depend on the interpretation of the Waiver, as a matter of contractual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Court of Appeal has confirmed that covenants granted under s. 219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should be interpreted in a manner similar to the interpretation of contracts: </w:t>
      </w:r>
      <w:r>
        <w:rPr>
          <w:rFonts w:ascii="arial" w:eastAsia="arial" w:hAnsi="arial" w:cs="arial"/>
          <w:i/>
          <w:color w:val="000000"/>
          <w:sz w:val="20"/>
          <w:lang w:val="en-US" w:eastAsia="en-US" w:bidi="ar-SA"/>
        </w:rPr>
        <w:t>Deep Six Developments Inc. v. Richmond (City)</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2003 BCCA 518</w:t>
        </w:r>
      </w:hyperlink>
      <w:r>
        <w:rPr>
          <w:rFonts w:ascii="arial" w:eastAsia="arial" w:hAnsi="arial" w:cs="arial"/>
          <w:color w:val="000000"/>
          <w:sz w:val="20"/>
          <w:lang w:val="en-US" w:eastAsia="en-US" w:bidi="ar-SA"/>
        </w:rPr>
        <w:t xml:space="preserve"> at para. 26. I did not understand the plaintiff to disagree with that basic proposition, but he disagrees with the Province about the implications of that approach as applied to the facts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general approach to contractual interpretation was set out in </w:t>
      </w:r>
      <w:r>
        <w:rPr>
          <w:rFonts w:ascii="arial" w:eastAsia="arial" w:hAnsi="arial" w:cs="arial"/>
          <w:i/>
          <w:color w:val="000000"/>
          <w:sz w:val="20"/>
          <w:lang w:val="en-US" w:eastAsia="en-US" w:bidi="ar-SA"/>
        </w:rPr>
        <w:t>Niedermeyer v. Charlton</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2014 BCCA 165</w:t>
        </w:r>
      </w:hyperlink>
      <w:r>
        <w:rPr>
          <w:rFonts w:ascii="arial" w:eastAsia="arial" w:hAnsi="arial" w:cs="arial"/>
          <w:color w:val="000000"/>
          <w:sz w:val="20"/>
          <w:lang w:val="en-US" w:eastAsia="en-US" w:bidi="ar-SA"/>
        </w:rPr>
        <w:t xml:space="preserve"> at paras. 24-25, citing </w:t>
      </w:r>
      <w:r>
        <w:rPr>
          <w:rFonts w:ascii="arial" w:eastAsia="arial" w:hAnsi="arial" w:cs="arial"/>
          <w:i/>
          <w:color w:val="000000"/>
          <w:sz w:val="20"/>
          <w:lang w:val="en-US" w:eastAsia="en-US" w:bidi="ar-SA"/>
        </w:rPr>
        <w:t>MacMillan Bloedel Ltd. v. British Columbia Hydro and Power</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(1992), 98 D.L.R. (4th) 492</w:t>
        </w:r>
      </w:hyperlink>
      <w:r>
        <w:rPr>
          <w:rFonts w:ascii="arial" w:eastAsia="arial" w:hAnsi="arial" w:cs="arial"/>
          <w:color w:val="000000"/>
          <w:sz w:val="20"/>
          <w:lang w:val="en-US" w:eastAsia="en-US" w:bidi="ar-SA"/>
        </w:rPr>
        <w:t xml:space="preserve"> (B.C.C.A.) at para. 30, and can be summarized as follows:</w:t>
      </w:r>
      <w:r>
        <w:rPr>
          <w:rFonts w:ascii="arial" w:eastAsia="arial" w:hAnsi="arial" w:cs="arial"/>
          <w:sz w:val="20"/>
          <w:lang w:val="en-US" w:eastAsia="en-US" w:bidi="ar-SA"/>
        </w:rPr>
        <w:cr/>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ambiguity, words in the contract should be given their literal meaning;</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words of ordinary use must be construed in their ordinary and natural sense;</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paramount test is the intention of the parties; and,</w:t>
      </w:r>
    </w:p>
    <w:p>
      <w:pPr>
        <w:numPr>
          <w:numId w:val="2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determine the objective intention of the parties by looking to the surrounding circumstances at the time the contract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However, the Province submits those rules of construction need not be engaged if the words of the contract (or in this case, the covenant) are unambiguous: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at paras. 22-23. Its position is the Waiver is clear: the plaintiff has released the Province from any type of action relating to loss or damage to his land or any improvement or structure built on the land caused by flooding or erosion.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plaintiff submits the Wavier is inoperative against his common law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and his claim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He relies on </w:t>
      </w:r>
      <w:r>
        <w:rPr>
          <w:rFonts w:ascii="arial" w:eastAsia="arial" w:hAnsi="arial" w:cs="arial"/>
          <w:i/>
          <w:color w:val="000000"/>
          <w:sz w:val="20"/>
          <w:lang w:val="en-US" w:eastAsia="en-US" w:bidi="ar-SA"/>
        </w:rPr>
        <w:t>Canada Steamship Lines Ltd. v. The King</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[1952] 2 D.L.R. 786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and submits the test articulated in that case was adopted in </w:t>
      </w:r>
      <w:r>
        <w:rPr>
          <w:rFonts w:ascii="arial" w:eastAsia="arial" w:hAnsi="arial" w:cs="arial"/>
          <w:i/>
          <w:color w:val="000000"/>
          <w:sz w:val="20"/>
          <w:lang w:val="en-US" w:eastAsia="en-US" w:bidi="ar-SA"/>
        </w:rPr>
        <w:t>ITO-Int'l Terminal Operators v. Miida Electronics</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[1986] 1 S.C.R. 752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plaintiff submits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is the guiding framework because that case addresses whether a clause waives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the extent that the plaintiffs are, by implication, saying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is not the appropriate analytical framework, I disagree. However, that is not so say that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are inapplicable, as it does not appear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has been overturned.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articulated a three-fold test to be applied when an exclusion clause purports to waive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test is (at 793-794, quoted in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at 794-795):</w:t>
      </w:r>
      <w:r>
        <w:rPr>
          <w:rFonts w:ascii="arial" w:eastAsia="arial" w:hAnsi="arial" w:cs="arial"/>
          <w:sz w:val="20"/>
          <w:lang w:val="en-US" w:eastAsia="en-US" w:bidi="ar-SA"/>
        </w:rPr>
        <w:cr/>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clause contains language which expressly exempts the person in whose favour it is made (hereafter called "the </w:t>
      </w:r>
      <w:r>
        <w:rPr>
          <w:rFonts w:ascii="arial" w:eastAsia="arial" w:hAnsi="arial" w:cs="arial"/>
          <w:i/>
          <w:color w:val="000000"/>
          <w:sz w:val="20"/>
          <w:lang w:val="en-US" w:eastAsia="en-US" w:bidi="ar-SA"/>
        </w:rPr>
        <w:t>proferens</w:t>
      </w:r>
      <w:r>
        <w:rPr>
          <w:rFonts w:ascii="arial" w:eastAsia="arial" w:hAnsi="arial" w:cs="arial"/>
          <w:color w:val="000000"/>
          <w:sz w:val="20"/>
          <w:lang w:val="en-US" w:eastAsia="en-US" w:bidi="ar-SA"/>
        </w:rPr>
        <w:t xml:space="preserve">") from the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his own servants, effect must be given to that provision. ...</w:t>
      </w:r>
    </w:p>
    <w:p>
      <w:pPr>
        <w:numPr>
          <w:numId w:val="2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no express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must consider whether the words used are wide enough, in their ordinary meaning, to cover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servants of the </w:t>
      </w:r>
      <w:r>
        <w:rPr>
          <w:rFonts w:ascii="arial" w:eastAsia="arial" w:hAnsi="arial" w:cs="arial"/>
          <w:i/>
          <w:color w:val="000000"/>
          <w:sz w:val="20"/>
          <w:lang w:val="en-US" w:eastAsia="en-US" w:bidi="ar-SA"/>
        </w:rPr>
        <w:t>proferens</w:t>
      </w:r>
      <w:r>
        <w:rPr>
          <w:rFonts w:ascii="arial" w:eastAsia="arial" w:hAnsi="arial" w:cs="arial"/>
          <w:color w:val="000000"/>
          <w:sz w:val="20"/>
          <w:lang w:val="en-US" w:eastAsia="en-US" w:bidi="ar-SA"/>
        </w:rPr>
        <w:t xml:space="preserve">. If a doubt arises at this point, it must be resolved against the </w:t>
      </w:r>
      <w:r>
        <w:rPr>
          <w:rFonts w:ascii="arial" w:eastAsia="arial" w:hAnsi="arial" w:cs="arial"/>
          <w:i/>
          <w:color w:val="000000"/>
          <w:sz w:val="20"/>
          <w:lang w:val="en-US" w:eastAsia="en-US" w:bidi="ar-SA"/>
        </w:rPr>
        <w:t>proferens</w:t>
      </w:r>
      <w:r>
        <w:rPr>
          <w:rFonts w:ascii="arial" w:eastAsia="arial" w:hAnsi="arial" w:cs="arial"/>
          <w:color w:val="000000"/>
          <w:sz w:val="20"/>
          <w:lang w:val="en-US" w:eastAsia="en-US" w:bidi="ar-SA"/>
        </w:rPr>
        <w:t xml:space="preserve"> ...</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words used are wide enough for the above purpose, the court must then consider whether "the head of damage may be based on some ground other than that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quote again Lord Greene in the </w:t>
      </w:r>
      <w:r>
        <w:rPr>
          <w:rFonts w:ascii="arial" w:eastAsia="arial" w:hAnsi="arial" w:cs="arial"/>
          <w:i/>
          <w:color w:val="000000"/>
          <w:sz w:val="20"/>
          <w:lang w:val="en-US" w:eastAsia="en-US" w:bidi="ar-SA"/>
        </w:rPr>
        <w:t>Alders lade</w:t>
      </w:r>
      <w:r>
        <w:rPr>
          <w:rFonts w:ascii="arial" w:eastAsia="arial" w:hAnsi="arial" w:cs="arial"/>
          <w:color w:val="000000"/>
          <w:sz w:val="20"/>
          <w:lang w:val="en-US" w:eastAsia="en-US" w:bidi="ar-SA"/>
        </w:rPr>
        <w:t xml:space="preserve"> case. The "other ground" must not be so fanciful or remote that the </w:t>
      </w:r>
      <w:r>
        <w:rPr>
          <w:rFonts w:ascii="arial" w:eastAsia="arial" w:hAnsi="arial" w:cs="arial"/>
          <w:i/>
          <w:color w:val="000000"/>
          <w:sz w:val="20"/>
          <w:lang w:val="en-US" w:eastAsia="en-US" w:bidi="ar-SA"/>
        </w:rPr>
        <w:t>proferens</w:t>
      </w:r>
      <w:r>
        <w:rPr>
          <w:rFonts w:ascii="arial" w:eastAsia="arial" w:hAnsi="arial" w:cs="arial"/>
          <w:color w:val="000000"/>
          <w:sz w:val="20"/>
          <w:lang w:val="en-US" w:eastAsia="en-US" w:bidi="ar-SA"/>
        </w:rPr>
        <w:t xml:space="preserve"> cannot be supposed to have desired protection against it; but subject to this qualification, which is no doubt to be implied from Lord Greene's words, the existence of a possible head of damage other than that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fatal to the </w:t>
      </w:r>
      <w:r>
        <w:rPr>
          <w:rFonts w:ascii="arial" w:eastAsia="arial" w:hAnsi="arial" w:cs="arial"/>
          <w:i/>
          <w:color w:val="000000"/>
          <w:sz w:val="20"/>
          <w:lang w:val="en-US" w:eastAsia="en-US" w:bidi="ar-SA"/>
        </w:rPr>
        <w:t>proferens</w:t>
      </w:r>
      <w:r>
        <w:rPr>
          <w:rFonts w:ascii="arial" w:eastAsia="arial" w:hAnsi="arial" w:cs="arial"/>
          <w:color w:val="000000"/>
          <w:sz w:val="20"/>
          <w:lang w:val="en-US" w:eastAsia="en-US" w:bidi="ar-SA"/>
        </w:rPr>
        <w:t xml:space="preserve"> even if the words used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wide enough to cover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his servants.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at 795, proceeded to discuss the third branch of this test, noting that it had "been the subject of much judicial comment and has given courts some difficulties". The Court said this problem has generally been treated as a "question of construction in an effort to give effect to what may be termed the reasonable intention of the parties." Further, the Court noted subsequent cases have "endeavoured to relax" the third branch of the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addition, the Court in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held the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test had been clarified in </w:t>
      </w:r>
      <w:r>
        <w:rPr>
          <w:rFonts w:ascii="arial" w:eastAsia="arial" w:hAnsi="arial" w:cs="arial"/>
          <w:i/>
          <w:color w:val="000000"/>
          <w:sz w:val="20"/>
          <w:lang w:val="en-US" w:eastAsia="en-US" w:bidi="ar-SA"/>
        </w:rPr>
        <w:t>Lamport &amp; Holt Lines Ltd. v. Coubro &amp; Scrutton (M. &amp; I.) Ltd., (The "Raphael")</w:t>
      </w:r>
      <w:r>
        <w:rPr>
          <w:rFonts w:ascii="arial" w:eastAsia="arial" w:hAnsi="arial" w:cs="arial"/>
          <w:color w:val="000000"/>
          <w:sz w:val="20"/>
          <w:lang w:val="en-US" w:eastAsia="en-US" w:bidi="ar-SA"/>
        </w:rPr>
        <w:t xml:space="preserve">, [1982] 2 Lloyd's Rep. 42 (Eng. C.A.). In </w:t>
      </w:r>
      <w:r>
        <w:rPr>
          <w:rFonts w:ascii="arial" w:eastAsia="arial" w:hAnsi="arial" w:cs="arial"/>
          <w:i/>
          <w:color w:val="000000"/>
          <w:sz w:val="20"/>
          <w:lang w:val="en-US" w:eastAsia="en-US" w:bidi="ar-SA"/>
        </w:rPr>
        <w:t>Lamport</w:t>
      </w:r>
      <w:r>
        <w:rPr>
          <w:rFonts w:ascii="arial" w:eastAsia="arial" w:hAnsi="arial" w:cs="arial"/>
          <w:color w:val="000000"/>
          <w:sz w:val="20"/>
          <w:lang w:val="en-US" w:eastAsia="en-US" w:bidi="ar-SA"/>
        </w:rPr>
        <w:t xml:space="preserve">, May L.J. said that although the approach articulated in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was described as a test, that is inaccurate because it was "only intended to be guidelines ..., and at the end of the day the duty of the Court is just to construe the relevant clause" (see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at 796). The third test was reformulated with the overarching caveat that this is a matter of construction (see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at 796-797):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the head of damage may be based on some ground other than that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should discard any ground to which, on a reasonable assessment of all the circumstances at the time the underlying contract was made, it is unlikely that the parties would have addressed their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an approach indeed underlines the fact that the exercise upon which the Court is engaged in these cases is one of construction, that it is one of deciding what the parties meant or must be deemed to have meant by the words they used; the guidelines or tests which are referred to in the many authorities are only to be used by the Courts as aids to the successful and correct solution of such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More recently, Justice Gauthier aptly re-stated that clarification in </w:t>
      </w:r>
      <w:r>
        <w:rPr>
          <w:rFonts w:ascii="arial" w:eastAsia="arial" w:hAnsi="arial" w:cs="arial"/>
          <w:i/>
          <w:color w:val="000000"/>
          <w:sz w:val="20"/>
          <w:lang w:val="en-US" w:eastAsia="en-US" w:bidi="ar-SA"/>
        </w:rPr>
        <w:t>Pêcheries Guy Laflamme Inc. v. Capitaines propriétaires de la Gaspésie (A.C.P.G.) Inc.</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2015 FCA 78</w:t>
        </w:r>
      </w:hyperlink>
      <w:r>
        <w:rPr>
          <w:rFonts w:ascii="arial" w:eastAsia="arial" w:hAnsi="arial" w:cs="arial"/>
          <w:color w:val="000000"/>
          <w:sz w:val="20"/>
          <w:lang w:val="en-US" w:eastAsia="en-US" w:bidi="ar-SA"/>
        </w:rPr>
        <w:t xml:space="preserve"> at para. 15. After stating that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confirmed contracts must be interpreted as a whole in light of the circumstances,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Consequently, the three-prong approach set out in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is a guide rather than a decisive test requiring a pre-determined result when the interpretation concerns a clause that excludes or limits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Province's position is that the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test has been overtaken by more recent jurisprudence, specifically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Although I agree that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framework applies to all clauses that purport to exclude liability (as stated at the outset, see above, para. 145), the Court's decision does not provide a complete answer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contract at issue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was a tendering contract, and Cromwell J.'s analysis, for the majority, did not turn on the nature of the claims waived, but rather the text of the clause and whether the factual circumstances at issue fell within its proper interpretation. Given the factual differences to the case at bar,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provides more limited assistance beyond general propositions. In this regard,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provide some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Province's position is that no specific words are necessary to exclude specific forms of liability. Rather, the court looks to the nature of how the parties chose to allocate risk. The Province points to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where the Supreme Court of Canada held that parties are allowed to allocate risk through contract, including limitation clauses like the Waiver. In that fashion, tort liability may be subject to the specific contractual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Justice Iacobucci, for the majority, concluded the clause in question excluded liability, specifically stemming from the duty to warn, by necessary implication because the clause stated "liability ... shall extend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to installation" (at para. 115, emphasis in original). In addition, Iacobucci J. referred to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as an alternative analysis that leads to the same conclusion (at paras. 120, 122). In both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the Supreme Court of Canada concluded the clauses, and contracts, in questions excluded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in the absence of any express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Province also relies on </w:t>
      </w:r>
      <w:r>
        <w:rPr>
          <w:rFonts w:ascii="arial" w:eastAsia="arial" w:hAnsi="arial" w:cs="arial"/>
          <w:i/>
          <w:color w:val="000000"/>
          <w:sz w:val="20"/>
          <w:lang w:val="en-US" w:eastAsia="en-US" w:bidi="ar-SA"/>
        </w:rPr>
        <w:t>Antorisa Investments Ltd. v. 172965 Canada Ltd</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(2006), 82 O.R. (3d) 437</w:t>
        </w:r>
      </w:hyperlink>
      <w:r>
        <w:rPr>
          <w:rFonts w:ascii="arial" w:eastAsia="arial" w:hAnsi="arial" w:cs="arial"/>
          <w:color w:val="000000"/>
          <w:sz w:val="20"/>
          <w:lang w:val="en-US" w:eastAsia="en-US" w:bidi="ar-SA"/>
        </w:rPr>
        <w:t xml:space="preserve"> at para. 40 (Ont. S.C.J.), which stated as long as the language in the limitation clause is broad enough to exclude liability generally, the parties need not name each tort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Biancaniello v. DMCT LLP</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2017 ONCA 386</w:t>
        </w:r>
      </w:hyperlink>
      <w:r>
        <w:rPr>
          <w:rFonts w:ascii="arial" w:eastAsia="arial" w:hAnsi="arial" w:cs="arial"/>
          <w:color w:val="000000"/>
          <w:sz w:val="20"/>
          <w:lang w:val="en-US" w:eastAsia="en-US" w:bidi="ar-SA"/>
        </w:rPr>
        <w:t>, the Court of Appeal considered a broadly worded exclusion clause. It held the language used was unambiguous and encompassed all claims. That case concerned a release signed to settle litigation between the parties. Some years after the release was signed, a claim unanticipated at the time the settlement agreement was signed came to light. The issue was whether the release applied to the new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dispute was between an accounting firm and one of its clients. The client had refused to pay the firm's professional fee alleging it received little value for the fees already paid, and that it incurred damages as a result of advice received. The accounting firm sued the client, but the parties settled before the statement of defence was delivered. Of the services provided that caused the dispute was the structuring of a "butterfly transaction". The release stated that the parties released each other from "any and all claims, counterclaims or defences that were pleaded or could have been pleaded" in the action they had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Some years later, while restructuring, the client realized it was facing an income tax liability of approximately $1.24 million because of the butterfly transaction. It filed a lawsuit against the accounting firm seeking to set aside the release and claiming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misrepresentation and breach of fiduciary duty. The accounting firm filed for summary dismissal and relied on the release. Its case was dismissed by the motion judge and subsequently upheld by the Divisional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Ontario Court of Appeal allowed the appeal and granted summary judgment dismissing the action. At paras. 49-50, the Court of Appeal noted that language was specific and fully understandable. It acknowledged that the wording did not specify "unknown claims" but it was not intended to release all possible claims with no limitation between the parties. The Court of Appeal found that it was effective to limit claims by subject matter and by time frame. Basically, the release was meant to cover all claims relating to the firm's professional services provided to clients during the time frame specified in the release. Therefore, the Court held there was "no need, for example, to say 'including tort claims,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breach of contract claims, costs claims', etc. They are all included unless specifically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Province submits that logic applies to the Waiver. The absence of the words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is not determinative because the parties intended that the Province was protected from any lawsuit arising from flooding or erosion.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plaintiff relies on the third step in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for the proposition that where an exclusion clause does not mention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uses words that may be broad enough to cover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conducts an additional enquiry. The court must consider whether those words refer to a cause of action different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if so, the clause would not operate to exclude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then says, implementing that approach, that the court ought to look at the whole of the covenant and surrounding circumstances to determine the parties' intent when it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plaintiff submits the parties did not intend that the Waiver would apply to anything other than damage caused by natural occurrences, but he offers no support for this proposition other than his interpretation of the covenant. He points to clause 1 which contains his acknowledgement of the "potential flood danger" to the Waterfront lots and creek side property. He submits that must only refer to flood danger from natural hazards and not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but provides nothing to support that statement other than the words themselves. His reasoning is circular.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Moreover, the logic behind his interpretation makes little sense. The implication is that the Province granted the right of subdivision in exchange for a waiver from being sued for things for which it probably could not be sued in any event (natural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my view, the words of the covenant are clear and unambiguous and protect the Province "from all manner of suits, cause of actions" - whether brought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 arising from damage to property caused by flooding or erosion. As a result, even under the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analysis, it is clear the Waiver applies to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plaintiff claims the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test does not apply to his claim in nuisance, but he argues the same interpretive exercise is required to determine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CSS</w:t>
      </w:r>
      <w:r>
        <w:rPr>
          <w:rFonts w:ascii="arial" w:eastAsia="arial" w:hAnsi="arial" w:cs="arial"/>
          <w:color w:val="000000"/>
          <w:sz w:val="20"/>
          <w:lang w:val="en-US" w:eastAsia="en-US" w:bidi="ar-SA"/>
        </w:rPr>
        <w:t xml:space="preserve"> guidelines may be limited to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general question is essentially the same since the starting point in both instances is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whether the Waiver applies to nuisance, as a matter of ordinary contractual interpretation considering the parties' intentions as expressed in the covenant (at para. 122). Accordingly, I apply the same reasoning as followed above with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determine whether the Waiver also excludes nuisance claims. Therefore, I conclude the Waiver also excludes liability for nuisance based on the clear language of the clause and the overall language of the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my view, the Waiver is effective to defeat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plaintiff also submits the Waiver cannot relive the Province of its liability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because statutory liability can only be "contract[ed] out of" with clear and direct language: </w:t>
      </w:r>
      <w:r>
        <w:rPr>
          <w:rFonts w:ascii="arial" w:eastAsia="arial" w:hAnsi="arial" w:cs="arial"/>
          <w:i/>
          <w:color w:val="000000"/>
          <w:sz w:val="20"/>
          <w:lang w:val="en-US" w:eastAsia="en-US" w:bidi="ar-SA"/>
        </w:rPr>
        <w:t>Hunter Engineering Co. v. Syncrude Canada Ltd.</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at 449-450. However, that case was about the applicability of a statutory warranty between two private parties in relation to their commercial contract. In my view, those issues are distinguishable from those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It is worth noting that the Court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relied extensively on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including by Binnie J. when setting out the three-stage framework, although not on this point (at para. 122). The Court does not suggest that the "clear and direct" standard in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is any different than the requirement that exclusion clauses be "clear and unambiguous" or "clear and comprehensive" as discussed and implemented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(at para. 73), and I am unable to conclude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any event, the Waiver is clear, direct and unambiguous, it excludes all claims the plaintiff may have against the Province related to damages caused by flooding or erosion. This includes claims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which, unlike the unknown claim in </w:t>
      </w:r>
      <w:r>
        <w:rPr>
          <w:rFonts w:ascii="arial" w:eastAsia="arial" w:hAnsi="arial" w:cs="arial"/>
          <w:i/>
          <w:color w:val="000000"/>
          <w:sz w:val="20"/>
          <w:lang w:val="en-US" w:eastAsia="en-US" w:bidi="ar-SA"/>
        </w:rPr>
        <w:t>Biancaniello</w:t>
      </w:r>
      <w:r>
        <w:rPr>
          <w:rFonts w:ascii="arial" w:eastAsia="arial" w:hAnsi="arial" w:cs="arial"/>
          <w:color w:val="000000"/>
          <w:sz w:val="20"/>
          <w:lang w:val="en-US" w:eastAsia="en-US" w:bidi="ar-SA"/>
        </w:rPr>
        <w:t>, were potential claims known (although only theoretical) at the time the plaintiff entered the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any event, I will address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claim, and consider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claims in the event I am mistaken about the scope of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LIABILITY UNDER THE </w:t>
      </w:r>
      <w:r>
        <w:rPr>
          <w:rFonts w:ascii="arial" w:eastAsia="arial" w:hAnsi="arial" w:cs="arial"/>
          <w:b/>
          <w:i/>
          <w:color w:val="000000"/>
          <w:sz w:val="20"/>
          <w:lang w:val="en-US" w:eastAsia="en-US" w:bidi="ar-SA"/>
        </w:rPr>
        <w:t>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plaintiff submits he has a valid claim pursuant to s. 21(1)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 xml:space="preserve">. The Province's primary position is that the Waiver in the covenants, as discussed above, precludes liability under this statute. As concluded above, I agree, and therefore the plaintiff's claim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the alternative, the Province submits that it exercised due diligence such that it is not liable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Waterway Houseboats Ltd. v. British Columbia</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2019 BCSC 581</w:t>
        </w:r>
      </w:hyperlink>
      <w:r>
        <w:rPr>
          <w:rFonts w:ascii="arial" w:eastAsia="arial" w:hAnsi="arial" w:cs="arial"/>
          <w:color w:val="000000"/>
          <w:sz w:val="20"/>
          <w:lang w:val="en-US" w:eastAsia="en-US" w:bidi="ar-SA"/>
        </w:rPr>
        <w:t>, for the proposition that even if reasonable care was exercised, the person who causes damage must still make full compensation (paras. 310 and 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However, it is not clear to me that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apply to the facts in this case. Both parties acknowledged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was repealed and replaced with the </w:t>
      </w:r>
      <w:r>
        <w:rPr>
          <w:rFonts w:ascii="arial" w:eastAsia="arial" w:hAnsi="arial" w:cs="arial"/>
          <w:i/>
          <w:color w:val="000000"/>
          <w:sz w:val="20"/>
          <w:lang w:val="en-US" w:eastAsia="en-US" w:bidi="ar-SA"/>
        </w:rPr>
        <w:t>Water Sustainability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2014, c. 15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but submitted there were no significant changes to the wording of this provision (now s. 29). I am not sure that position is correct, as explained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also question the status of a claim based on legislation that no longer exists at the time the claim is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However, these statutory interpretation issues are new to the parties. They had no opportunity to address them. In light of that, I consider it would be unfair and possibly inappropriate for me to analyze the plaintiff's claim, even if only in the alternative. In order to put my comments in context, I set out below my understanding of the legislative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Section 21(1)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was repealed and replaced by s. 67 of the </w:t>
      </w:r>
      <w:r>
        <w:rPr>
          <w:rFonts w:ascii="arial" w:eastAsia="arial" w:hAnsi="arial" w:cs="arial"/>
          <w:i/>
          <w:color w:val="000000"/>
          <w:sz w:val="20"/>
          <w:lang w:val="en-US" w:eastAsia="en-US" w:bidi="ar-SA"/>
        </w:rPr>
        <w:t>Sustainable Resource Management Statutes Amendment Act, 2003</w:t>
      </w:r>
      <w:r>
        <w:rPr>
          <w:rFonts w:ascii="arial" w:eastAsia="arial" w:hAnsi="arial" w:cs="arial"/>
          <w:color w:val="000000"/>
          <w:sz w:val="20"/>
          <w:lang w:val="en-US" w:eastAsia="en-US" w:bidi="ar-SA"/>
        </w:rPr>
        <w:t>, S.B.C. 2003, c. 66, which became effective on October 23, 2003. From that date forward, s. 21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(1) The following persons must exercise reasonable care to avoid damaging land, works, trees or other property, and must make full compensation to the owners for damage or loss resulting from construction, maintenance, use, operation or failure of the works:</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applicant;</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licensee;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holder of an approval;</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in accordance with the regulations or an order, makes changes in and about a stream or diverts or uses water.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(1), a holder of a licence for power purpose, waterworks purpose or irrigation purpose may fell and remove any tree and remove any rock or other thing that endangers the holder's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 note in passing that the legislation analyzed in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xml:space="preserve"> was the version that existed in 1997 and 1998 (paras. 173 and 309).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any event,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was repealed and replaced by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which was enacted on May 29, 2014. Section 29 of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replicates portions of s. 21(1)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(1) The following persons must exercise reasonable care to avoid damaging land, works, trees or other property of another person: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applicant for an authorization, change approval, drilling authorization or permit;</w:t>
      </w:r>
    </w:p>
    <w:p>
      <w:pPr>
        <w:numPr>
          <w:numId w:val="3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holder of an authorization, change approval, drilling authorization or permit;</w:t>
      </w:r>
    </w:p>
    <w:p>
      <w:pPr>
        <w:numPr>
          <w:numId w:val="3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in accordance with the regulations or an order of the comptroller, a water manager or an engineer, makes changes in and about a stream or diverts or uses, including stores, water.</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 (a), (b) or (c) must properly inspect, maintain and repair works constructed, operated or used by the person,</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any prescribed requirements,</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an order,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manner that ensures that the works do not cause a significant risk of harm to public safety, the environment, land or other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 (a), (b) or (c) is liable to owners of land or premises for damage or loss resulting from the construction, maintenance, use, operation or failure of the person's works.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my view, it is likely significant that s. 29 no longer contains the phrase "must make full compensation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Section 4(2)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states an enactment that has been repealed and replaced ceases to have effect at the time the new legislation comes into force. Although enacted in May 2014,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did not come into force until February 29, 2016: B.C. Reg. 35/2016. Therefore, as of February 29, 2016,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ceased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plaintiff's original notice of civil claim was filed April 2014 and it was amended in April 2015. I do not believe either included a claim for compensation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it appears that claim was added in the further amended notice of civil claim which was filed May 30, 2019. However, at that point,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no longer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It is in this context that I raised the issues referred to above, but upon which I make no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parties did not disagree on the applicable legal principles. The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set out by the Supreme Court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To succeed a plaintiff must establish on a balance of probabilities the following:</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a duty of care;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 standard of care;</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and,</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damage was caused in fact and in law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 30, the Supreme Court of Canada clarified the two-stage test for establishing a duty of care. At the first stage the court asks two questions:</w:t>
      </w:r>
      <w:r>
        <w:rPr>
          <w:rFonts w:ascii="arial" w:eastAsia="arial" w:hAnsi="arial" w:cs="arial"/>
          <w:sz w:val="20"/>
          <w:lang w:val="en-US" w:eastAsia="en-US" w:bidi="ar-SA"/>
        </w:rPr>
        <w:cr/>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that occurred the reasonably foreseeable consequence of the defendant's act; and,</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reasons, notwithstanding the proximity between the parties established in the first part of the test, that tort liability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first enquiry relates to proximity and is focussed on factors arising from the relationship between the parties. The second question looks to policy consideration, which are extrinsic to the parties'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at 1240, Justice Cory stated that true policy decisions are exempt from tortious claims. The rationale for that is so that governments do not feel constrained when making decisions based upon social, political or economic factors. Thus, if the government can illustrate that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out of a true policy decision then it is immune from liability: </w:t>
      </w:r>
      <w:r>
        <w:rPr>
          <w:rFonts w:ascii="arial" w:eastAsia="arial" w:hAnsi="arial" w:cs="arial"/>
          <w:i/>
          <w:color w:val="000000"/>
          <w:sz w:val="20"/>
          <w:lang w:val="en-US" w:eastAsia="en-US" w:bidi="ar-SA"/>
        </w:rPr>
        <w:t>R. v. Imperial Tobacco Ltd.</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59; see also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Province bears the onus of establishing a policy defence to negate a duty of care: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With regard to the standard of care, the law does not require any party to achieve perfection. All that is required is for a person to act in a way that is objectively reasonable and prudent considering the circumstances: </w:t>
      </w:r>
      <w:r>
        <w:rPr>
          <w:rFonts w:ascii="arial" w:eastAsia="arial" w:hAnsi="arial" w:cs="arial"/>
          <w:i/>
          <w:color w:val="000000"/>
          <w:sz w:val="20"/>
          <w:lang w:val="en-US" w:eastAsia="en-US" w:bidi="ar-SA"/>
        </w:rPr>
        <w:t>Schoenhalz v. Insurance Corporation of British Columbia</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2017 BCCA 289</w:t>
        </w:r>
      </w:hyperlink>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Arland and Arland v. Taylor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[1955] O.R. 131</w:t>
      </w:r>
      <w:r>
        <w:rPr>
          <w:rFonts w:ascii="arial" w:eastAsia="arial" w:hAnsi="arial" w:cs="arial"/>
          <w:color w:val="000000"/>
          <w:sz w:val="20"/>
          <w:lang w:val="en-US" w:eastAsia="en-US" w:bidi="ar-SA"/>
        </w:rPr>
        <w:t xml:space="preserve"> at 142 (C.A.). Also, the existence of statutory duties is relevant, although not determinative in assessing the applicable standard of care: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at para. 44, citing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at 227-228. In this case, the statute required persons "exercise reasonable care to avoid damage" and that informs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Finally, the plaintiff also has the burden to establish causation and in order to do so, he must establish on a balance of probabilities that the tortious conduct of the Province was necessary to bring about the damages he suffered. This requires the plaintiff to demonstrate not only a sufficient causal nexus between the tortious acts and the damage, but also that the damage was not too remote: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at paras. 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plaintiff submits he is not required to prove that the Province's actions were the sole cause of the damage, only that they were part of the cause: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submits the Province was negligent in the installation, maintenance and inspection of the Culvert (the specifics of the allegations are discussed below, paras. 243-244).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the event the Waiver did not bar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 have concluded it does, the Province's primary position with respect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that it cannot be held liable for the actions of independent contractors it hired to inspect, repair, install and maintain the Culvert. In the alternative, it submits the alleged negligent acts were the result of policy decisions and therefore the Province is immune from liability. In the further alternative, it submits its actions met the requisite standard of care and no duty was breached.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Independent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There is no dispute that the Province did not itself install the Culvert. Together with the involvement of Katim and Pennco, White Contracting did that work. The issue is whether, notwithstanding that, can the Province be held liable for the decisions that were made about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Resolving that requires consideration of the circumstance surrounding the decisions made and the hiring of Katim, Pennco and White Contracting in light of the prevailing statutory scheme. The facts discussed earlier in this judgment (paras. 29-51) are relevant and I rely on those. In addition, the following fact are also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Contractual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Shortly after acquiring the CWRT, Tourism BC put out a request for proposal for "Rails to Trails Project Management for Construction Improvements for the Columbia &amp; Western Rail Trail from Castlegar to Farron". Katim was the successful bidder. As part of its successful bid, Katim set out its understanding of the "requirements of the trail and facility specifications, budget appropriations and allowable timeframes". In that context, Katim outlined, among other things, its management plan focussing on the short window for allowable work and an approach to pricing for management of the proposed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Katim's contract with Tourism BC was signed in September 2004. The contract required Katim to develop and schedule a construction program for the CWRT, in compliance with the project's terms of reference and environmental, safety and other concerns. Construction project management was set out in the contract to include, among others, the following:</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Liaise with Tourism BC on initial site and project plans and ongoing communications with other agencies including trail stewardship groups;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project plans and specifications, including budgets and timelines for review by Tourism BC;</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Coordinate and monitor project schedules ensuring timely completion of work components;</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mandatory site meetings and participate in bid review and construction contract award process;</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 in the preparation of service and construction contracts;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supervision and evaluation, which may include direction and supervision of hired equipment, labour, sub-trades and contractors; and,</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project material estimates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addition, Katim was required to coordinate, provide and maintain status reports to Tourism BC on a monthly basis. Katim was obliged to prepare a final report including recommendations for improvements and information on all "as built" construction and facility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Clause 4 of the contract between Katim and Tourism BC contains Katim's warranty that it is "an independent contractor and not the legal agent, employee, partner or representative" of Tourism BC. It also stated that Katim would not legally bind or purport to legally bind Tourism BC or cause it to incur liability in any manner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contract also required Katim to obtain, at its own expense, comprehensive general liability insurance to insure against "bodily injury, personal injury and property damage". Katim was required to add Tourism BC as a named insured to that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2004, Tourism BC also contracted with White Contracting as an excavator/operator to carry out culvert inspection, cleaning and repairs. That work was confirmed under a "general service contract". Clause 11 of that contract required White Contracting to indemnify Tourism BC "against all claims, actions, proceedings, damages, losses, costs, expenses and liability of any kind ... which are based upon, arise out of or occur, directly or indirectly, by reason of, any act or omission by you ... except liability arising out of any independent negligent act by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description of services included repair and reinstallation of culverts where possible. Like Katim, White Contracting was required to have comprehensive general liability insurance against "bodily injury personal injury and property damages" and to add Tourism BC as a named insured.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Remediation of the Brooklyn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As noted above, paras. 44-46, Mr. Waters completed a report in relation to the site visit he did with Mr. White and Ms. Johnson on November 16, 2004. The purpose of the visit was to address concerns about the Brooklyn Crossing. In that document he described its condition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creek has been diverted from the original drainage using a small concrete dam about 100m upstream of the rail crossing. The creek is diverted into a flume consisting of a half section of 4 foot galvanized corrugated culvert. The flume is supported on round concrete footings set into a steep bank. It carries the water along the steep bank of the drainage to the rail bed where a 30 inch culvert conveys it under the grade. The water then pours out of the culvert on the downstream bank of the rail fill and down the fill slope until it reaches the original stream bed. The existing flume has been damaged in the past by falling trees and slope failure. These failures have been temporarily patched but the long-term life of this system is not very long. It will eventually fail again. In the event of a failure, the creek flow is returned to its original channel at the bottom. There is no existing culvert in the original creek bed to carry the water through the fill that supports the rail bed. It appears that this has happened in the past and the water has risen behind the fill and then percolated through the material under the rail bed. This has caused the existing rail bed to slump in places throughout this filled area. There is also evidence of some slope failure on the downstream side of the fill where the infiltrating water has broken out to the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Pennco's recommendation was to place a 1,000 mm culvert at the depth of the original stream channel through the rail bed fill, ending where water would be deposited onto undisturbed, original ground/bedrock. Two options were identified that could accomplish this. The first required an auger to cut through the existing fill to make room for the Culvert. The second was to move the rail bed upstream by about 25m, and place the Culvert under fill, which would be taken from the existing rail grade. The plan was that as fill would be moved to cover the Culvert, it would create a trench allowing the Culvert to direct water downstream until it reached a place of undisturbed native ground. Ditching would be provided to bring the road bed drainage to the Culvert intake. A simple drawing of this option accompanied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Waters was not asked and did not do any follow up and did not do any hydrological analysis in making design recommendations. He admitted in hindsight that he would recommend following up to ensure what was done on the ground complied with the design, but he did not agree that a hydrological design was necessary for that particular crossing. Mr. Waters was a junior engineer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On November 23, 2004, on behalf of Katim, Ms. Johnson submitted an application to perform changes in and about a stream pursuant to s.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 Pennco report was attached. In describing the necessity for the work, Ms. Johnson wrote in part that "volunteers continue to struggle to keep this old half culvert flume system working" and it was "obviously very unreliable". She indicated they would implement the second option from the Pennco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It is not disputed that no written approval was provided. Instead a file note dated November 17, 2005 records that verbal approval was granted, and although no s. 9 approval was issued "the proponent completed all works under the verbal approval as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RST's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As noted earlier (paras. 27-28), shortly after Tourism BC was dissolved and its assets were transferred to the Province, the CWRT was designated as a recreational trail pursuant to s. 56(1)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That section permits the responsible minister to establish, by order, "an interpretive forest site, a recreation site or a recreation trail" unless the land is "Crown land ... subject to another enactment and is being administered by another minister, branch or agency of government". I was not directed to any other statutory provision or regulation that pertained to the CWRT. RST took over responsibility for the CWRT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After that designation, the Province, as represented by RST, hired SNT to inspect all structures and culverts on the CWRT. RST entered into a contract with SNT dated October 18, 2011. Among the defined services in that contract were the following:</w:t>
      </w:r>
      <w:r>
        <w:rPr>
          <w:rFonts w:ascii="arial" w:eastAsia="arial" w:hAnsi="arial" w:cs="arial"/>
          <w:sz w:val="20"/>
          <w:lang w:val="en-US" w:eastAsia="en-US" w:bidi="ar-SA"/>
        </w:rPr>
        <w:cr/>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Undertake and deliver an inventory of built structures including culverts, bridges, retaining walls and any other significant built/engineered structure along the CWRT;</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 and report (including photographs) on the location, description and condition of each structure;</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Undertake a detailed engineering inspection of any structures determined to be a potential risk to public safety, the environment or integrity of the CWRT;</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any structures in need of immediate repair or maintenance and a basic description of required work;</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 inspection frequency for each structure; and,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 RST in project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contract also contained an indemnity clause that would save harmless the Province from "all losses, claims, damages, actions and causes of action [the Claims]" the Province might sustain that may arise "out of error, omissions or negligent act of [SNT] or its Subcontractors ... excepting always that this indemnity does not apply to the extent, if any, to which the Claims are caused by errors, omissions or the negligent acts of the Province, or its other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SNT produced for the Province a "Ledger of Trail Structures and Culverts", which was created by Richard Johnson who was hired by SNT for that purpose. With regard to the Brooklyn Crossing, he testified that he walked the length of the flume, about 40m, and noted it drained into the stream. His evaluation at that time was that the flume was in good shape and was stable, and in his view, the flow went into a culvert underneath the trail. Both the Culvert and the flume were big enough for volumes coming down the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With regard to the Culvert that was installed in 2004, he noted it was a back for the flume. He observed it was under a deep fill, and that fill was a little bit lower than the rest of the rail grade. He noted the slope was consistent. He wrote that it did not appear the Culvert had been used and there was no evidence upstream of the Culvert that the creek had ever been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He also noted the Culvert was perched a little bit high. However, he testified that did not cause him concern and he did not recommend that RST take any action because, in his view, no maintenance was required on it since everything was in good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Were Katim and White Contracting Independent Contractors</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The Province submits the test to determine if an entity is an employee or independent contractor is set out in </w:t>
      </w:r>
      <w:r>
        <w:rPr>
          <w:rFonts w:ascii="arial" w:eastAsia="arial" w:hAnsi="arial" w:cs="arial"/>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 xml:space="preserve"> at paras. 35, 46-48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The Court explains the juridical policy justifying vicarious liability of employers for the actions of its employees does not exist in the case of independent contractors because the employer does not exercise supervision or the same control to reduce mistakes or accidents. At paras. 47-48, the Court discusses the factors that are relevant to distinguishing an employee from an independent contractor. Although not determinative, it is relevant that the contract itself designates that Katim was an independent contractor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The plaintiff submits the Province is directly negligent by engaging contractors to do the work on the CWRT because Tourism BC supervised the work, citing </w:t>
      </w:r>
      <w:r>
        <w:rPr>
          <w:rFonts w:ascii="arial" w:eastAsia="arial" w:hAnsi="arial" w:cs="arial"/>
          <w:i/>
          <w:color w:val="000000"/>
          <w:sz w:val="20"/>
          <w:lang w:val="en-US" w:eastAsia="en-US" w:bidi="ar-SA"/>
        </w:rPr>
        <w:t>Lewis (Guardian ad litem of) v. British Columbia</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xml:space="preserve"> at para. 17. His position is once Tourism BC "made the decision to construct the Culvert, the construction could only be carried out subject to the requirement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However, the evidence in this case is that Tourism BC did not make a decision about the Brooklyn Crossing. Nor did it supervise the remediation of the Brooklyn Crossing. The evidence at trial was that the only people involved with inspecting the Brooklyn Crossing and deciding what to do about it were Katim, White Contracting and Pennco. Tourism BC did not direct what had to be done, and it did not weigh in on whether a professional engineer ought to have been retained. Ms. Johnson confirmed she reported to BC Tourism on progress, but there was no evidence that she took instructions or direction from Tourism BC on any aspect of what was done at the Brooklyn Crossing. This is consistent with the contractual provisions discussed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plaintiff relies on passages in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xml:space="preserve"> at paras. 327-329, where the court rejected the District of Sicamous' argument that it could not be liable for the actions of independent contractors it hired. However, the District in that case did not hire anyone for the express purpose of supervising the works, as I have found Tourism BC did. The issue considered in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xml:space="preserve"> was not the same as present before me. Therefore, the court's rejection of the District's position is not analogous to the Province's position on the facts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Indeed, the whole nature of the plaintiffs' claims in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xml:space="preserve"> were different that those brought in this case. At para. 10, Justice G.P. Weatherill explained that in "its most basic form, the plaintiffs' claim is that the Province was negligent in communicating the terms and conditions of approvals issued for the Works and that the District and the McLaughlins did not construct the Works in accordance with their terms." Thus, Justice Weatherill stated that the Province's liability under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determined by first establishing "what duty, if any, Mr. Doyle (as an engineer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owed to the plaintiffs" (at para.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However, Mr. Nelson's claim is not against the Province in its capacity as regulator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He has not challenged the issuance of the approval to install the Culvert. His claim is brought against the Province as the successor of Tourism BC, as owner of the CWRT.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xml:space="preserve"> does have some similarities to the facts at bar, but the claim was framed differently. The event giving rise to the claim for damages was a flood in June 2012 when a truck fell into the creek and became lodged under a bridge plugging the channel and causing floodwaters to back up. There had been a flood at the same location in 1997. In response to that, the Province funded a channel restoration project and replaced a bridge. The focus of the case was on the approvals that were eventually issued for that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Specifically, Justice Weatherill concludes that in attempting to meet the concerns of various stakeholders, the approving authority essentially capitulated and approved a design for the bridge that he knew was inadequate to meet the regulatory scheme. In effect, the court held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 issued an approval despite his engineering judgment telling him it was not advisable to do so (at para. 286). The Province's liability flowed from that regulatory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plaintiff in this case does not attack the approval that was issued, but instead suggests that Tourism BC as the owner and holder of an approval for changes in or about a stream ought to have insisted on an engineered design. I have concluded an engineer designed was not required at Brooklyn Crossing (see below, paras. 253). Moreover, Tourism BC hired Katim to undertake a review of the maintenance needs of CWRT, which included deciding on what type of repairs were needed. It was Katim that made decisions regarding Brooklyn Crossing. In 2011, the Province hired SNT to review all structures along CWRT and create criteria to prioritize repairs and maintenance, of which the Culvert was not one. The facts do not parallel those in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This difference is more apparent when one reviews the discussion of the existence of a duty of care in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xml:space="preserve">. The focus was on the question of whether the actions of the engineer acting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were sufficient to establish legal proximity which, in turn, would depend on whether the alleged negligent acts were inherent in the exercise of his duties as an engineer under the statue (at para. 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In assessing whether the plaintiff could establish whether the Province owed a duty of care, Justice Weatherill noted that both foreseeability of harm and proximity were important (at para. 203). In </w:t>
      </w:r>
      <w:r>
        <w:rPr>
          <w:rFonts w:ascii="arial" w:eastAsia="arial" w:hAnsi="arial" w:cs="arial"/>
          <w:i/>
          <w:color w:val="000000"/>
          <w:sz w:val="20"/>
          <w:lang w:val="en-US" w:eastAsia="en-US" w:bidi="ar-SA"/>
        </w:rPr>
        <w:t>The Los Angeles Salad Company Inc. v. Canadian Food Inspection Agency</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2013 BCCA 34</w:t>
        </w:r>
      </w:hyperlink>
      <w:r>
        <w:rPr>
          <w:rFonts w:ascii="arial" w:eastAsia="arial" w:hAnsi="arial" w:cs="arial"/>
          <w:color w:val="000000"/>
          <w:sz w:val="20"/>
          <w:lang w:val="en-US" w:eastAsia="en-US" w:bidi="ar-SA"/>
        </w:rPr>
        <w:t xml:space="preserve"> at para. 40, the Court of Appeal outlined three circumstances where a relationship of proximity could be established for government 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relationship may be created in the statute itself, although the Court cautioned that, since statutes are most often "aimed at public goods", it may be difficult to infer that the legislature intended to create private law tort duties, especially where such duties would conflict with the duty to the public and where the public duty is overarching ... Next, proximity may "arise from a series of specific interactions between the government and the claimant" ... Finally, proximity may be found in a combination of statutory duties and interactions between the parties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[Citations to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Los Angeles Salad Company</w:t>
      </w:r>
      <w:r>
        <w:rPr>
          <w:rFonts w:ascii="arial" w:eastAsia="arial" w:hAnsi="arial" w:cs="arial"/>
          <w:color w:val="000000"/>
          <w:sz w:val="20"/>
          <w:lang w:val="en-US" w:eastAsia="en-US" w:bidi="ar-SA"/>
        </w:rPr>
        <w:t>, the Court of Appeal concluded the federal government food inspectors did not owe private law duties of care to sellers of food products because it could not be shown the regulator did anything other than discharge its statutory responsibilities in the public interest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The Province in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xml:space="preserve"> argued that the plaintiffs had failed to prove that the interactions between the Province and its co-defendants fell outside its role as regulator: </w:t>
      </w:r>
      <w:r>
        <w:rPr>
          <w:rFonts w:ascii="arial" w:eastAsia="arial" w:hAnsi="arial" w:cs="arial"/>
          <w:i/>
          <w:color w:val="000000"/>
          <w:sz w:val="20"/>
          <w:lang w:val="en-US" w:eastAsia="en-US" w:bidi="ar-SA"/>
        </w:rPr>
        <w:t>Imperial Metals Corporation v. Knight Piésold Ltd.</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2018 BCSC 1191</w:t>
        </w:r>
      </w:hyperlink>
      <w:r>
        <w:rPr>
          <w:rFonts w:ascii="arial" w:eastAsia="arial" w:hAnsi="arial" w:cs="arial"/>
          <w:color w:val="000000"/>
          <w:sz w:val="20"/>
          <w:lang w:val="en-US" w:eastAsia="en-US" w:bidi="ar-SA"/>
        </w:rPr>
        <w:t>. At para. 108 of that case, the court noted that as a general rule, regulators dealings with a regulated party when administering or enforcing a statutory scheme will not give rise to a relationship of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However, exceptions exist, which in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Justice Weatherill held applied to the engineer's actions. He found on the facts before him that the engineer assumed the role of designer to a regulated party, acquired knowledge that there would be serious and specific risks for the property by the design he approved and made specific representations to the owners of the bridge that invited them to rely on those representations (at paras. 224-226).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In this case, the acts which the plaintiff allege were negligent were not performed by the Province. He submits the Province must bear responsibility for them in any event. However, in framing his submissions, he comingles Tourism BC's (and now the Province's) ownership of the CWRT with the Province's role as regulator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treats them as identical, or at least not separable. That is a mistake. He goes further and assumes because Tourism BC was dissolved and its assets transferred to the Province, Tourism BC is retroactively imbued with the entirety of the Province's roles and duties as a regulator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Both mistakes infuse the plaintiff's entire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my view Katim and White Contracting were independent contractors, and therefore, the Province is not liable for any of their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Non-Delegable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The plaintiff submits regardless of the preceding analysis, the Province had a non-delegable duty, which obliged Tourism BC not only to take reasonable care, but to ensure that reasonable care was taken by its contractors: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xml:space="preserve"> at para. 17. On this theory, the Province would be liable for the negligent acts of independent contractors even where the test for vicarious liability is not met. The plaintiff says this non-delegable duty arises under statute, specifically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plaintiff has not alleged that the approval given for the Culvert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was the source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that approval was the only direct statutory involvement the Province had regarding the Culvert.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Tourism BC (and now the Province) are premised on its ownership of CWRT. However, no statute imposed absolute duties regarding CWRT's upkeep and maintenance. This distinguishes this case from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the Supreme Court of Canada held, based on the language of the applicable statute, that the duty at issue could not be delegated to an independent contractor. Among the statutory provisions which the Supreme Court of Canada held created the non-delegable duty were the following: a section which stated that the minister "shall direct the construction, maintenance and repair of all ... highways"; a section that vested in the ministry "control of the construction and maintenance of every arterial highway", and; a section stating the that the minister "has the management, charge and direction of all matters relating to the ...construction, repair, maintenance, alteration, improvement and operation" of highways (paras. 15, 22). These duties were absolute because the statute dictated that the minister at all times had control over construction and maintenance of highways (para. 25). In addition, on the facts of that case, the ministry retained full control over the designation of the areas where maintenance was done, the type of equipment to be used and the specifications of various technical aspects of the project (para. 25). Similar facts do not exist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As noted above (paras. 28, 214), CWRT was designated as a recreational trail. That designation did not impose or create any duties on RST regarding the construction or maintenance of the CWRT.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Assuming only for the purpose of this analysis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applies in the manner submitted by the plaintiff, the duties under that statute would not be imposed on Tourism BC because it owned the CWRT. They would apply because Tourism BC was a person who applied and received approval to make changes in a stream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ss. 1, "approval", 21(1)(c)). The duties were to "exercise reasonable care to avoid damaging land, works, trees or other property" and were owed to "owners for damage or loss resulting from construction, maintenance, use, operation or failure of the works"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s. 21). Unlike in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however, the statute does not require that the approval holder at all times direct or control the construction, repair or maintenance of the changes made in the stream. Therefore, Tourism BC was permitted to delegate those duties to independent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In my view, the duties arising from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(assuming they were applicable on the facts of this case) do not fall into the same category as those considered in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Accordingly, I find that Tourism BC was not under a non-delegable statutory duty and therefore is not liable for the acts of independent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In the alternative, even if I had concluded that the Province could be liable for the actions of its independent contractors, I am not satisfied that the plaintiff has proven on a balance of probabilities that any of the alleged negligent acts caused the damage for which he seeks compensation. The plaintiff alleges the Province failed to do the following, which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 professional engineer inspect the Brooklyn Crossing before installing the Culvert;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 professional engineer prepare a hydro-logical assessment and sealed design for the Culvert,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 professional engineer inspect the Culvert after its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 also submits the remediation work done at the Brooklyn Crossing in 2004 or 2005 was negligent in the following ways: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embankment surrounding the Culvert was badly designed;</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Culvert was not installed at the depth of the original stream bed channel;</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Culvert opening was covered by a grate; and,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Culvert did not have an emergency outlet.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rely on my discussion of the expert evidence above, paras. 82-138.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plaintiff argued the failure to have an engineer design the Culvert and follow up to ensure the installation conformed with the design was negligent. Although not explicitly stated in this way, I assume the plaintiff includes in that position that the failure to have Pennco follow up on its design contributed to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Based on my discussion of the expert evidence, I find that while the grate contributed to the Debris Flood, the plaintiff has failed to prove on a balance of probabilities that the placement of the grate caused damage to the domestic and power intakes. I rely on the expert evidence of Mr. Jakob (paras. 121-128) that only a small proportion of sediment from the collapse of the embankment ended up in the area of the intakes. Most was deposited in the alluvial fan area, and deposited in overbanks before the intakes. Mr. Deverney opined that the Debris Flood could not be explained by peak flows only (para. 124) but I have placed minimal weight on his opinions (paras. 108 -115, and 118). Instead, I rely on Mr. Jakob and Mr. Millar's evidence, and find that the Debris Flood and resulting damage to the intakes were caused by the higher than usual peak flows overwhelming the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There was no expert evidence that the incorrect height of the Culvert contributed to the damages, so the lack of follow up for that could not be causative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For those reasons, I conclude the plaintiff has not established that even if Pennco had followed up to inspect its design and removed the grate, the damage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evidence supporting the plaintiff's position that a lack of engineered design caused the damage is contained in Mr. Deverney's report (and the report of Mr. LaCas who merely relied on Mr. Deverney). I also note that Mr. Millar, while not agreeing that any regulation or practice required an engineered design, would have recommended one had he been asked to assess the site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That is countered by Mr. Jakob's evidence on the issue of risk assessment in that he did not agree with the rationale underlying Mr. Deverney's opinion for the need for an engineered design (paras. 115 and 135). I also take into account Mr. Water's view (although his evidence amounts only to an observation and not expert opinion) that he did not think at the time an engineered design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also rely on Mr. Johnson's evidence. In late 2011, he conducted a survey of all structures along the CWRT. SNT (an engineering firm) established the criteria that differentiated between culverts that were 1,200 mm in size or greater, and those that were smaller. The Culvert was a smaller one and was not subject to the same level of attention (I add that all experts agreed the size of the Culvert was appropriate). Nevertheless, he did inspect it. Mr. Johnson did not identify the Culvert as an item requiring priority maintenance or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Therefore, assessing all the evidence, I do not find that the plaintiff has proven on a balance of probabilities that the Brooklyn Crossing required an engineered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However, even if I had found the opposite, I am not satisfied that the plaintiff proved on a balance of probabilities that an engineered design for the Culvert would not have failed on April 26, 2012, given the peak flows. While his experts identified flaws in the construction that was done, I am not satisfied that evidence meets the plaintiff's burden. It is not enough to establish that an engineer should have designed the Culvert, the plaintiff must also show that it was that failure that was a cause of the damage. I find he has not done so. Although not determinative, he did not present evidence of what an engineer hired in 2004 to remediate the existing structure at Brooklyn Crossing would have designed.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Focussing on the grate, I agree that an engineered design would not have included the grate. I also agree that if an engineered design had been constructed, and the grate was there at the post-installation inspection, Tourism BC would have been told the grate was not part of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However, it is unclear on the evidence, whether the grate would have been removed. Nor is that an inference I can reasonably draw. Among other things, neither Ms. Johnson nor Mr. Johnson indicated they were concerned when they saw the grate. Mr. Millar's evidence was that there were no regulations or practice guidelines regarding the installation of grates. Also, I am unable on the evidence at trial to make a finding as to how and when the grate was installed. Based on the evidence, I am satisfied on a balance of probabilities that neither Katim nor White Construction installed the grate, but that is the only finding I can make. Not knowing when or who installed it, I am unable to find that even if an engineered design was constructed and inspected by an engineer, no grate would have been placed on the Culvert before April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Even if I had concluded that no grate would have been placed on the Culvert had an engineer designed and inspected the construction, I would not have concluded that was a cause of the damage. I rely on Mr. Millar's evidence that absent the existence of the grate, the Culvert would likely have failed. I also rely on Mr. Jakob's evidence that only a small proportion of the sediment that entered the creek because of the embankment failure, ended up in the domestic intakes.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No expert found the Culvert being installed at the wrong height caused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Thus, even if I had concluded an engineered design was required, the plaintiff has not proven the lack of an engineered design caused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plaintiff also identified two other possible negligent acts. He submitted the embankment was "badly designed". Mr. Millar agreed with that proposition. However, I find that Columbia &amp; Western Railway Company must have designed the embankment when the rail line was first installed in the late 1800s. Therefore, it was designed long before Tourism BC took ownership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To the extent the embankment was modified somewhat for the installation of the Culvert, I rely on my preceding discussion that the plaintiff has failed to establish on a balance of probabilities that Pennco's design, and specifically the placement of the Culvert, caused the damage. As noted by Mr. Millar, no hydrological analysis supports Mr. Deverney's theory that the blocking of the Culvert resulted in saturation of the embankment causing it to slump (paras. 117 and 118). Absent that evidence, I am unable to conclude that the design of the embankment caused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With regard to the allegation that there was no "emergency outlet", the plaintiff relies on Mr. LaCas's report. However, Mr. LaCas's opinion relies on Mr. Deverney's opinion about the mechanism of failure, which I have already discounted because it is not based on any analysis (see above, paras.105-115 and 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plaintiff also seeks damages in nuisance. As indicated earlier, I have concluded that the Waiver prohibits this claim (paras. 171-173). However, I also find the plaintiff would not have succeeded absent the Waiver on the facts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Antrim Truck Centre Ltd. v. Ontario (Transportation)</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xml:space="preserve"> at para. 19, the Supreme Court of Canada set out the test for private nuisance. To succeed the plaintiff must demonstrate that the defendant interfered with his or her land in a way that was both substantial and unreasonable, considering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Baker v. Rendle</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2017 BCCA 72</w:t>
        </w:r>
      </w:hyperlink>
      <w:r>
        <w:rPr>
          <w:rFonts w:ascii="arial" w:eastAsia="arial" w:hAnsi="arial" w:cs="arial"/>
          <w:color w:val="000000"/>
          <w:sz w:val="20"/>
          <w:lang w:val="en-US" w:eastAsia="en-US" w:bidi="ar-SA"/>
        </w:rPr>
        <w:t xml:space="preserve"> at para. 39, the Court of Appeal emphasized that the focus of nuisance is not on the defendant's conduct, but on the harm caused. In determining liability for nuisance, a number of factors are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At para. 40 of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the Court of Appeal quotes from </w:t>
      </w:r>
      <w:r>
        <w:rPr>
          <w:rFonts w:ascii="arial" w:eastAsia="arial" w:hAnsi="arial" w:cs="arial"/>
          <w:i/>
          <w:color w:val="000000"/>
          <w:sz w:val="20"/>
          <w:lang w:val="en-US" w:eastAsia="en-US" w:bidi="ar-SA"/>
        </w:rPr>
        <w:t>Royal Anne Hotel Co. Ltd. v. Village of Ashcroft</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at 760-61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then is, has the defendant's use of this land interfered with the use and enjoyment of the plaintiffs' land and is that interference unreasonable?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an unreasonable invasion of an interest in land? All circumstances must, of course, be considered in answering this question. What may be reasonable at one time or place may be completely unreasonable at another. It is certainly not every smell, whiff of smoke, sound of machinery or music which will entitle the indignant plaintiff to recover. It is impossible to lay down precise and detailed standards but the invasion must be substantial and serious and of such a nature that it is clear according to the accepted concepts of the day that it should be an actionable wrong. It has been said, see McLaren, "Nuisance in Canada" ..., that Canadian judges have adopted the words of Knight Bruce V.C. in </w:t>
      </w:r>
      <w:r>
        <w:rPr>
          <w:rFonts w:ascii="arial" w:eastAsia="arial" w:hAnsi="arial" w:cs="arial"/>
          <w:i/>
          <w:color w:val="000000"/>
          <w:sz w:val="20"/>
          <w:lang w:val="en-US" w:eastAsia="en-US" w:bidi="ar-SA"/>
        </w:rPr>
        <w:t>Walter v. Selfe</w:t>
      </w:r>
      <w:r>
        <w:rPr>
          <w:rFonts w:ascii="arial" w:eastAsia="arial" w:hAnsi="arial" w:cs="arial"/>
          <w:color w:val="000000"/>
          <w:sz w:val="20"/>
          <w:lang w:val="en-US" w:eastAsia="en-US" w:bidi="ar-SA"/>
        </w:rPr>
        <w:t xml:space="preserve"> (1851), 4 De G.&amp; Sm. 315 [at p. 322], 64 E.R. 849 , affirmed on other grounds 19 L.T.O.S. 308 (L.C.), to the effect that actionability will result from an interference with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ordinary comfort physically of human existence, not merely according to elegant or dainty modes and habits of living, but according to plain and sober and simple notions.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words were approved by Middleton J.A. in the Ontario High Court in </w:t>
      </w:r>
      <w:r>
        <w:rPr>
          <w:rFonts w:ascii="arial" w:eastAsia="arial" w:hAnsi="arial" w:cs="arial"/>
          <w:i/>
          <w:color w:val="000000"/>
          <w:sz w:val="20"/>
          <w:lang w:val="en-US" w:eastAsia="en-US" w:bidi="ar-SA"/>
        </w:rPr>
        <w:t>Appleby v. Erie Tobacco Co</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(1910), 22 O.L.R. 533</w:t>
        </w:r>
      </w:hyperlink>
      <w:r>
        <w:rPr>
          <w:rFonts w:ascii="arial" w:eastAsia="arial" w:hAnsi="arial" w:cs="arial"/>
          <w:color w:val="000000"/>
          <w:sz w:val="20"/>
          <w:lang w:val="en-US" w:eastAsia="en-US" w:bidi="ar-SA"/>
        </w:rPr>
        <w:t xml:space="preserve"> at pp. 535-6.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reaching a conclusion, the court must consider the nature of the act complained of and the nature of the injury suffered. </w:t>
      </w:r>
      <w:r>
        <w:rPr>
          <w:rFonts w:ascii="arial" w:eastAsia="arial" w:hAnsi="arial" w:cs="arial"/>
          <w:color w:val="000000"/>
          <w:sz w:val="20"/>
          <w:u w:val="single"/>
          <w:lang w:val="en-US" w:eastAsia="en-US" w:bidi="ar-SA"/>
        </w:rPr>
        <w:t>Consideration must also be given to the character of the neighbourhood where the nuisance is alleged, the frequency of the occurrence of the nuisance, its duration and many other factors which could be of significance in special circumstances. While an owner of land in a quiet residential district may well expect to be protected from the operation of a boiler factory on his neighbour's land, he may not be entitled to expect to prevent the boilermaker from pursuing his lawful calling when he seeks to put his residence in an industrial area next to the factory</w:t>
      </w:r>
      <w:r>
        <w:rPr>
          <w:rFonts w:ascii="arial" w:eastAsia="arial" w:hAnsi="arial" w:cs="arial"/>
          <w:color w:val="000000"/>
          <w:sz w:val="20"/>
          <w:lang w:val="en-US" w:eastAsia="en-US" w:bidi="ar-SA"/>
        </w:rPr>
        <w:t>. The conflicting interests must be weighed and considered against all the circumstances. The social utility of the conduct complained of must be weighed against the significance of the injury caused and the value of the interest sought to be protected. But where the conduct of the defendant has caused actual physical injury to the plaintiffs' land, the mere fact that such conduct may be of great social utility, for example, construction and maintenance of a sewer, will not attract greater licence or immunity.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When there has been physical damage to land, there is almost a presumption that the interference was unreasonable: </w:t>
      </w:r>
      <w:r>
        <w:rPr>
          <w:rFonts w:ascii="arial" w:eastAsia="arial" w:hAnsi="arial" w:cs="arial"/>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at 1192. However, the plaintiff is still required to prove that the defendant caused the nuisance: </w:t>
      </w:r>
      <w:r>
        <w:rPr>
          <w:rFonts w:ascii="arial" w:eastAsia="arial" w:hAnsi="arial" w:cs="arial"/>
          <w:i/>
          <w:color w:val="000000"/>
          <w:sz w:val="20"/>
          <w:lang w:val="en-US" w:eastAsia="en-US" w:bidi="ar-SA"/>
        </w:rPr>
        <w:t>Murray v. Langley (Township)</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2010 BCSC 102</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plaintiff submits the installation of the Culvert was a sufficient act creating liability for nuisance.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It is true that liability for nuisance does not depend upon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plaintiff's submission is based on a logical error in the reverse. There is insufficient evidence that the Culvert caused the Debris Flood </w:t>
      </w:r>
      <w:r>
        <w:rPr>
          <w:rFonts w:ascii="arial" w:eastAsia="arial" w:hAnsi="arial" w:cs="arial"/>
          <w:color w:val="000000"/>
          <w:sz w:val="20"/>
          <w:u w:val="single"/>
          <w:lang w:val="en-US" w:eastAsia="en-US" w:bidi="ar-SA"/>
        </w:rPr>
        <w:t xml:space="preserve">absent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in the installation of the Culvert</w:t>
      </w:r>
      <w:r>
        <w:rPr>
          <w:rFonts w:ascii="arial" w:eastAsia="arial" w:hAnsi="arial" w:cs="arial"/>
          <w:color w:val="000000"/>
          <w:sz w:val="20"/>
          <w:lang w:val="en-US" w:eastAsia="en-US" w:bidi="ar-SA"/>
        </w:rPr>
        <w:t>. The evidence relied on by the plaintiff is that the Culvert was improperly installed, not that placing a culvert at the crossing was itself a "bad design". The uncontested evidence is that the Brooklyn Crossing was in a state of disrepair and needed upgrading when Tourism BC first inspected it (see paras. 43 and 58-59). Thus, in my view, the plaintiff has not proven on a balance of probabilities that remediating the crossing caused the nuisance. In my view, that defeats the plaintiff's nuisance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Nevertheless, I also consider the plaintiff's alternative position. He submits that even if the "nuisance was caused by acts of third parties or natural events in which the Province did not participate, the Province is still liable on the basis that it was aware of the risk of nuisance and </w:t>
      </w:r>
      <w:r>
        <w:rPr>
          <w:rFonts w:ascii="arial" w:eastAsia="arial" w:hAnsi="arial" w:cs="arial"/>
          <w:color w:val="000000"/>
          <w:sz w:val="20"/>
          <w:u w:val="single"/>
          <w:lang w:val="en-US" w:eastAsia="en-US" w:bidi="ar-SA"/>
        </w:rPr>
        <w:t>failed to prevent or abate it</w:t>
      </w:r>
      <w:r>
        <w:rPr>
          <w:rFonts w:ascii="arial" w:eastAsia="arial" w:hAnsi="arial" w:cs="arial"/>
          <w:color w:val="000000"/>
          <w:sz w:val="20"/>
          <w:lang w:val="en-US" w:eastAsia="en-US" w:bidi="ar-SA"/>
        </w:rPr>
        <w:t xml:space="preserve">" (emphasis added). With respect to natural events, the Province had no obligation to abate a nuisance that "existed by virtue of a natural hazard resulting from a naturally occurring watercourse": </w:t>
      </w:r>
      <w:r>
        <w:rPr>
          <w:rFonts w:ascii="arial" w:eastAsia="arial" w:hAnsi="arial" w:cs="arial"/>
          <w:i/>
          <w:color w:val="000000"/>
          <w:sz w:val="20"/>
          <w:lang w:val="en-US" w:eastAsia="en-US" w:bidi="ar-SA"/>
        </w:rPr>
        <w:t>Waterway Houseboats</w:t>
      </w:r>
      <w:r>
        <w:rPr>
          <w:rFonts w:ascii="arial" w:eastAsia="arial" w:hAnsi="arial" w:cs="arial"/>
          <w:color w:val="000000"/>
          <w:sz w:val="20"/>
          <w:lang w:val="en-US" w:eastAsia="en-US" w:bidi="ar-SA"/>
        </w:rPr>
        <w:t xml:space="preserve"> at para. 380, citing </w:t>
      </w:r>
      <w:r>
        <w:rPr>
          <w:rFonts w:ascii="arial" w:eastAsia="arial" w:hAnsi="arial" w:cs="arial"/>
          <w:i/>
          <w:color w:val="000000"/>
          <w:sz w:val="20"/>
          <w:lang w:val="en-US" w:eastAsia="en-US" w:bidi="ar-SA"/>
        </w:rPr>
        <w:t>Lynds v. Runge</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2002 BCSC 1579</w:t>
        </w:r>
      </w:hyperlink>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With respect to the acts of third parties, that overstates the test for nuisance. As noted above, the court must consider a variety of factors to determine if the defendant's interference with land was both substantial and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Although I prefer Mr. Haack's testimony to Mr. Nelson's regarding the pre-Debris Flood water quality and frequency of maintenance required for the domestic water and power intakes (see above, paras. 66-75), I assume without deciding that the interference with land was substantial. Nevertheless, I would still have found that the interference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As noted above in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the factors to consider include the nature of the injury suffered, the character of the neighborhood, the sensitivity of the plaintiff's use and the frequency and duration of the nuisance. It is at this point in the analysis that my concerns about Mr. Nelson's credibility (paras. 67-75) are particularly significant. That is because "a measure of subjectivity exists" for the test for nuisance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plaintiff offers two reasons why the interference was unreasonable. First, he submits that the level of maintenance of the domestic water and power intakes has increased to a frequency that is unreasonable. He also claimed there were "no problems" with water quality before the Debris Flood. He submits that those effects have occurred since 2012 and are likely to continue for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As already noted, I prefer Mr. Haack's evidence to the plaintiff's on both water quality and frequency of maintenance (see para. 66). I accept that in 2012 and perhaps a few years after that, the maintenance required for the intakes was increased, but not substantially. I do not accept that the plaintiff has proven any effects from the Debris Flood will last for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also conclude that the character of the neighborhood and social utility of the Province's remediation of the Brooklyn Crossing are significant factors militating against the plaintiff's position. Mr. Nelson's property is in a remote, off the grid, community located at the bottom of a steep mountain creek system. While he contends that it is not his position that there should "never be any sediment" in the creek, his position amounts to an argument that the pre-2012 level and frequency of maintenance ought not to increase. With respect, that subjective view of what to expect when living in Brooklyn is unrealistic and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 also note it is of some relevance that the impugned interference with his land was for the purpose of repairing a recreational trail, which is for the benefit of the public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Taking all those factors into account, in light of the location of Brooklyn and the geography of the watershed, I find even if the interference with his land was substantial, it was not unreasonable. For that reason, his claim in nuisance could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SUMMARY OF CONCLUSIONS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For all the reasons explained in this judgment, I dismiss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Because the Province has succeeded, it is entitled to its costs. If there are circumstances of which I am unaware that are relevant to the issue of costs, the parties may request a brief hearing before me to address those so long as that request is made no later than 45 days after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036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Waterway Houseboats Ltd. v. British Columbia, [2019] B.C.J. No. 662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16-20, 23-27, 30, May 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7-11, 14-17, 28-31, June 1, 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11-14, 18-22, 25-28, July 3-6, 9-11,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 October 15-19 and 22-25,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S103630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581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M.P.L.R. (5th) 220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995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Waterway Houseboats Ltd., Vinco Holdings Ltd., Waterway Houseboat Charters Ltd., Waterway Vacations Shuswap #76 Limited Partnership by its General Partner Waterway Partnership Equities Inc., Waterway Vacations Shuswap #80 Limited Partnership by its General Partner Waterway Partnership Equities Inc., Waterway Vacations Shuswap #84 Limited Partnership by its General Partner Waterway Partnership Equities Inc., Waterway Vacations Shuswap #85 Limited Partnership by its General Partner Waterway Partnership Equities Inc., Waterway Vacations Shuswap #86 Limited Partnership by its General Partner Waterway Partnership Equities Inc., Waterway Vacations Shuswap #69 Limited Partnership by its General Partner Waterway Partnership Equities Inc., Waterway Vacations Shuswap #75 Limited Partnership by its General Partner Waterway Partnership Equities Inc., Waterway Vacations Shuswap #79 Limited Partnership by its General Partner Waterway Partnership Equities Inc., Waterway Vacations Shuswap #82 Limited Partnership by its General Partner Waterway Partnership Equities Inc., Waterway Vacations Shuswap #58 Limited Partnership by its General Partner Waterway Partnership Equities Inc., Waterway Vacations Shuswap #61 Limited Partnership by its General Partner Waterway Partnership Equities Inc., Waterway Vacations Shuswap #63 Limited Partnership by its General Partner Waterway Partnership Equities Inc., Waterway Vacations Shuswap #59 Limited Partnership by its General Partner Waterway Partnership Equities Inc., Waterway Vacations Shuswap #68 Limited Partnership by its General Partner Waterway Partnership Equities Inc., Waterway Vacations Shuswap #70 Limited Partnership by its General Partner Waterway Partnership Equities Inc., Waterway Vacations Shuswap #72 Limited Partnership by its General Partner Waterway Partnership Equities Inc., Waterway Vacations Shuswap #77 Limited Partnership by its General Partner Waterway Partnership Equities Inc., Waterway Vacations Shuswap #81 Limited Partnership by its General Partner Waterway Partnership Equities Inc., Waterway Vacations Shuswap #78 Limited Partnership by its General Partner Waterway Partnership Equities Inc., Waterway Vacations Shuswap #65 Limited Partnership by its General Partner Waterway Partnership Equities Inc., Waterway Vacations Shuswap #62 Limited Partnership by its General Partner Waterway Partnership Equities Inc., Waterway Vacations Shuswap #67 Limited Partnership by its General Partner Waterway Partnership Equities Inc., Waterway Vacations Shuswap #66 Limited Partnership by its General Partner Waterway Partnership Equities Inc., Waterway Vacations Shuswap #55 Limited Partnership by its General Partner Waterway Partnership Equities Inc., Waterway Vacations Shuswap #57 Limited Partnership by its General Partner Waterway Partnership Equities Inc., Waterway Vacations Shuswap #73 Limited Partnership by its General Partner Waterway Partnership Equities Inc., Waterway Vacations Shuswap #74 Limited Partnership by its General Partner Waterway Partnership Equities Inc., Waterway Vacations Shuswap #54 Limited Partnership by its General Partner Waterway Partnership Equities Inc., Waterway Vacations Shuswap #53 Limited Partnership by its General Partner Waterway Partnership Equities Inc., Waterway Vacations Shuswap #52 Limited Partnership by its General Partner Waterway Partnership Equities Inc., Waterway Vacations Shuswap Limited Partnership #18 by its General Partner Waterway Partnership Equities Inc., Waterway Vacations Shuswap Limited Partnership #23 by its General Partner Waterway Partnership Equities Inc., Waterway Vacations Shuswap Limited Partnership #24 by its General Partner Waterway Partnership Equities Inc., Waterway Vacations Shuswap #51 Limited Partnership by its General Partner Waterway Partnership Equities Inc., Waterway Vacations Shuswap Limited Partnership #6 by its General Partner Waterway Partnership Equities Inc., Waterway Vacations Shuswap Limited Partnership #12 by its General Partner Waterway Partnership Equities Inc., Waterway Vacations Shuswap Limited Partnership #19 by its General Partner Waterway Partnership Equities Inc., Waterway Vacations Shuswap Limited Partnership #16 by its General Partner Waterway Partnership Equities Inc., Waterway Vacations Shuswap Limited Partnership #41 by its General Partner Waterway Partnership Equities Inc., Waterway Vacations Shuswap Limited Partnership #17 by its General Partner Waterway Partnership Equities Inc., Waterway Vacations Shuswap Limited Partnership #43 by its General Partner Waterway Partnership Equities Inc., Waterway Vacations Shuswap Limited Partnership #22 by its General Partner Waterway Partnership Equities Inc., Waterway Vacations Shuswap Limited Partnership #29 by its General Partner Waterway Partnership Equities Inc., Waterway Vacations Shuswap Limited Partnership #28 by its General Partner Waterway Partnership Equities Inc., Waterway Vacations Shuswap Limited Partnership #30 by its General Partner Waterway Partnership Equities Inc., Jeff S. Benson Professional Corporation, Northstar Avlease Ltd., Russel Wise, Carolyn Wise, Sundance Boating Corp., Margo Preston Dwayne Lawson, Willis Enterprises Inc., Bruce Anderson, Carol Anderson, 0835021 B.C. Ltd., Jerry Charest, Happy Holiday Ventures, Leo Skerry, Frances Skerry, Grant Morstad, Maureen Morstad and Reynold Hert, Plaintiffs, and Her Majesty the Queen in Right of the Province of British Columbia, The District of Sicamous, Bryan McLaughlin and Constance McLaughlin, Defendants, and Her Majesty the Queen in Right of the Province of British Columbia, The District of Sicamous, Bryan McLaughlin and Constance McLaughlin, Third Party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(548 paras.)</w:t>
      </w:r>
    </w:p>
    <w:p>
      <w:pPr>
        <w:jc w:val="both"/>
        <w:rPr>
          <w:rFonts w:ascii="arial" w:eastAsia="arial" w:hAnsi="arial" w:cs="arial"/>
          <w:sz w:val="20"/>
          <w:lang w:val="en-US" w:eastAsia="en-US" w:bidi="ar-SA"/>
        </w:rPr>
      </w:pPr>
      <w:bookmarkStart w:id="284" w:name="Counsel_42"/>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Robinson, K. Ihas, T.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L. Lee, M. Weintraub, A. 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District of Sicamous: S. Brearley.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Bryan McLaughlin and Constance McLaughlin: D. Bilkey, P. Driedger.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5" w:name="Judgment_41"/>
      <w:bookmarkEnd w:id="285"/>
      <w:r>
        <w:pict>
          <v:line id="_x0000_s1234" style="position:absolute;z-index:2517544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Her Majesty the Queen in Right of the Province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District of Sicamous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Bryan McLaughlin and Constance McLaughlin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CHRONOLOGY AND 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Pre-2012 Flood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Sicamous Creek Watershed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EBA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2012 Flood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The Avulsions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LIABILITY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Plaintiffs' Experts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Michael Church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Brian LaCas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Russell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Defendants' Experts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Matthias Jakob</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Younes Alila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Defendants' Positions Generally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Province's Position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District's Position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McLaughlins'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OVERVIEW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 LIABILITY IN </w:t>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Is There a Significantly Analogous Precedent?</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Suffered by the Plaintiffs Reasonably Foreseeable?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Relationship of Sufficient Proximity?</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Residual Policy Considerations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Standard of Care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Standard of Care Expected?</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Doyle Breach the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 Is the Province Liable to the Plaintiffs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Privative Clauses in the 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THE WATER ACT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Purpose and Interpretation of the Water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Discussion</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Channel Restoration Approval</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McLaughlin Bridge Approval</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Water Act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XIII.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/VOLUNTARY ASSUMPTION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XIV. JOINT TORTFEASORSHIP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Public Nuisance Claim Against the Province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Private Nuisance Claim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Experts' Theories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Cause of the 2012 Flood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Cause of Avulsions 'A'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XVII. CONCLUSIONS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XVIII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Measure of Damages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Compensation Under s. 21 of the Water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Diminution of Value of the Vinco Property</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Appraisers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Pure Economic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Past and Future Loss of Profits</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Evaluators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XIX.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AND THIRD PARTY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XX. SUMMARY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XXI. FINAL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XXII.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6" w:name="G.P. WEATHERILL J."/>
            <w:bookmarkEnd w:id="286"/>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Flooding of creeks, rivers, lakes and other waterways during the annual spring run-off are costly and frequently occurring natural events. They are a serious and expensive problem that can disrupt and sometimes devastate those affected. There are different categories of floods. One of the more serious is called a "debris flood" - a very rapid flow of water in a steep channel that is heavily charged with trees, rocks, sediment and other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were unfortunate victims of a debris flood on June 23, 2012 ("2012 Flood") that caused significant damage to their property and houseboat business on Mara Lake in the District of Sicamous. The plaintiffs claim that the 2012 Flood was caused by improper actions taken by the defendants in the aftermath of a similar flood that occurred in July 1997 ("1997 Flood"). Those actions relate to the implementation of several flood recovery projects including creek bed dredging and the reconstruction of a private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deny any wrongdoing and say that in their emergency response efforts following the 1997 Flood, they acted in accordance with all applicable statutes, regulations and standards at the time. Given the significant financial constraints and urgency of the situation, the defendants say that their actions in implementing the flood recovery projects were reasonable. They say that the damage caused by the 2012 Flood was inevitable and resulted from naturally occurring phenomenon that would have happened regardless of the 1997 Flood recovery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Sicamous Creek flows into Mara Lake a few kilometres south of Sicamous, British Columbia. The plaintiffs' houseboat business and property is located on Mara Lake immediately to the north of Sicamous Creek. The property ("Vinco Property") is owned by the plaintiff Vinco Holdings Ltd. ("Vinco") who leases it to the plaintiff Waterway Houseboats Ltd. ("Waterway"), a related company. Waterway has operated its houseboat business at the Vinco Property since 2007 when it relocated from its previous location in Sicamous. Vinco acquired the Vinco Property in 2003 and 2005 from its previous owners, Mr. and Mrs. Maurer (the "Maurers"), who had operated a campground known as the Beachcomber Campground on that property. The Vinco Property is divided in half by Highway 97A into the upper Vinco Property and the lower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1997 Flood caused major damage to the Beachcomber Campground and to Mervyn Road, which is a public road dividing Sicamous Creek to the south and the Vinco Property to the north. Mervyn Road provides public access to a boat launch immediately adjacent to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the 1997 Flood, certain works were undertaken in and around Sicamous Creek ("Works"). These Works were authorized by the Province and included dredging and armoring the Sicamous Creek channel ("Channel Restoration") and replacing a private bridge ("McLaughlin Bridge") owned by the defendants Bryan McLaughlin and Constance McLaughlin (the "McLaughlins") spanning Sicamous Creek near where the creek enters Mara Lake ("McLaughlin Bridge Replacement"). A previous bridge owned by the McLaughlins had been removed as part of the emergency response to the 1997 Flood after a build-up of trees, rocks and other debris plugging the bridge caused the creek to overflow across Mervyn Road and onto the Beachcomber Campground.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Works were the culmination of months of consultations, discussions and negotiations between representatives of the Province of British Columbia ("Province"), the District of Sicamous ("District"), the Department of Fisheries and Oceans ("DFO") and, to a lesser degree, the McLaughlins and the Maurers. The Works were completed in the spring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Nine years later, Waterway moved onto the Beachcomber Campground property. Five years after that, the 2012 Flood occurred. The 2012 Flood caused significant damage not only to Waterway and the Vinco Property, but to Highway 97A and multiple other properties as well. Days of intense rainfall combined with snowmelt in the Sicamous Creek watershed created a debris flood. Similar to the 1997 Flood, the opening under the McLaughlin Bridge became completely blocked ("Blockage") causing the creek to overflow its banks onto the Vinco Property and Waterway's infrastructure. Essentially, the 2012 Flood was a repeat of the 1997 Flood, but with far worse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sue the Province, the District and the owners of the McLaughlin Bridge (the "McLaughlins") in relation to the Works saying that they were improperly approved, designed and constructed and caused foreseeable physical damage and economic loss. The plaintiffs sue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 xml:space="preserve"> (which was in force at all material times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root of this lawsuit is the cause of the 2012 Flood. Specifically, whether the Works played a role or whether the flooding and consequent damage would have happened in any event. In its most basic form, the plaintiffs' claim is that the Province was negligent in communicating the terms and conditions of approvals issued for the Works and that the District and the McLaughlins did not construct the Works in accordance with their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say that the Blockage that led to the 2012 Flood occurred when a truck that had fallen into the creek became lodged under the McLaughlin Bridge. This plugged the channel and caused floodwaters to back up and wreak havoc. The plaintiffs say that had the Channel Restoration and McLaughlin Bridge Replacement been properly designed and constructed, the truck would have passed underneath the bridge and the Blockage and resulting flood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claim damages for property damage and business losses in the approximate amount of $10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deny any liability for the plaintiffs' property damage and business losses. The defendants' theory is that the 2012 Flood was a naturally occurring and inevitable event caused by heavy rainfall, snowmelt and high water levels in Mara Lake. They say that substantially all of the damage caused would have happened in any event of the Works following the 1997 Flood. They say that the Blockage was caused by the unusually high level of Mara Lake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There are a number of provincial statutes at play in this case, the most important of which is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Another act of importance in this case is the </w:t>
      </w:r>
      <w:r>
        <w:rPr>
          <w:rFonts w:ascii="arial" w:eastAsia="arial" w:hAnsi="arial" w:cs="arial"/>
          <w:i/>
          <w:color w:val="000000"/>
          <w:sz w:val="20"/>
          <w:lang w:val="en-US" w:eastAsia="en-US" w:bidi="ar-SA"/>
        </w:rPr>
        <w:t>Emergency Program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are several plaintiffs in this case. All of them are involved in the Waterway business. Waterway's operations, marina and related infrastructure are located on the 6.61 hectare Vinco Property on the shores of Mara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Waterway began operating its first fleet of houseboats on the Vinco Property in 2006. The remainder of the fleet and the entire Waterway business moved there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While there is no written lease between Waterway and Vinco in evidence, it is clear that Waterway leases the Vinco Property from Vinco. Both Waterway and Vinco are accordingly "owners" within the meaning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As such, both Waterway and Vinco are entitled to remedies not available to the other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Waterway Vacations Shuswap Limited Partnership #6, 12, 16, 17, 18, 19, 22, 23, 24, 28, 29, 30, 41 and 43, and Waterway Vacations Shuswap #51, 52, 53, 54, 55, 57, 58, 59, 61, 62, 63, 65, 66, 67, 68, 69, 70, 72, 73, 74, 75, 76, 77, 78, 79, 80, 81, 82, 84, 85 and 86 Limited Partnership (collectively "Vacations LP") are limited partnerships. These partnerships are represented in this case by their general partner Waterway Partnership Equities Inc., which is a wholly-owned subsidiary of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Jeff S. Benson Professional Corp., Northstar Avlease Ltd., Sundance Boating Corp., Willis Enterprises Inc., 0835021 B.C. Ltd. and Happy Holiday Ventures are corporations or partnerships. These plaintiffs and Vacations LP own individual houseboats that make up the majority of Waterway's fleet (currently 66 houseboats) and will be referred to collectively as the "Individual Houseboat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Waterway Houseboat Charters Ltd. ("Charters") is a wholly-owned subsidiary of Waterway. Although essentially a shell company that plays no active role in the Waterway business, it is named on the written management agreements between Waterway and the Individual Houseboat Owners. In most cases, Charters is nominally a party to these agreements as Waterway's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structure and relationship among the various plaintiffs is somewhat complicated. Generally speaking, the houseboats are owned by individual or corporate entities and are managed by Waterway. Waterway provides the staff and equipment required to operate the business. By all outside appearances, the houseboats belong to Waterway. Waterway has day-to-day control over each houseboat and receives a management fee of 55% for all but three houseboats; it receives 60% on those three.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Her Majesty the Queen in Right of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Province administers provincial laws including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Emergency Program Act</w:t>
      </w:r>
      <w:r>
        <w:rPr>
          <w:rFonts w:ascii="arial" w:eastAsia="arial" w:hAnsi="arial" w:cs="arial"/>
          <w:color w:val="000000"/>
          <w:sz w:val="20"/>
          <w:lang w:val="en-US" w:eastAsia="en-US" w:bidi="ar-SA"/>
        </w:rPr>
        <w:t xml:space="preserve"> and regulations made under those 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District of Sicamous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District is a municipal corporation pursuant to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It has its office at 446 Main Street in Sicamous, British Columbia. The lower portions of Sicamous Creek are located within its municipal boundaries.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Bryan McLaughlin and Constance McLaughlin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McLaughlins are the registered owners of lakefront property located on Mara Lake ("McLaughlin Property"). They purchased the McLaughlin Property in 1987. Sicamous Creek enters Mara Lake at the north end of the McLaughlin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McLaughlins live in Alberta. The McLaughlin Property is used as a summertime vacation property. Mr. McLaughlin is a mechanical engineering technologist. Since 1984, he has done consultant work in the hydroelectric industry and has dealt with a number of engineers involved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all material times, the McLaughlin Property had no permanent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THE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there were many persons involved in the events surrounding the 1997 Flood, its aftermath, the Works and the 2012 Flood, it is helpful at this point to mention some of those people who played a significant role. Their names and roles are detailed in the chart below:</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35" type="#_x0000_t75" style="width:432.06pt;height:403.56pt">
            <v:imagedata r:id="rId689" o:title=""/>
          </v:shape>
        </w:pict>
      </w:r>
      <w:r>
        <w:rPr>
          <w:rFonts w:ascii="arial" w:eastAsia="arial" w:hAnsi="arial" w:cs="arial"/>
          <w:sz w:val="20"/>
          <w:lang w:val="en-US" w:eastAsia="en-US" w:bidi="ar-SA"/>
        </w:rPr>
        <w:t xml:space="preserve">  </w:t>
      </w:r>
      <w:r>
        <w:pict>
          <v:shape id="_x0000_i1236" type="#_x0000_t75" style="width:396.06pt;height:586.58pt">
            <v:imagedata r:id="rId690" o:title=""/>
          </v:shape>
        </w:pict>
      </w:r>
      <w:r>
        <w:pict>
          <v:shape id="_x0000_i1237" type="#_x0000_t75" style="width:432.06pt;height:486.82pt">
            <v:imagedata r:id="rId691"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CHRONOLOGY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parties filed a comprehensive and detailed Agreed Statement of Facts wherein many facts, documents, photographs, videos and events were agreed to. I will not attempt to repeat them but those facts that are helpful to my findings will be interwoven into the Chronology and Findings of Fact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1986, the original McLaughlin Bridge was constructed with appropriate approvals from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1997 Flood began on July 12, 1997. The opening beneath the McLaughlin Bridge became obstructed by debris and the Sicamous Creek overflowed its banks onto Mervyn Road and the Beachcomber Campground. The channel bed was infilled by three to five feet of sediment, gravel, rocks and other material over a distance of approximately 600 metres upstream. Mervyn Road was washed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July 21, 1997, the creek started to swell again threatening further flooding. Debris had again started to pile up at the McLaughlin Bridge. Ms. Maurer called emergency services who brought in an excavator to clear the blockage. Ultimately, the decision was made by provincial officials to remove the McLaughlin Bridge as a preventative measure. Once removed, the water level in the creek dropped immediately and dramatically.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Following the 1997 Flood, the Province approved and funded the Channel Restoration and the McLaughlin Bridge Replacement as well as other repairs to Mervyn Road. The Province provides financial relief to qualifying individuals or local governments for damages caused by natural disasters. The funding program is known as the Provincial Emergency Program ("PEP"). The legislation authorizing that assistance is the </w:t>
      </w:r>
      <w:r>
        <w:rPr>
          <w:rFonts w:ascii="arial" w:eastAsia="arial" w:hAnsi="arial" w:cs="arial"/>
          <w:i/>
          <w:color w:val="000000"/>
          <w:sz w:val="20"/>
          <w:lang w:val="en-US" w:eastAsia="en-US" w:bidi="ar-SA"/>
        </w:rPr>
        <w:t>Emergency Program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Compensation and Disaster Financial Assistance Regulation</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B.C. Reg. 124/95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DFA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Per s. 5(2) of the </w:t>
      </w:r>
      <w:r>
        <w:rPr>
          <w:rFonts w:ascii="arial" w:eastAsia="arial" w:hAnsi="arial" w:cs="arial"/>
          <w:i/>
          <w:color w:val="000000"/>
          <w:sz w:val="20"/>
          <w:lang w:val="en-US" w:eastAsia="en-US" w:bidi="ar-SA"/>
        </w:rPr>
        <w:t>DFA Regulation</w:t>
      </w:r>
      <w:r>
        <w:rPr>
          <w:rFonts w:ascii="arial" w:eastAsia="arial" w:hAnsi="arial" w:cs="arial"/>
          <w:color w:val="000000"/>
          <w:sz w:val="20"/>
          <w:lang w:val="en-US" w:eastAsia="en-US" w:bidi="ar-SA"/>
        </w:rPr>
        <w:t>, the Province can also, at its discretion, compensate persons who have had real or personal property damaged as a result of government action taken in response to an emergency or disaster.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regulation, PEP does not allow for any funding over and above what is needed to restore property to its pre-emergency condition. Put another way, it does not pay for the cost of improvements. The purpose of the relief in this case was to fund the cost of returning damaged property back to pre-1997 Flood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late July 1997, Mr. McLaughlin engaged Mr. Courage (the engineer contact he had in Alberta) who attended the site and provided his opinion that the bridge could be replaced at its previous height provided that Sicamous Creek was dredged to restore the bed to its pre-flood condition and maintained at that level in the future. He did not recommend raising the bridge as an alternative to excavation of the creek bed. Mr. Courage's engineering expertise did not include river/stream hydrology.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July 31, 1997, Mr. Doyle made his first visit to the site. He spoke to Ms. Maurer who expressed her concerns about the infilled creek bed and the potential for future flooding. It was immediately clear to Mr. Doyle that the McLaughlin Bridge was in a terrible location and he questioned whether it should be replaced at all. Based on his years of experience, his judgment was that if the bridge was to be replaced, it would have to be much higher than it was previously. A minimum one metre bridge height increase was a general rule of thumb developed by the Water Branch over the years in circumstances where bridges were removed due to flood blockages.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Mr. McLaughlin was anxious to have his bridge replaced as soon as possible. Pursuant to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he faxed a notification of reinstallation for the bridge to Mr. Costerton on August 6, 1997 (Mr. Doyle was out of the office at the time). He attached a sketch of the new proposed bridge as provided by Mr. Courage.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following day, Mr. Costerton replied with a letter stating that the bridge could be reinstalled without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 provided it was "at least 1 metre higher" than it previously was and provided the new bridge complied with regulations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specifically Part 7 of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B.C. Reg. 204/88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("Mr. Costerton's August 7, 1997 letter"). Those regulations are important because, as will be discussed below, s. 44(1)(b)(iii) of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required that the replacement bridge be capable of handling a "1 in 200 year flood" and high enough to allow the free passage of a debris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Neither the McLaughlins nor the District appreciated the onerous significance of this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August 7, 1997, representatives of the District met to discuss the 1997 Flood and whether it was the District's responsibility to replace the McLaughlin Bridge as the Province had suggested. Ms. Williams expressed her concerns about future liability for the bridge and recommended that the onus be placed on Mr. McLaughlin with the District assisting him in a sponsored PEP funding application. The committee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September 3, 1997, Mr. Doyle was back in the office and reported his opinion to Mr. Zackodnik that a future flood of Sicamous Creek was a very real possibility and that Mr. Courage's recommended bridge reconstruction did not take this significant risk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 September 12, 1997, Mr. Zackodnik wrote to Ms. Williams advising that the Province would not be handling the Channel Restoration, but would assist with the necessary s. 9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approvals. Respecting the McLaughlin Bridge Replacement,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technical issue with the bridge is that for the bridge to go back, it must be raised by one metre if it is to remain in its existing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September 16, 1997, Mr. Doyle wrote to the Ms. Maurer explaining that the District would be undertaking a large scale lowering of the Sicamous Creek bed to be funded by the PEP. It was thought that dredging of some 1.5 metres of material would be required to restore the creek bed back to its previous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December 18, 1997, the District received its funding approval from PEP for the Channel Restoration, McLaughlin Bridge Replacement and Mervyn Road repairs. The Channel Restoration funding was limited to restoring the creek bed to its pre-flood condition without any enhancements. The Mervyn Road repair funding was limited to the portion needed to accommodate the McLaughlin Bridge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January 3, 1998, Ms. Maurer wrote Ms. Williams with her concern over the McLaughlin Bridge. Specifically, she did not want the height of Mervyn Road to be increased because it would be detrimental to her business as larger recreational vehicles would not be able to access portions of her campground. She copied that letter to Mr. Doyle. Negotiations between Ms. Williams and Mr. Doyle began in earnest regarding the height of the new McLaughlin Bridge. To accommodate Ms. Maurer's concerns, Ms. Williams asked if the Sicamous Creek bed could be dredged six feet rather than three feet to allow the McLaughlin Bridge to be reinstalled at its original elevation. In a subsequent telephone discussion, Mr. Doyle indicated to Ms. Williams that he may accept a 0.6 metre increase in the McLaughlin Bridge elevation (rather than a one metre increase) to accommodate Ms. Maurer's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any changes in and about a stream must be approved by the Water Branch. On February 4, 1998, Mr. Doyle sent blank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 applications to Ms. Williams ("Applications"). In order to complete the Applications, design sketches and cross-sections setting out the proposed work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Williams was anxious to have the Works completed as soon as possible. In addition, there was a DFO-mandated deadline of April 1, 1998, for all works within Sicamous Creek. To expedite matters, she acted as a liaison between the Province and the McLaughlins. The issue of the height of the McLaughlin Bridge Replacement in relation to the height of the new Mervyn Road and Channel Restoration became a hot topic of debate between Mr. Doyle and Ms. Williams. On February 4, 1998, Ms. Williams faxed Mr. Doyle regarding the McLaughlin Bridge Replacement. In part her letter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the District is not representing the private interests of Mr. McLaughlin in the replacement of the bridge, we are acting as a resource in conjunction with our full claim for flood recovery. We will not accept the liability associated with the replacement of this bridge on private property but rather we are hoping to acquire a consensus that all parties will benefit by lowering the bridge to accommodate the road works without negatively impacting the [Maurers]. We hopefully will not be in a position to debate the decision for removal of the bridge or prior creek restoration. I am looking for a win-win and I believe my request will do just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hoping to bypass the bureaucratic assessment of the 1-foot difference in bridge elevation considering the initial height requirement was also a decision outside our authority. I am reluctant to debate this issue further considering the potential for political and private property owner conflict and ramifications.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February 13, 1998, Ms. Williams again wrote to Mr. Doyle stating that the "property owners" had agreed to a 0.6 metre height increase for the McLaughlin Bridge Replacement and had accepted the plans for the Mervyn Road repairs. She stated that the District was hesitant to proceed with the creek dredging and requested the Province's approval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February 18, 1998, Ms. Williams sent the completed Applications to Mr. Doyle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imperative considering the current weather conditions and contractor availability to commence the creek works on Monday, Feb 23/98.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sought approval to commence the Works immediately but neglected to put forth any design sketches or cross-sections as required by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February 25, 1998, Mr. Doyle wrote Ms. Williams stating that the Province was still awaiting design sketches to properly adjudicate the Applications. A site meeting with Mr. MacDonald (the District's public works foreman) and Mr. Harding (a DFO representative) was planned for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February 26, 1998 site meeting took place the next day. Present were Mr. Doyle, Mr. Harding, Mr. MacDonald, Mr. Whitehead and a representative of the Ministry of Transportation and Highways named Mr. Dodds. Of those present, Mr. Doyle was the only professional engineer and the only one authorized to approve the Works. As Mr. Doyle testified, "the buck stopped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purpose of the February 26, 1998 site meeting was to develop a consensus amongst those present and come to some sort of agreement or common understanding of the work that was to be done. Mr. Harding put together sketches of the Channel Restoration that were meant to guide the remediation works ("Harding Sketches"). Other than the Harding Sketches, there were no design or cross-sectional sketches ever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On March 6, 1998, Mr. Doyle issued approvals pursuant to s.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to the District (the "Channel Restoration Approval") and to Bryan McLaughlin (the "McLaughlin Bridge Approval") (collectively, the "Approvals"). He sent the McLaughlin Bridge Approval to Mr. McLaughlin care of the District. The cover letter to Mr. McLaughlin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bridge is in a tenuous location on the creek and hopefully the additional height above the bed may reduce future problems with obstructions.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Mandatory conditions attached to the Channel Restoration Approval included:</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'B' - requiring riprap protection, specified berm removal and specified dredging of the channel as "refined during a joint field inspection on February 26, 1998 with the maximum channel bed dredging of 1 metre";</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'C' - requiring the Channel Restoration to comply with the Harding Sketches prepared during the February 26, 1998 site meeting;</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'D' - requiring the Channel Restoration to be completed by April 1, 1998;</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'F' - requiring the Channel Restoration to be conducted in accordance with "mutually agreed conditions" during the February 26, 1998 site meeting with the final channel profile being hydraulically stable;</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'L' - requiring the riprap to be angular in shape and suitably graded and sized to resist movement by freshet (spring run-off) flows; and</w:t>
      </w:r>
    </w:p>
    <w:p>
      <w:pPr>
        <w:numPr>
          <w:numId w:val="2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'M' - requiring the completed protected channel to have a cross-sectional area no less than its present cross-sectional area, meaning the channel could not be smaller than it was before the 1997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Mandatory conditions attached to the McLaughlin Bridge Approval included:</w:t>
      </w:r>
      <w:r>
        <w:rPr>
          <w:rFonts w:ascii="arial" w:eastAsia="arial" w:hAnsi="arial" w:cs="arial"/>
          <w:sz w:val="20"/>
          <w:lang w:val="en-US" w:eastAsia="en-US" w:bidi="ar-SA"/>
        </w:rPr>
        <w:cr/>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Condition 'C' - requiring all works to be designed by a qualified professional engineer and to be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0.6 metres higher than the lowest point of the previous bridge;</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'H' - requiring that the District approve the bridge design;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'P' - requiring that appropriate design methods and construction techniques for the site conditions be utilized.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the Approvals were issued, the District and the McLaughlins each arranged for independent contractors to carry out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Both Approvals also repeated the wording of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stating that the District and Mr. McLaughlin were respectively required to make "full compensation" for any damage or loss resulting from the Works. The full import of s. 21 is discussed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Doyle did not like the change to the height requirement (from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one metre to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0.6 metre) but, in light of the other conditions attached to the Approvals, he was prepared to agree to it. In other words, he was prepared to agree to the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0.6 metre height increase provided that a qualified professional engineer signed off on it. He considered Condition 'H' (the requirement that the District approve the design) to be an important back-up provision to Condition 'C'. In his mind, this meant that two qualified professional engineers would be involved in approving the height of the replacement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Upon Ms. Williams learning of Condition 'H' on March 19, 1998, she faxed Mr. Doyle referring to Mr. Costerton's August 7, 1997 letter stating that no s. 9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 was required for the new bridge. Further, that the District would not accept responsibility for the McLaughlin Bridge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Throughout, Ms. Williams and Mr. McLaughlin were under the impression that because the Province had agreed to a minimum height increase of 0.6 metres (rather than the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one metre increase it had earlier required), the Province had assumed responsibility for determining the height. Mr. Doyle, however, was under the impression that the District and the McLaughlins each bore that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District hired Mr. Whitehead to perform the Channel Restoration. It was completed by the April 1, 1998 deadline. On April 1, 1998, Mr. Doyle made a site visit. He did not like what he saw because the end result was a channel that was too narrow and too constricted. Further, he noted that improper riprap had been used. He foresaw future problems and recorded his thoughts in file notes dated April 2, 1998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Found the finished creek channel to tight (bottom &lt; 3m wide) in straight reach next to Mervyn Rd. Round rock (mixed with angular) has crowded the channel reducing the conveyance as the banks were protected. I predict in a big flood that the banks of round rock will collapse into channel &amp; recreate a scenario similar to 1997. Dredged depth is nowhere near a metre in the reach - maybe only 0.3 m (or less?) at McLaughlin bridge. Floating debris or collapsed round rock banks may cause renewed problems. MOTH has certainly protected [right] abutment &amp; bridge. This may tend to throw flow against [left] bank [down stream] &amp; start this giant pile of round rock unravelling during high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Also on April 2, 1998, Mr. Doyle faxed a response to Ms. Williams' March 19, 1998 letter stating that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 was, in fact, required due to the continued vulnerability of the McLaughlin Bridge at that location.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like the bridge at that location and have only approved the bridge replacement because of the unique set of circumstances which exist at McLaughlin's lot. If the new bridge fails or causes a problem in the future, I will oppose any further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District's response came swiftly. On April 6, 1998, Ms. Williams went over Mr. Doyle's head, writing to Mr. Zackodnik and making it clear that the District would assume no responsibility for the McLaughlin Bridge Replacement. She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earlier agreement that it was not required, and the District's position in assisting with the application process for replacement of the [McLaughlin Bridge], Paul Doyle insisted that application be made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approval is now before us ... and I note that Item H 'Approval of the bridge design is required from the District of Sicamous'. The District has stated on many occasions that it accepts NO RESPONSIBILITY for replacement of this bridge. We have made considerable effort thru this process to accommodate all the necessary works to remediate the creek, upgrade the road and protect private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following day, Ms. Williams wrote Mr. Doyle reiterating that the District would not be giving any approval as contemplated by Condition 'H' and that she believed Mr. McLaughlin had met the remaining conditions of the McLaughlin Bridge Approval. She ended the letter by stating that in her view, responsibility for the McLaughlin Bridge rested with the McLaughlins.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April 14, 1998, Mr. Zackodnik directed Mr. Doyle to "sort out the controversy", "clear the books" and get the Works completed. Mr. Doyle took Mr. Zackodnik's direction to "clear the books" to mean that he was to forego his engineering judgment and, as Mr. Doyle put it, "get this approval out of the way, over and done with,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Doyle accordingly amended the McLaughlin Bridge Approval by removing Condition 'H'. That left Conditions 'C' and 'P' requiring that the McLaughlin Bridge Replacement be designed by a qualified professional engineer according to the specifications set out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telephoned Mr. McLaughlin and told him about the amendment. Following these discussions, he wrote a memo to the file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should satisfy everyone's concerns (until the next flood).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site visit...showed that channel was too constricted by rip rap, which is erodible, upstream of McLaughlin Bridge site and blockage of the channel is likely when high flow next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Meanwhile, Mr. McLaughlin hired a mechanical engineer, Mr. Norlander, to design the superstructure and abutments of the McLaughlin Bridge Replacement. Thinking that the design height came from Mr. Doyle, Mr. McLaughlin's instructions to Mr. Norlander were that the new bridge had to be reinstalled </w:t>
      </w:r>
      <w:r>
        <w:rPr>
          <w:rFonts w:ascii="arial" w:eastAsia="arial" w:hAnsi="arial" w:cs="arial"/>
          <w:i/>
          <w:color w:val="000000"/>
          <w:sz w:val="20"/>
          <w:lang w:val="en-US" w:eastAsia="en-US" w:bidi="ar-SA"/>
        </w:rPr>
        <w:t>exactly</w:t>
      </w:r>
      <w:r>
        <w:rPr>
          <w:rFonts w:ascii="arial" w:eastAsia="arial" w:hAnsi="arial" w:cs="arial"/>
          <w:color w:val="000000"/>
          <w:sz w:val="20"/>
          <w:lang w:val="en-US" w:eastAsia="en-US" w:bidi="ar-SA"/>
        </w:rPr>
        <w:t xml:space="preserve"> 0.6 metres higher than the previous bridge. Mr. McLaughlin retained an independent contractor to reinstall the bridge and provided him with Mr. Norlander's engineering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Thus, the McLaughlin Bridge Replacement was completed in May 1998 without the involvement of a professional engineer qualified in river hydrology and was exactly 0.6 metres higher than the previous bridge. Mr. McLaughlin received full PEP reimbursement for the cost of the bridge replacement on August 26, 1998.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Sicamous Creek Watershed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1998 and 1999, a Sicamous Creek watershed assessment was conducted by Dobson Engineering Ltd. to determine watershed conditions at that time. The assessment was also conducted to determine the effects of past land-use practice and the potential impacts from proposed forest development. A report called "Interior Watershed Assessment for the Sicamous Creek Watershed" was prepared by Mr. Michael Milne, a forest hydrologist with Dobson Engineering Ltd. ("Dobson Report"). It was presented to a Watershed Assessment Committee that included representatives of the Province and District. One of Mr. Milne's recommendations was that the Sicamous Creek channel be monitored for destabilization and channel infilling. Another was that the McLaughlin Bridge be raised to permit passage of floating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One of Mr. Milne's concerns was that the McLaughlin Bridge was installed too low and that the creek channel between Highway 97A and Mara Lake was too narrow. He was particularly concerned that the upstream water channel was twice as wide and twice as deep as the downstream channel. That, combined with the height of the McLaughlin Bridge, would be insufficient to accommodate the volume of water and debris should, as expected, another flooding event similar to the 1997 Flood occur. Without modifications, Mr. Milne's view was that in a similar flooding event, these design errors would cause the banks to destabilize, plug the channel underneath the McLaughlin Bridge and flood neighbouring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Dobson Report was an ominous precursor of the 2012 Flood. Mr. Milne's concerns were similar, if not identical, to those earlier expressed by Mr. Doyle.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EBA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Waterway relocated to the Vinco Property in 2007. In addition to building the infrastructure to operate a houseboat business, Vinco investigated the viability of a mixed commercial and residential development on the Vinco Property. In order to obtain the required government approvals, Vinco commissioned geotechnical engineering reports from EBA Engineering Consultants Ltd. ("EBA"). Those reports, dated September 8, 2006 and June 1, 2007 (together the "EBA Reports") warned that the Vinco Property was at a moderate to high risk of debris flooding from Sicamous Creek. EBA's review of historical flood events disclosed that Sicamous Creek had experienced debris floods at a frequency of one in every 20 years or so. EBA recommended that if a development project were to proceed, flood mitigation measures would be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our interpretation of the data, it is our opinion that the subject property situated below Highway 97A and adjacent to Sicamous Creek, is in a moderate to high risk location and that mitigation measures for protection would be necessary for the development as laid out. Below the highway, the buildings may be subject to direct or indirect debris flood impacts consisting of sediment and debris deposition and scour.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EBA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Proposed development of the subject property is situated on the fan of Sicamous Creek. Geotechnical hazards, namely flooding, debris flow, and debris flood, are addressed in this report to accompany the environmental impact assessment and Development Permit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hazard assessment, the following conclusions are presented.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Sicamous Creek is judged to be subject to debris flood, rather than debris flow, and the hazard is considered to be moderate to high;</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flood or debris flood impact to the subject property is considered to be low (above Highway 97A) and moderate to high (below Highway 97A). The potential for channel avulsion along the fan is considered relatively low due to the incised nature of the channel;</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channel gradient, a large proportion of sediment and organic debris will likely be deposited in the channel upstream of the fan or within the first several hundred metres of the fan apex, upstream of the subject property;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Sediment deposition across the fan would depend on channel constrictions such as the highway bridge and two other private bridges, stream bank weaknesses, and local topography. For the subject property, overbank flooding is most likely to occur upstream of the driveway bridge without mitigation; and,</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 measures, such as elevation through fill placement, erosion protection along Mervyn Road, and possible construction of a flood spillway, could reduce the hazard to properties and infrastructure on the subject property. The detailed design of the mitigation measures should consider the impact on adjacent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short, the EBA Reports were a warning to Vinco that without flood mitigation measures in place, the Vinco Property could expect to experience flooding starting upstream of the McLaughlin Bridge. Despite this warning, Waterway relocated its business to the Vinco Property with no flood mitigation measures being considered or taken.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early afternoon of June 23, 2012, the waters in Sicamous Creek began to swell. The timing of events thereafter is critical to an overall understanding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level of Mara Lake was high in the days preceding the 2012 Flood. Portions of the Vinco Property (including Waterway's administration building) were below the lake water level and were protected by sandbagging. Waterway's operations continued despite the high water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Sicamous Creek watershed experienced heavy rainfall on June 23, 2012 which, combined with a period of warm weather and consequent rapid snowmelt, caused high flows in Sicamous Creek charged with sediment and debris. The same phenomenon occurred in a number of other creeks in the area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the evidence given by Mr. Varszegi and Mr. Bens on their observations of what occurred and of the timing of those events. At approximately 3:00 pm on June 23, 2012, the creek was raging. The creek level had increased significantly from its level earlier in the day. The flow was dark brown in colour and forceful enough to move and flush large boulders, entire full size trees and their root systems, and other debris into the lake. Trees slammed into McLaughlin Bridge, stalled briefly and then were forced underneath and into the lake. By 3:30 pm, there was a large mass of trees and debris floating in deep water in the lake to the north of the creek, rotating clockwise. The flow of the creek was like a "jet" of water shooting into Mara Lake and was not mixing with the lake water. The "jet" of water shot straight into the lake and then abruptly disappeared as it reached deep water. I accept that this means the flow maintained a substantial velocity until it reached deep water in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that point, there was still approximately 20 inches of clearance between the top of the creek water and the underside of the McLaughlin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By approximately 4:45 pm, the gap between the underside of the McLaughlin Bridge and the top of the creek flow had narrowed to about ten inches. The flow was extreme and continued to flush boulders, rocks, sediment, trees, branches and other debris into the lake. By 5:30 pm, the level of the outflow was elevated above the level of Mara Lake. At this point, Sicamous Creek was neither backing up nor spreading out into the lake. This elevation was later described by one of the plaintiffs' experts, Dr. Church, as "supercritical flow" meaning that much, if not all, of the material entrained in it was flushed into deep water before dropping out into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Shortly before 6:00 pm, the top of the flow was lapping against the underside of the McLaughlin Bridge. Intermittently, debris was trapped by the bridge, temporarily plugging the flow and causing water to spill over the channel's north bank until the trapped debris was forced under the bridge and flushed downstream into the lake by the sheer power of the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Meanwhile, upstream from the Highway 97A Bridge, the creek's banks were eroding and slumping significantly causing trees to fall into the flow and be carried downstream. This included the creek banks and trees along Mr. Whitehead's property. Erosion on the south bank was more significant than what had occurred during the 1997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Truck arrived at the McLaughlin Bridge at 5:48 pm. Prior to its arrival, the debris flow was contained within Sicamous Creek's channel and was able to pass under the McLaughlin Bridge, albeit with some overbank spillage. I conclude that the Truck immediately plugged the channel after slamming into the upstream side of the McLaughlin Bridge and becoming lodged underneath it. Being carried by the very fast and powerful flow, more debris arrived at the now-plugged bridge. The debris piled up on its upstream side and exacerbated the Blockage. Flooding was immediate.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 major part of the flow then spilled over the north bank, across Mervyn Road and onto the Vinco Property (later defined as Avulsion 'A'). The infilling of the channel caused by the Blockage resulted in the creek bed becoming increasingly shallower. Soon, there was no channel left and the flow went wherever it found least resistance, namely across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 far upstream this infilling occurred and whether it progressed far enough to cause another major avulsion that occurred upstream of the Highway 97A Bridge (later defined as Avulsion 'D') were significant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peak flow of the creek occurred at approximately 6:00 pm (shortly after the arrival of the Truck) and lasted for about three hours before it began to decline in volume and velocity. Had the Blockage not occurred, I conclude the creek would have continued to flush the majority of the flow during that time into Mara Lake.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 Avulsions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An "avulsion" is the lateral displacement of creek water from its current channel into a new channel. In other words, an avulsion occurs when a creek cuts a new channel. There can be partial avulsions and complete avulsions. Over the Sicamous Creek's recorded history, it has experienced many complete avulsions with the creek cutting new channels in its alluvial fan.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During the trial, the parties referred to five distinct avulsions that occurred over the June 23-24, 2012 flooding timeframe as Avulsions 'A', 'B', 'C', 'D', and 'E'. I will do the same:</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Avulsion 'A' - the overbank flow immediately upstream of the McLaughlin Bridge and below the Highway 97A Bridge that flowed in a northerly direction over the Vinco Property. It started at about 5:50 pm on June 23, 2012, growing increasingly in volume and size as it progressed upstream towards the Highway 97A Bridge;</w:t>
      </w:r>
    </w:p>
    <w:p>
      <w:pPr>
        <w:numPr>
          <w:numId w:val="3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Avulsion 'B' - the flow of Sicamous Creek that resulted in water running through Mr. Bens' carport on the south side of Two Mile Road, starting near the apex of the fan (about 300 metres upstream of the Highway 97A Bridge), and that cut back into Sicamous Creek's original channel to the west of Mr. Bens' house. It occurred later in the evening on June 23, 2012;</w:t>
      </w:r>
    </w:p>
    <w:p>
      <w:pPr>
        <w:numPr>
          <w:numId w:val="3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Avulsion 'C' - the flow on the east side and immediately upstream of the Highway 97A Bridge that followed the existing ditch on the east side of the Highway 97A embankment and toward Two Mile Creek Road, eventually crossing the highway onto and over the lower portion of the Vinco Property at its north end and into Mara Lake;</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Avulsion 'D' - the flow from approximately 160-170 metres upstream of Highway 97A that ran down part of Two Mile Road, across the upper Vinco parking lot east of Highway 97A, and cut through Highway 97A onto the northern portion of the lower Vinco Property; and</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Avulsion 'E' - the flow that began later on during the flood at the intersection of Highway 97A, Mervyn Road and Two Mile Road. At that point, the entire flow of Sicamous Creek, which was greatly reduced, had avulsed into the channel created by a combination of Avulsions 'C', 'D' and 'E'. For the balance of these reasons, I will describe the channel that resulted from these three avulsions simply as Avulsion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broad consensus amongst the parties that most of the damage to the Vinco Property was caused by Avulsions 'A'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 each of the avulsions were caused and whether the Channel Restoration or the McLaughlin Bridge Replacement played a role in their creation was a main focus of the trial. It was also the subject of detailed, technical and lengthy expert evidence on both sides, which will be summarized in the next section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THE LIABILITY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parties called a number of experts in the field of river hydrology to provide their opinions on the sequence of events that occurred during the 2012 Flood and to explain their views on whether the Channel Restoration and/or the McLaughlin Bridge Replacement made any difference to the damage caused to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short, the plaintiffs' experts opined that the combination of the McLaughlin Bridge Replacement and the Channel Restoration caused, in particular, Avulsions 'A' and 'D'. They say that without the Blockage, the avulsions and subsequent flooding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defendants' experts opined that the avulsions occurred independent of the Blockage and that the resultant damage to the Vinco Property would have occurred in any event of the Works.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called three experts: Dr. Michael Church, Mr. Brian LaCas, and Dr. Russell Smith. Each expert was qualified in his respective field.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Dr. Michael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Church is a registered professional geologist and Professor Emeritus of geography at the University of British Columbia where he has taught for 38 years. His research expertise is in fluvial geomorphology (the scientific study of the landforms on the Earth's surface, including rivers and streams and the processes that have fashioned them). He also has expertise in surface water hydrology and fluvial sedimentology. In other words, he understands the science behind the flooding of creeks and 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has impressive credentials and is eminently qualified in his areas of expertise. I had no trouble qualifying him. He presented as an objective, careful, knowledgeable and highly academic witness in his field of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a nutshell, Dr. Church's opinion is that the 2012 Flood damage to the Vinco Property was caused by the Blockage. When the Blockage occurred, the flow of Sicamous Creek, which was raging at the time, was forced to slow and almost stop when it reached the Blockage. It was no longer able to transport the debris that it was carrying. Thus, rocks, sediment and other entrainments dropped out of the flow and were deposited in front of the Blockage causing a reduction in the channel's depth and an inability to accommodate the flood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shallower depth in turn caused the upstream flow to decrease in velocity and the issue snowballed. Sediment and other material dropped from the flow as the velocity decreased and a "sediment wedge" was created in the channel. Ultimately, the flow had nowhere to go but overbank, breaching the north bank and flooding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Church assumed that the flood reached its peak at 6:00 pm on June 23, 2012, and that, because of the sheer force of the flow, no aggradation would have occurred at the area of the McLaughlin Bridge prior to the Blockage. Despite the significant erosion going on upstream, he opined that most of the material would have been flushed into the lake. In other words, but for the Blockage, any flooding of the Vinco Property would have been minimal. He likened the flow process to a "waterslide" whereby the force of the water and slope "jettisoned" the entrained material into the standing lake water, not slowing down until deep water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Thus, in his opinion, the decisive event that caused the flood damage was the Truck plugging the McLaughlin Bridge. In the absence of the McLaughlin Bridge, or had the bridge been higher, the Truck would have kept moving and been carried into the lake.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Mr. Brian LaCas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LaCas is a professional engineer with a specialty in hydrological engineering. He was qualified as an expert in a number of areas including: hydrological and hydrotechnical engineering, stream channel geomorphology, open channel water surface profile modelling, hydraulic modeling design, field review of clear span bridges and stream channel restoration works for steep mountain creeks, and the standard of care of consulting engineers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From 1982-1988 he was employed by the Ministry of Environment and was an engineer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performing hydrological engineering and supervision of river restoration projects. He is now a consulting engineer specializing in flood prevention design, flood restoration and remediation projects for rivers and creeks.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testified that customary professional engineering standards treat public safety as a top priority and thus cutting corners is not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Briefly, Mr. LaCas' opinions were that:</w:t>
      </w:r>
      <w:r>
        <w:rPr>
          <w:rFonts w:ascii="arial" w:eastAsia="arial" w:hAnsi="arial" w:cs="arial"/>
          <w:sz w:val="20"/>
          <w:lang w:val="en-US" w:eastAsia="en-US" w:bidi="ar-SA"/>
        </w:rPr>
        <w:cr/>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Channel restoration/bridge design are the purview of hydrological and/or hydrotechnical professional engineers;</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professional engineer responsible for designing a bridge such as the McLaughlin Bridge would take into account the land on both sides and look for solutions that would not endanger habitable areas;</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a qualified professional engineer designed the McLaughlin Bridge Replacement, it would have been built an additional 1.4 metres higher than it was (and two metres higher than the original bridge height);</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Ideally a backup bypass channel should have been constructed so that flood waters could be diverted into Mara Lake in the event the McLaughlin Bridge was blocked; and</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McLaughlin Bridge been constructed two metres higher, it is unlikely the 2012 Flood would have caused such significant damage to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From an engineering perspective, he stated that the goal of creek restoration after a flood is to increase the capacity of the channel for future flows. This is usually done by reinforcing its banks and removing aggradated sediment. In this case, widening the creek would not have been possible because it would have encroached on private property. Thus, it was even more important in this case that proper engineering measures respecting the Works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his opinion, Condition 'C' in the McLaughlin Bridge Approval requiring Works to be designed by a "qualified professional engineer" meant that an engineer with qualifications related to the </w:t>
      </w:r>
      <w:r>
        <w:rPr>
          <w:rFonts w:ascii="arial" w:eastAsia="arial" w:hAnsi="arial" w:cs="arial"/>
          <w:i/>
          <w:color w:val="000000"/>
          <w:sz w:val="20"/>
          <w:lang w:val="en-US" w:eastAsia="en-US" w:bidi="ar-SA"/>
        </w:rPr>
        <w:t>issue at hand</w:t>
      </w:r>
      <w:r>
        <w:rPr>
          <w:rFonts w:ascii="arial" w:eastAsia="arial" w:hAnsi="arial" w:cs="arial"/>
          <w:color w:val="000000"/>
          <w:sz w:val="20"/>
          <w:lang w:val="en-US" w:eastAsia="en-US" w:bidi="ar-SA"/>
        </w:rPr>
        <w:t xml:space="preserve"> (namely reinstalling a bridge over a creek prone to debris floods) needed to be retained. This meant that Mr. McLaughlin needed to involve a hydrotechnical engineer - not a structural engineer. In his opinion, any engineer qualified in hydrology who visited the site would have recognized it was on an alluvial fan and posed serious problems. That engineer would have recognized that rebuilding the bridge 0.6 metres higher was insufficient and that the height should have been raised, at a minimum, a further 1.4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Mr. LaCas' opinions were based on hydraulic modelling that simulated flows in Sicamous Creek at the peak of the flood. The modelling he used included photographic evidence of the 2012 Flood as data input. This became an area of criticism from defence experts because it was their view that his modelling did not take into account any sedimentation that may have occurred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the flood peaked. Mr. LaCas disagreed. Similar to Dr. Church, Mr. LaCas' opinion was that, during its peak, the flow of Sicamous Creek had more than enough power to prevent any sedimentation in the channel.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LaCas also disagreed with the defence suggestion that the standing high lake water would have acted as a brake, slowing down the flow and causing aggradation to occur upstream (known as the "backwater effect"). In his view, because the flow was "supercritical", the high momentum and velocity of the jetted flow would have flushed everything into Mara Lake and there would have been no backwater effect but for the Blockage.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Dr. Russell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Smith is a hydrologist and professional engineer. He was qualified as an expert in the following areas: snowpack and runoff hydrological modeling in mountainous catchments areas (particularly in the interior of British Columbia), flood frequency analysis, and field monitoring of hydrological, hydrometric and meteorological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was asked by the plaintiffs to determine, to the best of his knowledge, what happened during the 2012 Flood in terms of timing and volume of the water flow in Sicamous Creek. Specifically, he was asked to:</w:t>
      </w:r>
      <w:r>
        <w:rPr>
          <w:rFonts w:ascii="arial" w:eastAsia="arial" w:hAnsi="arial" w:cs="arial"/>
          <w:sz w:val="20"/>
          <w:lang w:val="en-US" w:eastAsia="en-US" w:bidi="ar-SA"/>
        </w:rPr>
        <w:cr/>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clear water hydrograph from 12:00 pm on June 23, 2012 to 12:00 am on June 25, 2012;</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long-term hydrograph covering 1997 through 2017; and</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Calculate the time period for the 2012 Flood based on the annual maximum flows produced by the long-term hydrograph.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Using modelling software known as "Raven", Dr. Smith attempted to simulate what happened during the 2012 Flood to, in effect, duplicate the event (using his own data collected in 2017 from the field as well as data available to him through other sources). In crafting the model, he relied on the science of hydrology along with his own experience, knowledge and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Even though his models did not consider input channel roughness, channel geometry, channel slope, water slope or any backwater effect, Dr. Smith was confident that his models produced a rough approximation of flow volume and timing during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prepared two reports. The first is dated November 30, 2017. On the eve of submitting it, he realized there was a one-hour time lag in his modelling because he did not account for daylight savings time. That was corrected resulting in his second report dated January 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was subjected to a lengthy, intense and skillful cross-examination by Mr. Weintraub. Dr. Smith defended his opinion in a passionate and persuasive manner. He acknowledged the frailties of modelling in general and conceded that no model is perfect. As he stated: "all models are wrong, but some are useful". No model can perfectly represent or recreate the environment, but through careful analysis and exercising sound judgment during parameterization, models can be valuable tools for understanding hydrological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Smith's modelling results were adopted by Dr. Church and Mr. LaCas as bases for their opinions. In other words, they relied on Dr. Smith's hydrographs and extrapolated their opinions from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Defendants'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jointly called two liability experts, Dr. Matthias Jakob and Dr. Younes Alila. Each were qualified in their respective fields.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Dr. Matthias Jakob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Jakob was qualified as an expert in hydro-geomorphic processes, debris flood hazard/risk assessment, watershed and hillslope geomorphology, fluvial and mass movement sedimentology, alluvial fan evolution, and hydrology and hydraulic modelling.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focus of Dr. Jakob's work is assessing steep creek hazards and risks. This requires extensive knowledge of fluvial sedimentology and alluvial fan evolution. He has studied these issues in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was asked to critique the expert reports and testimony of Dr. Church and Mr. LaCas. Interestingly, Dr. Jakob and Dr. Church are colleagues and have collaborated on and published a number of peer-reviewed articles together. Dr. Jakob acknowledged that Dr. Church is highly qualified in fluvial geomorphology. He agreed with Dr. Church's competence calculations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Jakob did, however, take issue with two aspects of Dr. Church's evidence. His first point of contention is that Dr. Church relied on Mr. LaCas' cross-sections, which Dr. Jakob believed were unreliable. Among other criticisms, he pointed out that Mr. LaCas did not consider the possibility of aggradation in the channel before peak flow whereas Dr. Jakob believed that pre-peak flow aggradation must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Another point of contention was Dr. Church's opinion that prior to the Blockage, the flow was flushing all sediment into deep water and no aggradation was occurring in the channel. To the contrary, Dr. Jakob believed that aggradation was occurring prior to the Blockage, in turn causing a strong backwater effect from the lake upstream to the McLaughlin Bridge. As more material was transported by the ever-increasing flow, more material was introduced into the channel, thus adding to the channel backfilling. He believes that the channel would have been infilled with rock, sediment and other material by natural processes completely independent of the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not ruling out Dr. Church's theory (that sediment, rock and other debris were propelled over the McLaughlin Bridge thus explaining the sizable amount of material that ended up downstream of the bridge), Dr. Jakob preferred his own theory that a majority of the sedimentation downstream of the McLaughlin Bridge occurred before the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was his belief that the process of progressive erosion widened the channel upstream of the Highway 97A Bridge. As the channel widened, the flow changed from a deep, fast flow to a shallower, slower flow. According to Dr. Jakob, this caused infilling of the channel through aggradation. At the same time, the velocity of the flow was constricted by channel narrowing at the Highway 97A Bridge, which further contributed to the channel infilling process. To illustrate his point, he used the analogy of four lanes of vehicles merging into one: the velocity of the vehicles must slow down in order to merge. Similarly, the velocity of the stream must slow down as it reaches the opening under the Highway 97A Bridge - as it does, it can no longer carry heavier rocks and sediment which drop to the creek bed causing it to infill.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these two processes occurred, the sediment pushed the creek onto the north side causing it to erode and overflow ultimately creating Avulsion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Although he agreed it was theoretically possible, Dr. Jakob rejected Dr. Church's hypothesis that a 390 metre long sediment wedge was formed in the channel upstream of the McLaughlin Bridge following the Blockage that caused Avulsion 'D'. At best, he believes that such a sediment wedge might have reached the Highway 97A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Jakob also disagreed with Dr. Smith's calculations, largely due to the different methodology and parameters used by Dr. Smith. Dr. Jakob used a "field approach" whereas Dr. Smith used a "rainfall runoff" approach. In the result, Dr. Jakob's flow calculations were substantially higher than those determined by Dr. Smith. Dr. Smith's calculations were relied upon by Mr. LaCas in his analysis and then further relied upon by Dr. Church who used Mr. LaCas' results to form his opinions. Dr. Jakob's point is that because Dr. Smith's calculations were flawed, the reports and opinions that relied on those calculations are also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sum, Dr. Jakob's opinion is that the damage suffered to the Vinco Property was inevitable given the magnitude of the debris flood. He believes that Avulsion 'D' is unrelated to the McLaughlin Bridge and Channel Restoration. Additionally, because Mara Lake was so high at the time, he believes Avulsion 'A' would have occurred even in the absence of the McLaughlin Bridge. He agreed, however, that some of the flooding caused by Avulsion 'A' was probably enhanced by the Blockage.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Dr. Younes Alila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Alila is a professional engineer and professor of hydrology at the Faculty of Forestry at the University of British Columbia. He was qualified as an expert in event-based and long-term hydrological modelling. Dr. Alila was retained to review and critique the reports of Dr. Smith and Mr. LaCas.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While he has no personal experience with the specific modelling program used by Mr. LaCas, he has vast experience in modelling generally. He had no quarrel with Dr. Church's report and generally did not comment on it (his one area of disagreement was that Dr. Church relied on the peak flow analyses provided by Mr. LaCas and Dr. Smith). He agreed that Dr. Church's opinion was outside his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Alila visited the lower fan of Sicamous Creek in April 2016, spending a number of hours touring the delta. He did not go into the watershed. He did not take any measurements nor did he record any observations such as tree height, species, slope gradients, slope aspects, or soil - all of which he agreed have features important to understanding the watershed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Nonetheless, he was critical of Dr. Smith's predictions largely because, in his view, Dr. Smith's modelling was highly dependant on unreliable and suspect inputs and calibrations. Consequently, Dr. Alila's opinion was that Dr. Smith's predicted flows for the 2012 Flood were invalid.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 overall integrity of the entire modeling exercise conducted by [Dr. Smith] is highly questionable, as it suffers from the [garbage in, garbage out] syndrome as </w:t>
      </w:r>
      <w:r>
        <w:rPr>
          <w:rFonts w:ascii="arial" w:eastAsia="arial" w:hAnsi="arial" w:cs="arial"/>
          <w:i/>
          <w:color w:val="000000"/>
          <w:sz w:val="20"/>
          <w:lang w:val="en-US" w:eastAsia="en-US" w:bidi="ar-SA"/>
        </w:rPr>
        <w:t>'nonsense input data produces nonsense output or garbage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that leads to '</w:t>
      </w:r>
      <w:r>
        <w:rPr>
          <w:rFonts w:ascii="arial" w:eastAsia="arial" w:hAnsi="arial" w:cs="arial"/>
          <w:i/>
          <w:color w:val="000000"/>
          <w:sz w:val="20"/>
          <w:lang w:val="en-US" w:eastAsia="en-US" w:bidi="ar-SA"/>
        </w:rPr>
        <w:t>arguments [that] are unsound if their premises are flawed'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his opinion, it was impossible to determine whether the creek's discharge (as seen from the photographs) would be higher or lower than Dr. Smith's models without further reference to detailed hydraulic modeling of the entire reach of Sicamous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seven points of disagreement Dr. Alila had with Dr. Smith's opinion can be summarized as follows:</w:t>
      </w:r>
      <w:r>
        <w:rPr>
          <w:rFonts w:ascii="arial" w:eastAsia="arial" w:hAnsi="arial" w:cs="arial"/>
          <w:sz w:val="20"/>
          <w:lang w:val="en-US" w:eastAsia="en-US" w:bidi="ar-SA"/>
        </w:rPr>
        <w:cr/>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made errors in the coding of radar precipitation that resulted in major amplifications on the predictions of the 1997 and 2012 flood flows. As a result, the Raven model predictions were inflated by over 76% and are therefore unreliable.</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used measured flows in 2017 to calibrate the Raven model. By exaggerating the amount of rain over the Sicamous watershed using radar, the entire calibration process was compromised.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Raven model suffers from "overfitting"/"over-parameterizations". Put another way, the greater the number of parameters being used, the greater the chance for inaccuracy. Dr. Smith compared field measurements in 2017 with Raven predictions using various calibrations and he picked the one he thought was the best fit. Using this method, there is no assurance that the predictions are real or accurate.</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did not validate the Raven model by using the accepted "split-sample experiment" which he says is crucial to building confidence in model.</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used the Raven model to simulate 2017 flows and compared them to his observed field measurements. When the two were close, he decided the Raven parameters would be used for his other predictions. According to Dr. Alila, this method is only valid for predicting low and moderate flows, not peak flows. In Dr. Alila's view, it was improper to extrapolate the model to predict peak flows the way that Dr. Smith did.</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determined that the best fit for the 2012 Flood corresponded to the Radar Medium scenario using the process of elimination. He incorrectly eliminated Radar High, Radar Low and two other scenarios on the basis of his professional judgment, however there were too many unknown and uncertain variables in the process for him to have validly selected Radar Medium to the exclusion of others. The range of rain provided by Environment Canada through radar is not meant to be interpreted as a probability precipitation.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Dr. Alila similarly had misgivings regarding Mr. LaCas' opinions. There are essentially two areas of disagreement Dr. Alila has with Mr. LaCas' opinion: (1) how he coded the geometry of the Sicamous Creek channel, and (2) his selection of what is known as the "Manning </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coefficient" relating to channel roughness. Getting both of these criteria correct, he says, is critical to a model's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 criticized Mr. LaCas for an alleged lack of transparency in his calculations. According to Dr. Alila, the calculations lacked detail and left him guessing as to how he arrived at some of his conclusions. Further, he was critical of Mr. LaCas for making professional "judgment calls" in parameterizing his model. Further, Mr. LaCas had not performed a "sensitivity analysis", which Dr. Alila believed was necessary. As he put it, "the devil is in the detail" and the detail was not put into the models.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My impression of Dr. Alila's critique was that he expecting scientific certainty. Therefore, because Dr. Smith and Mr. LaCas exercised a certain degree of discretion, their opinions were not valid. As explained later in these reasons, however, scientific certainty is not the goal in these types of models. Rather, models are prediction tools. Scientific certainty is also not the standard of proof required to decide the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color w:val="000000"/>
          <w:sz w:val="20"/>
          <w:u w:val="single"/>
          <w:lang w:val="en-US" w:eastAsia="en-US" w:bidi="ar-SA"/>
        </w:rPr>
        <w:t>THE 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plaintiffs summarize their claim as follows:</w:t>
      </w:r>
      <w:r>
        <w:rPr>
          <w:rFonts w:ascii="arial" w:eastAsia="arial" w:hAnsi="arial" w:cs="arial"/>
          <w:sz w:val="20"/>
          <w:lang w:val="en-US" w:eastAsia="en-US" w:bidi="ar-SA"/>
        </w:rPr>
        <w:cr/>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defendants' knowledge, the channel opening under the McLaughlin Bridge was woefully inadequate. Had it been properly designed by a qualified professional engineer, the Blockage would not have occurred and the damage caused by the 2012 Flood would have been minimal and/or non-existent;</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McLaughlin Bridge was reinstalled, all three defendants exercised control over its height but nobody took responsibility for its proper design. Instead, they turned a blind eye to the issues involving the McLaughlin Bridge's height;</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McLaughlin Bridge Replacement and the Channel Restoration were complex, risky activities that should have been carried out with design and construction oversight from a qualified professional engineer. Failure to engage a qualified professional engineer resulted in a channel that was materially smaller (both in terms of depth and width) than the pre-1997 Flood channel and in an inadequate opening under the McLaughlin Bridge;</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all knew, or ought to have known, that their failure to engage a qualified professional engineer in the design of the Works would likely result in severe flooding and damage to the Vinco Property;</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members of a reasonably foreseeable class of persons that could be affected by future flooding, the defendants owed the plaintiffs a duty of care to ensure the Works were properly designed;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Specifically, the Province in turning a blind eye to the fact that the Works would be completed without satisfying the mandatory Approval conditions acted in bad faith and therefore cannot hide behind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's privative clause;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Channel Restoration and the McLaughlin Bridge Replacement were not performed in accordance with the strict conditions set out in the Approvals and improper shortcuts were taken. Therefore, the provisions of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make the McLaughlins and the District strictly liable to the plaintiffs for the 2012 Flood damage; and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2012 Flood was not an overwhelming flood. Thus, but for the failure of the District, the McLaughlins, and the Province to ensure the Works were properly designed and constructed, the 2012 Flood would have passed with, at worst, only minor damage to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plaintiffs make these key points in support of their claims: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completion of the Works, the Sicamous Creek channel at the McLaughlin Bridge was shallower and narrower than it was before the 1997 Flood. In other words, the McLaughlin Bridge was reinstalled closer to the bed of Sicamous Creek than it had been prior;</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District not crowded the channel with round riprap, it would have been wider. Further, had the District dredged the creek closer to its original elevation, it would have been deeper and the Truck would have passed and the Blockage would not have occurred. Following the Channel Restoration, the channel was, in the words of Mr. Doyle, "way too constricted, way too narrow";</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Truck arrived, the 2012 Flood had effectively reached its peak and was fully contained within the Sicamous Creek channel;</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experts should be preferred because they were better qualified and more engaged than the defendants' experts with the evidence of what happened during the 2012 Flood;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eyewitness, video and photographic evidence supports the plaintiffs' theory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further submit that causation of the damage to the Vinco Property is established with respect to the Works for the following reasons: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reconstructed banks and bed of the Sicamous Creek were not hydraulically stable or adequately protected from erosion. As predicted by Mr. Doyle, this caused the bed and banks to be mobilized by the flood waters thus exacerbating the Blockage and, in turn, the subsequent infilling of the channel;</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Blockage was the cause of the overbank flow that rapidly eroded the north bank and significantly exacerbated Avulsion 'A'; and</w:t>
      </w:r>
    </w:p>
    <w:p>
      <w:pPr>
        <w:numPr>
          <w:numId w:val="7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Avulsion 'D' was a direct result of the upstream channel infilling caused by the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Waterway says all three defendants are to be blamed for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Defendants' Positions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defendants say that the 2012 Flood was so massive that it would have overwhelmed the channel in any event of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say that the backwater effect caused by the high level of Mara Lake resulted in substantial aggradation upstream to the point that the channel would have been almost fully infilled and flooding of the Vinco Property would have occurred regardless of the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defendants all say that even if Avulsion 'A' can be attributed to the Blockage, by far the most severe damage caused to the Vinco Property was due to Avulsion 'D' which was completely unrelated to Blockage and caused by naturally occurring phenomenon. They argue that Sicamous Creek was almost fully infilled right up to the McLaughlin Bridge before the Blockage occurred and thus, there was no room in the channel for the substantial flow of the creek in any event. They say that debris and the Truck may have exacerbated the Blockage but did not cause Avulsion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Province's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Province does not dispute that Waterway suffered damages from the 2012 Flood. It does dispute, however, that it owed a duty of care to any of the plaintiffs or that the plaintiffs can maintain a successful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against it. At all times, the Province maintains that it acted well within its statutory responsibilities and authority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PEP.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Province says that the Sicamous Creek is an active alluvial fan and as such, the risks of such a flood were inherent to anyone owning property or locating a business in that area. The plaintiffs knew of and voluntarily assumed that risk when they relocated Waterway to the Vinco Property. Indeed, as a result of commissioning the EBA Reports in 2007, Vinco and Waterway knew there was a moderate to high risk of a debris flood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Waterway complains that the Province's actions in allowing the McLaughlin Bridge Replacement and the Channel Restoration stepped outside the four corners of its statutory responsibilities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Emergency Program Act</w:t>
      </w:r>
      <w:r>
        <w:rPr>
          <w:rFonts w:ascii="arial" w:eastAsia="arial" w:hAnsi="arial" w:cs="arial"/>
          <w:color w:val="000000"/>
          <w:sz w:val="20"/>
          <w:lang w:val="en-US" w:eastAsia="en-US" w:bidi="ar-SA"/>
        </w:rPr>
        <w:t>. The Province says, to the contrary, that its actions in 1997 and 1998 were part of a legitimate response to an emergency situation impacting local properties and infrastructure. This, the Province submits, was well within its mandate and consistent with its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Province says that the plaintiffs are attempting to assert a positive duty on the Province to assume responsibility for the design of the Works. This, the Province says, cannot be sustained because its function was merely as a public regulator and benefit provider - not as a party close enough in proximity to create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Further, the Province submits that this Court should not second-guess Mr. Doyle's judgment who at all times was acting in a quasi-judicial decision-making function as a regulator. Given the unique, institutional role of approving officers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the broad discretion they are afforded, the Province submits that it would be wrong for this Court to adopt the standards as suggested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Province is not an insurer for damages caused by floods. It provides some financial assistance to qualifying businesses and persons under the PEP, but the scope of that funding is limited to prescribed eligible expenses. Generally, financial assistance is available to restore property to its pre-flood condition. It does not fund enhancements or new flood protection infrastructure.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Even if a duty of care is found, the Province submits that the standard of care cannot, as the plaintiff suggests, be a "best practises of a consulting qualified professional engineer"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Even further, the Province says that the plaintiffs have failed to prove causation on a "but for" standard. The Province says that the consensus between the experts is that even without the presence of the McLaughlin Bridge, the Vinco Property would have been heavily impacted by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Province relies on the defence experts who say:</w:t>
      </w:r>
      <w:r>
        <w:rPr>
          <w:rFonts w:ascii="arial" w:eastAsia="arial" w:hAnsi="arial" w:cs="arial"/>
          <w:sz w:val="20"/>
          <w:lang w:val="en-US" w:eastAsia="en-US" w:bidi="ar-SA"/>
        </w:rPr>
        <w:cr/>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high water level of Mara Lake created the backwater effect that extended to the McLaughlin Bridge causing sediment to be deposited in the channel to the point that the flow exceeded the channel capacity and overflowed its banks;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avulsions were unrelated to the Blockage, each occurring as the result of local sedimentation in the channel bed and/or flow blockage/constriction at the Highway 97A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hypothetical "non-negligent" conduct suggested by the plaintiffs would have required the Province to:</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pre-1997 Flood cross-sections of Sicamous Creek prepared prior to the Channel Restoration;</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Insist that the District approve the reconstruction of the McLaughlin Bridge;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Mr. McLaughlin to have the bridge designed by a qualified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Province says that there simply has been no causal link between these requirements and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Alternatively, if causation is found, damages to be assessed against the Province should be nominal. The Province relies on Dr. Jakob's theory of the event that the Vinco Property would have suffered damage regardless.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Finally, the Province submits that the losses claimed for pure economic losses by the Individual Houseboat Owners are not recoverable as a matter of law. Further, their claim for relational economic loss also fails because they do not fall within one of the exceptions to the general rule that pure economic loss is not recoverable: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xml:space="preserve"> at paras. 36-38.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The District's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District adopts the Province's submissions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District says that Mr. Doyle's balancing of the various competing interests was a proper exercise of his discretion and his mode of proceeding cannot be challenged by the plaintiffs. That balancing is distilled in the Approvals and is protected by the </w:t>
      </w:r>
      <w:r>
        <w:rPr>
          <w:rFonts w:ascii="arial" w:eastAsia="arial" w:hAnsi="arial" w:cs="arial"/>
          <w:i/>
          <w:color w:val="000000"/>
          <w:sz w:val="20"/>
          <w:lang w:val="en-US" w:eastAsia="en-US" w:bidi="ar-SA"/>
        </w:rPr>
        <w:t>Water Act's s.</w:t>
      </w:r>
      <w:r>
        <w:rPr>
          <w:rFonts w:ascii="arial" w:eastAsia="arial" w:hAnsi="arial" w:cs="arial"/>
          <w:color w:val="000000"/>
          <w:sz w:val="20"/>
          <w:lang w:val="en-US" w:eastAsia="en-US" w:bidi="ar-SA"/>
        </w:rPr>
        <w:t xml:space="preserve"> 49 privative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Further, the evidence shows that whatever the District was obliged to do under the Channel Restoration Approval, it did within its four corners of its statutory and legal duties and within the physical and economic constraints it faced. For the District to have done more would have amounted to a breach of the Approval conditions and a possible actionable trespass on the land of the Province and the land of the private owners. Given the physical constraints, the channel could not realistically have been dredged any deeper or made any wider than the Approval permitted. The fact of the matter was that the channel was "way too constricted, way too narrow". There was nothing other than a full scale reconstruction of Sicamous Creek that could have solved the problem. Such a construction was well beyond the District's mandate and ability to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Initially, Mr. Doyle requested cross-sections from the District. The District concedes they were not forthcoming. Though the plaintiffs say that the District should be faulted for this, the District argues that the pre-1997 Flood Sicamous Creek cross-sections were not known with precision and would have been approximated in any event. When Mr. Doyle attended the February 28, 1998 site meeting, he was apparently content to rely on the rudimentary Harding Sketches. Mr. Doyle could have insisted on the cross-sections but exercised his discretion not to. In any event, s.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refers to "conditions in writing". There was no condition that cross-sections be provided. The Approval gave no dimensions and only stated that the channel could not be dredged more than one metre.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Further, it is not reasonable to expect an approval holder to guess what conditions in an approval mean. Section 41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imposes stiff civil and criminal sanctions for breaching an order or condition and it would be grossly unfair to imply conditions that were not explicitly set in writing. In situations where there are penal consequences, the orders and conditions must be construed narrowly. Conditions cannot be added by implication: </w:t>
      </w:r>
      <w:r>
        <w:rPr>
          <w:rFonts w:ascii="arial" w:eastAsia="arial" w:hAnsi="arial" w:cs="arial"/>
          <w:i/>
          <w:color w:val="000000"/>
          <w:sz w:val="20"/>
          <w:lang w:val="en-US" w:eastAsia="en-US" w:bidi="ar-SA"/>
        </w:rPr>
        <w:t>Bell ExpressVu Limited Partnership v. Rex</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On their face, the Approvals were ambiguous in terms of what the District and the McLaughlins were required to do in the circumstances.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requires that any ambiguities be construed in favor of the District and the McLaughlins.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District asserts that it was merely an Approval holder and reminds the Court that it was not an owner of Sicamous Creek or of the land on either side of the McLaughlin Bridge. Without the issuance of the Approval, the District had no obligation to be involved in the post-1997 Flood remediation efforts. Therefore, its obligations are confined to the terms and conditions of the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It argues that to make the creek deeper and wider would have required professional engineering. This would have, in effect, meant that the District would have had to question the wisdom of the orders issued by Mr. Doyle and the conditions he deemed advisable. They were not required to do so. Section 21 requires only that they take reasonable care in the works performed in accordance with the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District summed up the plaintiffs' case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extra work sought by the plaintiffs is inconsistent with the Province's mandate. There is no ability for this court to conclude this extra work would ever have been approved under the Water Act and therefore could not be completed without committing an offence under the Water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truth, this is the heart of the plaintiffs' claim. Their complaint traces back to this very beginning; The Province, with knowledge of the risk to the Vinco property, simply should have expanded its mandate and the available financial resources. Without an expansion of that mandate, none of the work the plaintiffs say should have been performed could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Finally, the District agrees with the Province that the Individual Houseboat Owners have no ability to claim in public or private nuisance because they are not landowners and have no legal interest in the Vinco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The McLaughlins'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McLaughlins also adopt the Province's submissions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They say that the bridge height was a matter negotiated between the Province and the District to their exclusion. They submit that they simply performed the requirements imposed on them as they understood them and that their conduct was reasonable throughout. They argue that:</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prove that "but for" the McLaughlin Bridge, their damage would not have happened;</w:t>
      </w:r>
    </w:p>
    <w:p>
      <w:pPr>
        <w:numPr>
          <w:numId w:val="8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must be read conjunctively and therefore, the McLaughlins are only responsible for damage if they are found not to have exercised reasonable care;</w:t>
      </w:r>
    </w:p>
    <w:p>
      <w:pPr>
        <w:numPr>
          <w:numId w:val="8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of s. 21, they cannot be held liable because the defence of statutory authority protects them from strict liability. This defence is based on the fact that the bridge re-installation was authorized because there was no other practical alternative to provide them with access to their property;</w:t>
      </w:r>
    </w:p>
    <w:p>
      <w:pPr>
        <w:numPr>
          <w:numId w:val="8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Principles surrounding public welfare offences and punishment ought not to be inflicted on those who act reasonably and are without fault;</w:t>
      </w:r>
    </w:p>
    <w:p>
      <w:pPr>
        <w:numPr>
          <w:numId w:val="8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failed to act reasonably by relocating their business to the Vinco Property in the face of significant and known risks. If any liability is found, Vinco and Waterway should be found contributorily negligent; and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Save for Vinco and Waterway, the plaintiffs have no standing to sue for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McLaughlins contend that in any event of my interpretation of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their actions were reasonable and they are entitled to the defence of due diligence. They argue that even if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imposes strict liability, it should be treated as a public welfare offence of a civil nature and punishment should not be inflicted on them: </w:t>
      </w:r>
      <w:r>
        <w:rPr>
          <w:rFonts w:ascii="arial" w:eastAsia="arial" w:hAnsi="arial" w:cs="arial"/>
          <w:i/>
          <w:color w:val="000000"/>
          <w:sz w:val="20"/>
          <w:lang w:val="en-US" w:eastAsia="en-US" w:bidi="ar-SA"/>
        </w:rPr>
        <w:t>R. v. Sault Ste. Marie (City)</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VIII.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at the forefront of this case. It is a statute that has been on the books since at least the early 1900s and has evolved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simple terms, it vests ownership of all provincial waters (including streams, rivers and creeks) in the Province and provides that any construction completed in or around provincial waterways must be approved by the Province and completed in accordance with any conditions or terms set by the Province. Failure to perform work on those conditions can attract liability for any damage caused by works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relevant definitions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as it existed in 1997 and 1998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"approval" means an approval of the ...engineer under section...9;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"changes in and about a stream" means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modification to the nature of a stream...or flow of water within a stream, or</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activity or construction within the stream channel that has or may have an impact on a stream;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"engineer" means a professional engineer employed by the government and designated in writing by the comptroller as an engineer and includes a regional water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"owner" means a person entitled to possession of any land...and includes a person who has a substantial interest in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"stream channel" means the bed of a steam and the banks of a stream, whether above or below the natural boundary and whether usually containing water or not, including all side channels;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"works"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obstructions placed in or removed from streams banks or beds of streams, and</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in and about a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relevant sections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as it existed in 1997 and 1998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property in and the right to the use and flow of all the water at any time in a stream in British Columbia are for all purposes vested in the government.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...an engineer may grant an approval in writing authorizing on the conditions he or she considers advisable</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to make changes in and about a stream .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 ... person ... may only make changes in and about a stream in accordance with an approval under this section.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...an engineer may amend an approval granted under section 9, on the conditions he or she considers advisable.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A licensee, holder of an approval or person who makes a change in and about a stream in accordance with the regulations must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reasonable care to avoid damaging land, works, trees or other property, and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full compensation to the owners for damage or loss resulting from construction, maintenance, use, operation or failure of the works.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In addition to all other powers given under this Act... an engineer may do one or more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repair, alteration, improvement, removal of or addition to any works:</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restoration or remediation of any changes in and about a stream; .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An order under subsection (1) may be made subject to any conditions the engineer considers advisable.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An action may not be brought against ... a[n] engineer ...for anything done or left undone by that person in good faith in the performance or intended performance of an authority conferred or duty imposed under this Act or the regulations.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 . . a[n] . . . order of . . . [an] engineer must not be questioned, reviewed or restrained by . . . a proceeding . . . in any court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For the purposes of this case, ss. 9 and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are especially relevant. Section 9 authorizes the Province's engineer to approve works in or around a stream on conditions he or she </w:t>
      </w:r>
      <w:r>
        <w:rPr>
          <w:rFonts w:ascii="arial" w:eastAsia="arial" w:hAnsi="arial" w:cs="arial"/>
          <w:i/>
          <w:color w:val="000000"/>
          <w:sz w:val="20"/>
          <w:lang w:val="en-US" w:eastAsia="en-US" w:bidi="ar-SA"/>
        </w:rPr>
        <w:t>considers advisable</w:t>
      </w:r>
      <w:r>
        <w:rPr>
          <w:rFonts w:ascii="arial" w:eastAsia="arial" w:hAnsi="arial" w:cs="arial"/>
          <w:color w:val="000000"/>
          <w:sz w:val="20"/>
          <w:lang w:val="en-US" w:eastAsia="en-US" w:bidi="ar-SA"/>
        </w:rPr>
        <w:t xml:space="preserve">. Section 21 imposes liability on a holder of an approval issued under s. 9 to make </w:t>
      </w:r>
      <w:r>
        <w:rPr>
          <w:rFonts w:ascii="arial" w:eastAsia="arial" w:hAnsi="arial" w:cs="arial"/>
          <w:i/>
          <w:color w:val="000000"/>
          <w:sz w:val="20"/>
          <w:lang w:val="en-US" w:eastAsia="en-US" w:bidi="ar-SA"/>
        </w:rPr>
        <w:t>full compensation</w:t>
      </w:r>
      <w:r>
        <w:rPr>
          <w:rFonts w:ascii="arial" w:eastAsia="arial" w:hAnsi="arial" w:cs="arial"/>
          <w:color w:val="000000"/>
          <w:sz w:val="20"/>
          <w:lang w:val="en-US" w:eastAsia="en-US" w:bidi="ar-SA"/>
        </w:rPr>
        <w:t xml:space="preserve"> to owners (as defined in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for damage caused by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It is on the backdrop of these two sections that the plaintiffs claim full compensation for the damage caused by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photographic and video evidence along with the oral testimony I have heard leaves no doubt that the term "catastrophic" is an apt description of the 2012 Flood. It caused devastating damage not only to the Vinco Property and Waterway business, but to Highway 97A, the Highway 97A Bridge and numerous other properties bordering Sicamous Creek. It was similar in nature but more severe than the 1997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Distilled for simplicity, the 1997 Flood was caused by substantial debris piling up against the upstream side of the former McLaughlin Bridge causing water to breach the banks of Sicamous Creek. The flooding was significant enough that a decision was made to remove the former McLaughlin Bridge entirely to allow the debris and flood waters to discharge into Mara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After the 1997 Flood, Mr. Doyle foresaw the problem with the reinstallation of the McLaughlin Bridge because of its "terrible" location over a creek channel that from a potential flooding perspective was already compromised. As an engineer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Mr. Doyle was called upon to use his engineering judgment and consider other relevant factors such as available PEP funding, the reconstruction of Mervyn Road and the rights of the McLaughlins and the Maurers. Faced with significant physical and economic obstacles, Mr. Doyle actively worked with the stakeholders to come up with a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plaintiffs' claim is essentially that Mr. Doyle allowed for a minimal "Band-Aid" solution to a larger problem that he knew would arise in the future. By issuing the Approvals against his better judgment, Mr. Doyle breached the duty of care he owed the plaintiffs as future adjacent property and business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plaintiffs say that Mr. Doyle's decisions respecting the Approvals were not in accordance with what he "</w:t>
      </w:r>
      <w:r>
        <w:rPr>
          <w:rFonts w:ascii="arial" w:eastAsia="arial" w:hAnsi="arial" w:cs="arial"/>
          <w:i/>
          <w:color w:val="000000"/>
          <w:sz w:val="20"/>
          <w:lang w:val="en-US" w:eastAsia="en-US" w:bidi="ar-SA"/>
        </w:rPr>
        <w:t>considered advisable</w:t>
      </w:r>
      <w:r>
        <w:rPr>
          <w:rFonts w:ascii="arial" w:eastAsia="arial" w:hAnsi="arial" w:cs="arial"/>
          <w:color w:val="000000"/>
          <w:sz w:val="20"/>
          <w:lang w:val="en-US" w:eastAsia="en-US" w:bidi="ar-SA"/>
        </w:rPr>
        <w:t>" from an engineering perspective. When the Works were not completed to Mr. Doyle's satisfaction, the plaintiffs submit that he took a hands-off/"not my problem" approach, crossed his fingers and closed the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Therefore, as against the Province, at issue is first whether Mr. Doyle's balancing act can be called into question as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 charged with exercising his discretion under s. 9. Secondly, whether Mr. Doyle was obliged to take any action after completion of the Channel Restoration and McLaughlin Bridge Replacement when he was dissatisfied with the results. The resolution of these issues requires consideration of whether the Province owed a duty of care to the plaintiffs, and if so, whether that duty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As against the District and the McLaughlins, at issue is first whether they owed the plaintiffs a duty of care, and if so, whether that duty was breached. Secondly, whether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imposes liability (either in nuisance or as strict liability) upon them for any damage caused by the Channel Restoration and/or the McLaughlin Bridge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If liability is found against any of the defendants, the plaintiffs must then prove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IX. </w:t>
      </w:r>
      <w:r>
        <w:rPr>
          <w:rFonts w:ascii="arial" w:eastAsia="arial" w:hAnsi="arial" w:cs="arial"/>
          <w:b/>
          <w:color w:val="000000"/>
          <w:sz w:val="20"/>
          <w:u w:val="single"/>
          <w:lang w:val="en-US" w:eastAsia="en-US" w:bidi="ar-SA"/>
        </w:rPr>
        <w:t>OVERVIEW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As against the Province, liability in this case can be determined in accordance with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determine this liability, I must establish what duty, if any, Mr. Doyle (as an engineer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owed to the plaintiffs (as future owners and occupiers of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As against the McLaughlins and the District, liability can be determined on the basis of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because they were both approval holders under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Accordingly, I will focus my analysis on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Though not necessary for the disposition of this case, I will nonetheless deal with the issues of nuisance and joint torfeasorship in the event that I am wrong in my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Additionally, the defendants have filed third party notices against each other each seeking contribution and/or indemnity from other defendants in the event that they are found liable. I will deal with these issues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If liability is found against any of the defendants, they assert that Waterway and Vinco must be found contributorily negligent for relocating their business in an area they knew, or ought to have known, to be prone to debris floods. I will also deal with this issue later on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 </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Firstly, whether the Province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are some sub-issues under this part:</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Province owed the plaintiffs a duty of care. This will include foreseeability and proximity analyses.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duty of care, whether the Province breached the standard of care;</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Secondly, whether the McLaughlins and/or the District are liable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Thirdly, whether the plaintiffs have a claim in either public or private nuisance;</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Fourthly, whether the plaintiffs have proven causation; and</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the measure of damages if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 </w:t>
      </w:r>
      <w:r>
        <w:rPr>
          <w:rFonts w:ascii="arial" w:eastAsia="arial" w:hAnsi="arial" w:cs="arial"/>
          <w:b/>
          <w:color w:val="000000"/>
          <w:sz w:val="20"/>
          <w:u w:val="single"/>
          <w:lang w:val="en-US" w:eastAsia="en-US" w:bidi="ar-SA"/>
        </w:rPr>
        <w:t xml:space="preserve">LIABILITY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Conduct is negligent if it creates an unreasonable risk of harm. In measuring whether the risk of harm is an unreasonable one, the Court must balance the danger created by the defendant's conduct on the one hand and the utility of that conduct on the other. If the hazard outweighs the social value of the activity, liability is imposed; if it does not, the defendant is exonerated.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assessing the risk, the Court looks at two components: (1) the chance or likelihood that the harm will culminate, and (2) the gravity or severity of the potential harm that will ensue if the risk unfolds: A. Linden, B. Feldthusen et al.,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11th ed. (Toronto: LexisNexis, 2018) at 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It is well settled that proof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plaintiff to demonstrate that:</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the plaintiff a duty of care;</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behaviour breached the requisite standard of care;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and</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was caused, in fact and in law,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at para. 13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Deloitte &amp; Touche v. Livent Inc. (Receiver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2017 SCC 63</w:t>
      </w:r>
      <w:r>
        <w:rPr>
          <w:rFonts w:ascii="arial" w:eastAsia="arial" w:hAnsi="arial" w:cs="arial"/>
          <w:color w:val="000000"/>
          <w:sz w:val="20"/>
          <w:lang w:val="en-US" w:eastAsia="en-US" w:bidi="ar-SA"/>
        </w:rPr>
        <w:t xml:space="preserve"> at para. 77 [</w:t>
      </w:r>
      <w:r>
        <w:rPr>
          <w:rFonts w:ascii="arial" w:eastAsia="arial" w:hAnsi="arial" w:cs="arial"/>
          <w:i/>
          <w:color w:val="000000"/>
          <w:sz w:val="20"/>
          <w:lang w:val="en-US" w:eastAsia="en-US" w:bidi="ar-SA"/>
        </w:rPr>
        <w:t>Deloitte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test to establish a duty of care was summarized by the Court of Appeal in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at para. 50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test for determining the existence of a private duty of care owed by a public authority is known as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The test requires a court to address the analysis by considering the following series of questions: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sufficiently analogous precedent exist that definitively found the existence or non-existence of a duty of care in these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not;</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suffered by the plaintiff reasonably foreseeable;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yes;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relationship of sufficient proximity between the plaintiff and the defendant such that it would be just to impose a duty of care in these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arises;</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there any residual policy reasons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established in question/step 3, aside from any policy considerations that arise naturally out of a consideration of proximity.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not, then a novel duty of care is found to exist.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Is There a Significantly Analogous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All parties agree that the plaintiffs' allegations do not fall within a settled category that the courts have recognized as giving rise to a duty of care. Accordingly, a full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duty of care analysis is required: </w:t>
      </w:r>
      <w:r>
        <w:rPr>
          <w:rFonts w:ascii="arial" w:eastAsia="arial" w:hAnsi="arial" w:cs="arial"/>
          <w:i/>
          <w:color w:val="000000"/>
          <w:sz w:val="20"/>
          <w:lang w:val="en-US" w:eastAsia="en-US" w:bidi="ar-SA"/>
        </w:rPr>
        <w:t>Deloitte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Rankin (Rankin's Garage &amp; Sales) v. J.J.</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2018 SCC 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Rankin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Was the Harm Suffered by the Plaintiffs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Here, the question is whether it was reasonably foreseeable that the undersized channel opening (caused by a combination of the Channel Restoration and the McLaughlin Bridge Replacement) would result in the Blockage and ensuing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defendants concede that flooding to the Vinco Property was generally within Mr. Doyle's contemplation when he issued the Approvals. After the 1997 Flood, My. Doyle had direct knowledge of the damage that a blockage of the McLaughlin Bridge could cause. He knew the McLaughlin Bridge was a problem and that if the channel opening was not large enough, the problem would be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Therefore, the flooding was reasonably foreseeable. Mr. Doyle recognized that Sicamous Creek was a dormant volcano and that it was a matter of when, not if, it was going to erupt. He foresaw the risk that the Works could, and likely would, result in a blockage of the McLaughlin Bridge causing Sicamous Creek to overflow its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Province denies, however, that Mr. Doyle ought to have realized that the District and the McLaughlins were relying on him as a bridge design engineer as opposed to just a regulator. Citing </w:t>
      </w:r>
      <w:r>
        <w:rPr>
          <w:rFonts w:ascii="arial" w:eastAsia="arial" w:hAnsi="arial" w:cs="arial"/>
          <w:i/>
          <w:color w:val="000000"/>
          <w:sz w:val="20"/>
          <w:lang w:val="en-US" w:eastAsia="en-US" w:bidi="ar-SA"/>
        </w:rPr>
        <w:t>Deloitte</w:t>
      </w:r>
      <w:r>
        <w:rPr>
          <w:rFonts w:ascii="arial" w:eastAsia="arial" w:hAnsi="arial" w:cs="arial"/>
          <w:color w:val="000000"/>
          <w:sz w:val="20"/>
          <w:lang w:val="en-US" w:eastAsia="en-US" w:bidi="ar-SA"/>
        </w:rPr>
        <w:t xml:space="preserve">, the Province argues that the reasonable foreseeability of the McLaughlins' and District's reliance on Mr. Doyle must be determined by the relationship of proximity between the parties and the scope of the Province's undertaking. At para. 35 of </w:t>
      </w:r>
      <w:r>
        <w:rPr>
          <w:rFonts w:ascii="arial" w:eastAsia="arial" w:hAnsi="arial" w:cs="arial"/>
          <w:i/>
          <w:color w:val="000000"/>
          <w:sz w:val="20"/>
          <w:lang w:val="en-US" w:eastAsia="en-US" w:bidi="ar-SA"/>
        </w:rPr>
        <w:t>Deloitte</w:t>
      </w:r>
      <w:r>
        <w:rPr>
          <w:rFonts w:ascii="arial" w:eastAsia="arial" w:hAnsi="arial" w:cs="arial"/>
          <w:color w:val="000000"/>
          <w:sz w:val="20"/>
          <w:lang w:val="en-US" w:eastAsia="en-US" w:bidi="ar-SA"/>
        </w:rPr>
        <w:t>, the Supreme Court of Canada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As a matter of first principles, it must be borne in mind that an injury to the plaintiff in this sort of case flows from the fact that he or she detrimentally relied on the defendant's undertaking, whether it take the form of a representation or the performance of a service. It follows that an injury to the plaintiff will be reasonably foreseeable if (1) the defendant should have reasonably foreseen that the plaintiff would rely on his or her representation; and (2) such reliance would, in the particular circumstances of the case, be reasonable (</w:t>
      </w:r>
      <w:r>
        <w:rPr>
          <w:rFonts w:ascii="arial" w:eastAsia="arial" w:hAnsi="arial" w:cs="arial"/>
          <w:i/>
          <w:color w:val="000000"/>
          <w:sz w:val="20"/>
          <w:lang w:val="en-US" w:eastAsia="en-US" w:bidi="ar-SA"/>
        </w:rPr>
        <w:t>Hercules</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Both the reasonableness and the reasonable foreseeability of the plaintiff's reliance will be determined by the relationship of proximity between the parties; a plaintiff has a right to rely on a defendant to act with reasonable care for the particular purpose of the defendant's undertaking, and his or her reliance on the defendant for that purpose is therefore both reasonable and reasonably foreseeable. But a plaintiff has no right to rely on a defendant for any other purpose, because such reliance would fall outside the scope of the defendant's undertaking. As such, any consequent injury could not have been reasonably foreseeable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conclude that Mr. Doyle's capitulation on the bridge height being "at least 0.6 metres higher" demonstrates that he knew or ought to have known that the District (and through the District, the McLaughlins) would accept that height as design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also conclude that the Province and District expected that the McLaughlins would rely on Mr. Doyle's expertise with respect to the bridge height. Mr. McLaughlin's evidence, which I accept on the point, was that the bridge height issue was a debate that the District and Province were engaged in to his exclusion. He simply wanted his bridge replaced, the details of which were being worked out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While I agree that it was not reasonably foreseeable that the Truck would fall into Sicamous Creek and cause the Blockage, it was reasonably foreseeable that a blockage of some kind would occur, be it by trees, large rocks, or a combination of other debris. That was the reason behind Mr. Doyle's concern with the McLaughlin Bridge height. Future neighbours in the area should have been in Mr. Doyle's mind when he approved the Works.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Was There a Relationship of Sufficient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Foreseeability of harm is not enough to ground a duty of care. The plaintiffs must still establish that there was a sufficiently "close and direct" relationship that makes it "just and fair" to impose a duty of care in law: </w:t>
      </w:r>
      <w:r>
        <w:rPr>
          <w:rFonts w:ascii="arial" w:eastAsia="arial" w:hAnsi="arial" w:cs="arial"/>
          <w:i/>
          <w:color w:val="000000"/>
          <w:sz w:val="20"/>
          <w:lang w:val="en-US" w:eastAsia="en-US" w:bidi="ar-SA"/>
        </w:rPr>
        <w:t>Deloitte</w:t>
      </w:r>
      <w:r>
        <w:rPr>
          <w:rFonts w:ascii="arial" w:eastAsia="arial" w:hAnsi="arial" w:cs="arial"/>
          <w:color w:val="000000"/>
          <w:sz w:val="20"/>
          <w:lang w:val="en-US" w:eastAsia="en-US" w:bidi="ar-SA"/>
        </w:rPr>
        <w:t xml:space="preserve"> at para. 25. These concerns are heightened in claims for economic loss: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Province argues that, in relation to itself and the plaintiffs, the factors giving rise to proximity, if they exist, must arise from statute. The Province argues that nothing in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Emergency Program Act</w:t>
      </w:r>
      <w:r>
        <w:rPr>
          <w:rFonts w:ascii="arial" w:eastAsia="arial" w:hAnsi="arial" w:cs="arial"/>
          <w:color w:val="000000"/>
          <w:sz w:val="20"/>
          <w:lang w:val="en-US" w:eastAsia="en-US" w:bidi="ar-SA"/>
        </w:rPr>
        <w:t xml:space="preserve"> evinces any intent to create a private law duty of care. To the contrary, it says, both statutes contain provisions intended to protect engineering decisions from judicial scrutiny. Therefore, if a duty is found to exist in this case, it must be grounded on the Province's officials acting outside the scope of their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Los Angeles Salad Company Inc. v. Canadian Food Inspection Agency</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2013 BCCA 34</w:t>
        </w:r>
      </w:hyperlink>
      <w:r>
        <w:rPr>
          <w:rFonts w:ascii="arial" w:eastAsia="arial" w:hAnsi="arial" w:cs="arial"/>
          <w:color w:val="000000"/>
          <w:sz w:val="20"/>
          <w:lang w:val="en-US" w:eastAsia="en-US" w:bidi="ar-SA"/>
        </w:rPr>
        <w:t>, at para. 40, Mr. Justice K. Smith outlined three circumstances where a relationship of proximity can exist with respect to government 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 . . First, the relationship may be created in the statute itself, although the Court cautioned that, since statutes are most often "aimed at public goods", it may be difficult to infer that the legislature intended to create private law tort duties, especially where such duties would conflict with the duty to the public and where the public duty is overarching. Next proximity may "arise from a series of specific interactions between the government and the claimant" although, even here, a finding of proximity might have to give way for policy reasons if to recognize it would conflict with the statutory duty. Finally, proximity may be found in a combination of statutory duties and interactions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that case, the Court of Appeal was asked to consider whether federal government food inspectors owed a private law duty of care to sellers of food products. The Court concluded that the statement of claim should be struck for not disclosing a reasonable claim. On the issue of proximity, the Court found that while proximity may be created by the regulator's conduct, it does not typically arise when the regulator is simply discharging its statutory responsibilities in the public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 . . In my view, the clear purpose of the relevant legislative scheme is to protect the health of Canadians by preventing the sale of contaminated food in Canada. To recognize a private law duty of care to food sellers would conflict with that purpose. It would put food inspectors in the untenable position of having to balance the paramount interests of the public with private interests of food sellers and would thereby have a chilling effect on the proper performance of their duties. Thus, the statutory scheme excludes the possibility of sufficient factual proximity to make it just and reasonable to impose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the circumstances of this case: see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(S.C.C.)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Defining the relationship in a proximity analysis may involve looking at expectations, representations, reliances, and the property or other interests involved: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paras. 32-34. Essentially, these are factors that allow the evaluation of the closeness of the relationship between the plaintiff and the defendant and inform whether it is just and fair to impose a duty of care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McLachlin J., as she then was, made the following observations while discussing proximity in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at 1152-1154: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Proximity is the controlling concept which avoids the spectre of unlimited liability. Proximity may be established by a variety of factors, depending on the nature of the case. To date, sufficient proximity has been found in the case of negligent misstatements where there is an undertaking and correlative reliance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where there is a duty to warn (</w:t>
      </w:r>
      <w:r>
        <w:rPr>
          <w:rFonts w:ascii="arial" w:eastAsia="arial" w:hAnsi="arial" w:cs="arial"/>
          <w:i/>
          <w:color w:val="000000"/>
          <w:sz w:val="20"/>
          <w:lang w:val="en-US" w:eastAsia="en-US" w:bidi="ar-SA"/>
        </w:rPr>
        <w:t>Rivtow</w:t>
      </w:r>
      <w:r>
        <w:rPr>
          <w:rFonts w:ascii="arial" w:eastAsia="arial" w:hAnsi="arial" w:cs="arial"/>
          <w:color w:val="000000"/>
          <w:sz w:val="20"/>
          <w:lang w:val="en-US" w:eastAsia="en-US" w:bidi="ar-SA"/>
        </w:rPr>
        <w:t>); and where a statute imposes a responsibility on a municipality toward the owners and occupiers of land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But the categories are not closed. As more cases are decided, we can expect further definition on what factors give rise to liability for pure economic loss in particular categories of cases. In determining whether liability should be extended to a new situation, courts will have regard to the factors traditionally relevant to proximity such as the relationship between the parties, physical propinquity, assumed or imposed obligations and close causal connection. And they will insist on sufficient special factors to avoid the imposition of indeterminate and unreasonable liability. The result will be a principled, yet flexible, approach to tort liability for pure economic loss. It will allow recovery where recovery is justified, while excluding indeterminate and inappropriate liability, and it will permit the coherent development of the law in accordance with the approach initiated in England by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and followed in Canada in </w:t>
      </w:r>
      <w:r>
        <w:rPr>
          <w:rFonts w:ascii="arial" w:eastAsia="arial" w:hAnsi="arial" w:cs="arial"/>
          <w:i/>
          <w:color w:val="000000"/>
          <w:sz w:val="20"/>
          <w:lang w:val="en-US" w:eastAsia="en-US" w:bidi="ar-SA"/>
        </w:rPr>
        <w:t>Rivtow, Kamloops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Hofstrand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add the following observations on proximity. The absolute exclusionary rule adopted in </w:t>
      </w:r>
      <w:r>
        <w:rPr>
          <w:rFonts w:ascii="arial" w:eastAsia="arial" w:hAnsi="arial" w:cs="arial"/>
          <w:i/>
          <w:color w:val="000000"/>
          <w:sz w:val="20"/>
          <w:lang w:val="en-US" w:eastAsia="en-US" w:bidi="ar-SA"/>
        </w:rPr>
        <w:t>Stockton</w:t>
      </w:r>
      <w:r>
        <w:rPr>
          <w:rFonts w:ascii="arial" w:eastAsia="arial" w:hAnsi="arial" w:cs="arial"/>
          <w:color w:val="000000"/>
          <w:sz w:val="20"/>
          <w:lang w:val="en-US" w:eastAsia="en-US" w:bidi="ar-SA"/>
        </w:rPr>
        <w:t xml:space="preserve"> and affirmed in </w:t>
      </w:r>
      <w:r>
        <w:rPr>
          <w:rFonts w:ascii="arial" w:eastAsia="arial" w:hAnsi="arial" w:cs="arial"/>
          <w:i/>
          <w:color w:val="000000"/>
          <w:sz w:val="20"/>
          <w:lang w:val="en-US" w:eastAsia="en-US" w:bidi="ar-SA"/>
        </w:rPr>
        <w:t>Murphy</w:t>
      </w:r>
      <w:r>
        <w:rPr>
          <w:rFonts w:ascii="arial" w:eastAsia="arial" w:hAnsi="arial" w:cs="arial"/>
          <w:color w:val="000000"/>
          <w:sz w:val="20"/>
          <w:lang w:val="en-US" w:eastAsia="en-US" w:bidi="ar-SA"/>
        </w:rPr>
        <w:t xml:space="preserve"> (subject to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can itself be seen as an indicator of proximity. Where there is physical injury or damage, one posits proximity on the ground that if one is close enough to someone or something to do physical damage to it, one is close enough to be held legally responsible for the consequences. Physical injury has the advantage of being a clear and simple indicator of proximity. The problem arises when it is taken as the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indicator of proximity. As the cases amply demonstrate, the necessary proximity to found legal liability fairly in tort may well arise in circumstances where there is no physical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Viewed in this way, proximity may be seen as paralleling the requirement in civil law that damages be direct and certain. Proximity, like the requirement of directness, posits a close link between the negligent act and the resultant loss. Distant losses which arise from collateral relationships do not qualify for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argue that a proximate relationship exists because the property (then the Beachcomber Campground) along with the property owners (the Maurers) were within the defendants' reasonable contemplation at the time of the Works. Further, they submit that it was within the defendants' reasonable contemplation that the Beachcomber Campground would be sold in the future to a business such as Waterway. They cite several factors in support of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Put briefly, those factors relate to: the Vinco Property's physical proximity (including the physical presence of the Province's representatives on the Vinco Property);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legislative scheme that is intended to benefit persons who may be adversely affected by such changes (which in the plaintiffs' submission, creates a discrete class of persons); and specific interactions between the Province, the District, the Maurers and the McLaughlins that created or contributed to foreseeable risks to those with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defendants counter these submissions. Put briefly, they say that physical proximity does not equate to legal proximity. They say that field investigations are routine and that it is standard practice that Province representatives are physically present onsite. Further, they argue, there is nothing in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that suggests an intention to create a private law remedy against the government. Indeed,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provides an exclusive right of appeal of the regulator's decisions to the Environmental Appeal Board. With respect to the plaintiffs' point about specific interactions, the Province says that the plaintiffs must show that any interactions the Province had with the McLaughlins, the Maurers or the District fell outside its role as regulator in order to establish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defendants argue that as was the case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proximity does not arise in this case and that a finding of proximity would set a dangerous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The plaintiffs say that this case is different than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there were no "specific interactions" to ground the duty of care and therefore the only possible source of duty arose from the statute. They point to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as examples where duties of care arose from "specific interactions" between the government and other parties. Although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dealt with "specific interactions" between the government and the claimant, the plaintiffs point out that the interactions need not be with the claimant directly: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Kamloops (City) v. Nielsen</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Taylor v. Canada (Attorney General)</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2012 ONCA 479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plaintiffs agree that they were unrelated third parties uninvolved with the Works and therefore did not have "specific interactions" with the Province. They therefore rely on the interactions between the Province, the District, the Maurers and the McLaughlins to ground the duty of care saying that those interactions affected them as future owners/occupiers of the then Beachcomber Campground.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Our Court of Appeal very recently revisited the issue of proximity in </w:t>
      </w:r>
      <w:r>
        <w:rPr>
          <w:rFonts w:ascii="arial" w:eastAsia="arial" w:hAnsi="arial" w:cs="arial"/>
          <w:i/>
          <w:color w:val="000000"/>
          <w:sz w:val="20"/>
          <w:lang w:val="en-US" w:eastAsia="en-US" w:bidi="ar-SA"/>
        </w:rPr>
        <w:t>Wu v. Vancouver (City)</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2019 BCCA 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Wu</w:t>
      </w:r>
      <w:r>
        <w:rPr>
          <w:rFonts w:ascii="arial" w:eastAsia="arial" w:hAnsi="arial" w:cs="arial"/>
          <w:color w:val="000000"/>
          <w:sz w:val="20"/>
          <w:lang w:val="en-US" w:eastAsia="en-US" w:bidi="ar-SA"/>
        </w:rPr>
        <w:t>] which was released after the trial in this case but before these reasons were given. The Court discussed the trend in the jurisprudence towards an increasing emphasis on the proximity branch of the duty of care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At issue in </w:t>
      </w:r>
      <w:r>
        <w:rPr>
          <w:rFonts w:ascii="arial" w:eastAsia="arial" w:hAnsi="arial" w:cs="arial"/>
          <w:i/>
          <w:color w:val="000000"/>
          <w:sz w:val="20"/>
          <w:lang w:val="en-US" w:eastAsia="en-US" w:bidi="ar-SA"/>
        </w:rPr>
        <w:t>Wu</w:t>
      </w:r>
      <w:r>
        <w:rPr>
          <w:rFonts w:ascii="arial" w:eastAsia="arial" w:hAnsi="arial" w:cs="arial"/>
          <w:color w:val="000000"/>
          <w:sz w:val="20"/>
          <w:lang w:val="en-US" w:eastAsia="en-US" w:bidi="ar-SA"/>
        </w:rPr>
        <w:t xml:space="preserve"> was whether proximity existed in a case where the City failed to make a decision on a development permit application within a reasonable time. The consequence of not making the decision was an arguable loss of compensation that was possible under certain bylaws at the time. The Court held that the relationship that existed between the property owners and the City was not sufficiently proximate. At paras. 50 and 52,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 most significant evolution in applying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is the increasing emphasis placed on the analysis of proximity, at the expense of reasonable foreseeability, as the critical element in recognizing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Supreme Court of Canada made clear that reasonable foreseeability standing alone is insufficient to ground a prima facie duty of care. In addition to reasonable foreseeability, there must be proximity: Cooper at para. 42. In </w:t>
      </w:r>
      <w:r>
        <w:rPr>
          <w:rFonts w:ascii="arial" w:eastAsia="arial" w:hAnsi="arial" w:cs="arial"/>
          <w:i/>
          <w:color w:val="000000"/>
          <w:sz w:val="20"/>
          <w:lang w:val="en-US" w:eastAsia="en-US" w:bidi="ar-SA"/>
        </w:rPr>
        <w:t>Deloitte &amp; Touche v. Livent Inc. (Receiver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2017 SCC 63</w:t>
      </w:r>
      <w:r>
        <w:rPr>
          <w:rFonts w:ascii="arial" w:eastAsia="arial" w:hAnsi="arial" w:cs="arial"/>
          <w:color w:val="000000"/>
          <w:sz w:val="20"/>
          <w:lang w:val="en-US" w:eastAsia="en-US" w:bidi="ar-SA"/>
        </w:rPr>
        <w:t xml:space="preserve">, the Supreme Court of Canada has recently traced the refinements in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placing greater emphasis on a robust analysis of proximity as the touchstone for recognizing a novel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The evolution in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is also reflected in cases dealing with the recognition of private law duties owed by public authorities. The historical emphasis on the distinction between operational and policy decisions has been overshadowed by a more rigorous proximity analysis.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At para. 57, the Court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 . . where a conflict arises between a potential private law duty and the public authority's duty to the public, the private law duty would unlikely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Further at para.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 . . as a general proposition subject only to arguably rare exceptions, statutory duties owed by public authorities are insufficient to ground private law duties arising out of interactions </w:t>
      </w:r>
      <w:r>
        <w:rPr>
          <w:rFonts w:ascii="arial" w:eastAsia="arial" w:hAnsi="arial" w:cs="arial"/>
          <w:i/>
          <w:color w:val="000000"/>
          <w:sz w:val="20"/>
          <w:lang w:val="en-US" w:eastAsia="en-US" w:bidi="ar-SA"/>
        </w:rPr>
        <w:t>that are inherent</w:t>
      </w:r>
      <w:r>
        <w:rPr>
          <w:rFonts w:ascii="arial" w:eastAsia="arial" w:hAnsi="arial" w:cs="arial"/>
          <w:color w:val="000000"/>
          <w:sz w:val="20"/>
          <w:lang w:val="en-US" w:eastAsia="en-US" w:bidi="ar-SA"/>
        </w:rPr>
        <w:t xml:space="preserve"> in the exercise of the public law duty.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Thus, whether proximity exists will depend on how Mr. Doyle's actions are characterized. That is, whether they were inherent in the exercise of his duties as an engineer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Wu</w:t>
      </w:r>
      <w:r>
        <w:rPr>
          <w:rFonts w:ascii="arial" w:eastAsia="arial" w:hAnsi="arial" w:cs="arial"/>
          <w:color w:val="000000"/>
          <w:sz w:val="20"/>
          <w:lang w:val="en-US" w:eastAsia="en-US" w:bidi="ar-SA"/>
        </w:rPr>
        <w:t>, at paras. 59 and 70, looked specifically at the proximity analysis relating to a public body when an individual public official is involved: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Typically, if a private law duty of care is recognized, it will arise from specific interactions either between the public authority and the claimant sufficient to create the necessary proximity or in the context of a statutory scheme: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paras. 45-46. An example of such an approach is found in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where the Court emphasized the specific features of the relationship between the plaintiffs and the regulator in the circumstances of the case. There, a combination of factors, including the regulatory regime and the interactions and knowledge of regulators, were necessary to ground a finding of proximity. </w:t>
      </w:r>
      <w:r>
        <w:rPr>
          <w:rFonts w:ascii="arial" w:eastAsia="arial" w:hAnsi="arial" w:cs="arial"/>
          <w:i/>
          <w:color w:val="000000"/>
          <w:sz w:val="20"/>
          <w:lang w:val="en-US" w:eastAsia="en-US" w:bidi="ar-SA"/>
        </w:rPr>
        <w:t>Vlanich v. Typhair</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2016 ONCA 517</w:t>
        </w:r>
      </w:hyperlink>
      <w:r>
        <w:rPr>
          <w:rFonts w:ascii="arial" w:eastAsia="arial" w:hAnsi="arial" w:cs="arial"/>
          <w:color w:val="000000"/>
          <w:sz w:val="20"/>
          <w:lang w:val="en-US" w:eastAsia="en-US" w:bidi="ar-SA"/>
        </w:rPr>
        <w:t>, para. 31, helpfully explains how proximity may arise between a public authority and a member of the public where a public authority assumes responsibility for ensuring compliance with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Importantly, this does not foreclose the possibility that a relationship of proximity could be created in the context of a scheme, including this one, and specific facts and circumstances arising from interactions between the parties. </w:t>
      </w:r>
      <w:r>
        <w:rPr>
          <w:rFonts w:ascii="arial" w:eastAsia="arial" w:hAnsi="arial" w:cs="arial"/>
          <w:i/>
          <w:color w:val="000000"/>
          <w:sz w:val="20"/>
          <w:lang w:val="en-US" w:eastAsia="en-US" w:bidi="ar-SA"/>
        </w:rPr>
        <w:t>There could be a case in which a public official negligently misrepresented certain facts that were relied on by an applicant</w:t>
      </w:r>
      <w:r>
        <w:rPr>
          <w:rFonts w:ascii="arial" w:eastAsia="arial" w:hAnsi="arial" w:cs="arial"/>
          <w:color w:val="000000"/>
          <w:sz w:val="20"/>
          <w:lang w:val="en-US" w:eastAsia="en-US" w:bidi="ar-SA"/>
        </w:rPr>
        <w:t xml:space="preserve">. This is not such a case. </w:t>
      </w:r>
      <w:r>
        <w:rPr>
          <w:rFonts w:ascii="arial" w:eastAsia="arial" w:hAnsi="arial" w:cs="arial"/>
          <w:i/>
          <w:color w:val="000000"/>
          <w:sz w:val="20"/>
          <w:lang w:val="en-US" w:eastAsia="en-US" w:bidi="ar-SA"/>
        </w:rPr>
        <w:t>Alternatively, a public official could act in such a way so as to assume a responsibility to have regard for the private interests of an applicant who in turn relies upon that assumption of responsibility</w:t>
      </w:r>
      <w:r>
        <w:rPr>
          <w:rFonts w:ascii="arial" w:eastAsia="arial" w:hAnsi="arial" w:cs="arial"/>
          <w:color w:val="000000"/>
          <w:sz w:val="20"/>
          <w:lang w:val="en-US" w:eastAsia="en-US" w:bidi="ar-SA"/>
        </w:rPr>
        <w:t>. Again, this is not such a case. The representations the judge referred to were, at best, general statements about process. I see nothing in the evidence that would warrant treating them as actionable misrepresentations, and the judge did not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Dealing with the facts, no one disputes that both the McLaughlin Bridge Replacement and the Channel Restoration, as approved by the Province, are in close </w:t>
      </w:r>
      <w:r>
        <w:rPr>
          <w:rFonts w:ascii="arial" w:eastAsia="arial" w:hAnsi="arial" w:cs="arial"/>
          <w:i/>
          <w:color w:val="000000"/>
          <w:sz w:val="20"/>
          <w:lang w:val="en-US" w:eastAsia="en-US" w:bidi="ar-SA"/>
        </w:rPr>
        <w:t>physical</w:t>
      </w:r>
      <w:r>
        <w:rPr>
          <w:rFonts w:ascii="arial" w:eastAsia="arial" w:hAnsi="arial" w:cs="arial"/>
          <w:color w:val="000000"/>
          <w:sz w:val="20"/>
          <w:lang w:val="en-US" w:eastAsia="en-US" w:bidi="ar-SA"/>
        </w:rPr>
        <w:t xml:space="preserve"> proximity to the Vinco Property. The issue is whether there is </w:t>
      </w:r>
      <w:r>
        <w:rPr>
          <w:rFonts w:ascii="arial" w:eastAsia="arial" w:hAnsi="arial" w:cs="arial"/>
          <w:i/>
          <w:color w:val="000000"/>
          <w:sz w:val="20"/>
          <w:lang w:val="en-US" w:eastAsia="en-US" w:bidi="ar-SA"/>
        </w:rPr>
        <w:t>legal</w:t>
      </w:r>
      <w:r>
        <w:rPr>
          <w:rFonts w:ascii="arial" w:eastAsia="arial" w:hAnsi="arial" w:cs="arial"/>
          <w:color w:val="000000"/>
          <w:sz w:val="20"/>
          <w:lang w:val="en-US" w:eastAsia="en-US" w:bidi="ar-SA"/>
        </w:rPr>
        <w:t xml:space="preserve">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Province argues that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makes it clear that legal responsibility for the Works rests with the McLaughlins and the District. It says that this legal responsibility is not dependent on any measure of physical proximity, just a nexus between the Works and damage to an "owner" as defined by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 Province argues that it would neither be fair nor reasonable to burden the Province with the responsibility of regulating some parties' acts while simultaneously protecting other parties' private,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Province cites </w:t>
      </w:r>
      <w:r>
        <w:rPr>
          <w:rFonts w:ascii="arial" w:eastAsia="arial" w:hAnsi="arial" w:cs="arial"/>
          <w:i/>
          <w:color w:val="000000"/>
          <w:sz w:val="20"/>
          <w:lang w:val="en-US" w:eastAsia="en-US" w:bidi="ar-SA"/>
        </w:rPr>
        <w:t>Imperial Metals Corporation v. Knight Piésold Ltd.</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2018 BCSC 1191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Metals</w:t>
      </w:r>
      <w:r>
        <w:rPr>
          <w:rFonts w:ascii="arial" w:eastAsia="arial" w:hAnsi="arial" w:cs="arial"/>
          <w:color w:val="000000"/>
          <w:sz w:val="20"/>
          <w:lang w:val="en-US" w:eastAsia="en-US" w:bidi="ar-SA"/>
        </w:rPr>
        <w:t>] for the proposition that the plaintiffs must prove that the interactions between the Province and its co-defendants fell outside the Province's role as regulator: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As a general rule, provided a regulator deals with a regulated party for the purpose of administering and enforcing the statutory scheme, interactions with the regulated party will not give rise to a relationship of proximity: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at para. 72;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at paras. 32-33; </w:t>
      </w:r>
      <w:r>
        <w:rPr>
          <w:rFonts w:ascii="arial" w:eastAsia="arial" w:hAnsi="arial" w:cs="arial"/>
          <w:i/>
          <w:color w:val="000000"/>
          <w:sz w:val="20"/>
          <w:lang w:val="en-US" w:eastAsia="en-US" w:bidi="ar-SA"/>
        </w:rPr>
        <w:t>Los Angeles Salad</w:t>
      </w:r>
      <w:r>
        <w:rPr>
          <w:rFonts w:ascii="arial" w:eastAsia="arial" w:hAnsi="arial" w:cs="arial"/>
          <w:color w:val="000000"/>
          <w:sz w:val="20"/>
          <w:lang w:val="en-US" w:eastAsia="en-US" w:bidi="ar-SA"/>
        </w:rPr>
        <w:t xml:space="preserve"> at paras. 52-53.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[109] However, during oral argument, the Province accepted that there are exceptions to this general rule. The Province framed the exceptions as follows: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Where the regulator steps outside the role of regulator, and assumes the role of designer, developer or advisor to the regulated party: Imperial Tobacco at paras. 53-54; Waterway Houseboats at paras. 17-18, 55</w:t>
      </w:r>
      <w:r>
        <w:rPr>
          <w:rFonts w:ascii="arial" w:eastAsia="arial" w:hAnsi="arial" w:cs="arial"/>
          <w:color w:val="000000"/>
          <w:sz w:val="20"/>
          <w:lang w:val="en-US" w:eastAsia="en-US" w:bidi="ar-SA"/>
        </w:rPr>
        <w:t>.</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Where the regulator acquires knowledge of serious and specific risks to the person or property of a clearly defined group of the class that the statutory scheme was intended to protect: Fullowka at paras. 54-55; Taylor v. Canada (Attorney General), </w:t>
      </w:r>
      <w:hyperlink r:id="rId699" w:history="1">
        <w:r>
          <w:rPr>
            <w:rFonts w:ascii="arial" w:eastAsia="arial" w:hAnsi="arial" w:cs="arial"/>
            <w:i/>
            <w:color w:val="0077CC"/>
            <w:sz w:val="20"/>
            <w:u w:val="single"/>
            <w:shd w:val="clear" w:color="auto" w:fill="FFFFFF"/>
            <w:lang w:val="en-US" w:eastAsia="en-US" w:bidi="ar-SA"/>
          </w:rPr>
          <w:t>2012 ONCA 479</w:t>
        </w:r>
      </w:hyperlink>
      <w:r>
        <w:rPr>
          <w:rFonts w:ascii="arial" w:eastAsia="arial" w:hAnsi="arial" w:cs="arial"/>
          <w:color w:val="000000"/>
          <w:sz w:val="20"/>
          <w:u w:val="single"/>
          <w:lang w:val="en-US" w:eastAsia="en-US" w:bidi="ar-SA"/>
        </w:rPr>
        <w:t xml:space="preserve"> at paras. 109-111</w:t>
      </w:r>
      <w:r>
        <w:rPr>
          <w:rFonts w:ascii="arial" w:eastAsia="arial" w:hAnsi="arial" w:cs="arial"/>
          <w:color w:val="000000"/>
          <w:sz w:val="20"/>
          <w:lang w:val="en-US" w:eastAsia="en-US" w:bidi="ar-SA"/>
        </w:rPr>
        <w: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Where the regulator makes a specific misrepresentation to the regulated party - apart from a regulatory statement - that invites reliance, and the regulated party relies on the misrepresentation for the purpose for which it was made: Imperial Tobacco at paras. 59-60; Deloitte&amp; Touche at paras. 30-31, 34-35</w:t>
      </w:r>
      <w:r>
        <w:rPr>
          <w:rFonts w:ascii="arial" w:eastAsia="arial" w:hAnsi="arial" w:cs="arial"/>
          <w:color w:val="000000"/>
          <w:sz w:val="20"/>
          <w:lang w:val="en-US" w:eastAsia="en-US" w:bidi="ar-SA"/>
        </w:rPr>
        <w:t>.</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interactions between the regulator and the regulated party give rise to a clear set of expectations that the regulator will consider the interests of the regulated party, and the statute does not expressly or implicitly exclude consideration of those interests: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at paras. 97-104; </w:t>
      </w:r>
      <w:r>
        <w:rPr>
          <w:rFonts w:ascii="arial" w:eastAsia="arial" w:hAnsi="arial" w:cs="arial"/>
          <w:i/>
          <w:color w:val="000000"/>
          <w:sz w:val="20"/>
          <w:lang w:val="en-US" w:eastAsia="en-US" w:bidi="ar-SA"/>
        </w:rPr>
        <w:t>Wu</w:t>
      </w:r>
      <w:r>
        <w:rPr>
          <w:rFonts w:ascii="arial" w:eastAsia="arial" w:hAnsi="arial" w:cs="arial"/>
          <w:color w:val="000000"/>
          <w:sz w:val="20"/>
          <w:lang w:val="en-US" w:eastAsia="en-US" w:bidi="ar-SA"/>
        </w:rPr>
        <w:t xml:space="preserve"> at paras. 164-165...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(Collectively, the "Accepted Exceptions".)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[110] I am in agreement with the Accepted Exceptions, although I do not suggest that these are necessarily the only situations in which proximity may be found against a regulator.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Category #1 in </w:t>
      </w:r>
      <w:r>
        <w:rPr>
          <w:rFonts w:ascii="arial" w:eastAsia="arial" w:hAnsi="arial" w:cs="arial"/>
          <w:i/>
          <w:color w:val="000000"/>
          <w:sz w:val="20"/>
          <w:lang w:val="en-US" w:eastAsia="en-US" w:bidi="ar-SA"/>
        </w:rPr>
        <w:t>Imperial Metals</w:t>
      </w:r>
      <w:r>
        <w:rPr>
          <w:rFonts w:ascii="arial" w:eastAsia="arial" w:hAnsi="arial" w:cs="arial"/>
          <w:color w:val="000000"/>
          <w:sz w:val="20"/>
          <w:lang w:val="en-US" w:eastAsia="en-US" w:bidi="ar-SA"/>
        </w:rPr>
        <w:t xml:space="preserve"> (as underlined above) is applicable here. As I will expand on later in these reasons, I find that Mr. Doyle stepped "outside the role of the regulator" and assumed the role of designer to a </w:t>
      </w:r>
      <w:r>
        <w:rPr>
          <w:rFonts w:ascii="arial" w:eastAsia="arial" w:hAnsi="arial" w:cs="arial"/>
          <w:i/>
          <w:color w:val="000000"/>
          <w:sz w:val="20"/>
          <w:lang w:val="en-US" w:eastAsia="en-US" w:bidi="ar-SA"/>
        </w:rPr>
        <w:t>regulated</w:t>
      </w:r>
      <w:r>
        <w:rPr>
          <w:rFonts w:ascii="arial" w:eastAsia="arial" w:hAnsi="arial" w:cs="arial"/>
          <w:color w:val="000000"/>
          <w:sz w:val="20"/>
          <w:lang w:val="en-US" w:eastAsia="en-US" w:bidi="ar-SA"/>
        </w:rPr>
        <w:t xml:space="preserve"> party, that being the District and the McLaughlins.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Category #2 is also applicable. I find that Mr. Doyle acquired knowledge of serious and specific risks to the property of a clearly defined group that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was meant to protect (that being the owners and future owners of property in and around works authorized by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Category #3 is also applicable. I find, for reasons I will explain, that Mr. Doyle made specific representations to the McLaughlins about the bridge height that invited reliance and that the McLaughlins did, indeed, rely upon the representations (see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paras. 59-60; </w:t>
      </w:r>
      <w:r>
        <w:rPr>
          <w:rFonts w:ascii="arial" w:eastAsia="arial" w:hAnsi="arial" w:cs="arial"/>
          <w:i/>
          <w:color w:val="000000"/>
          <w:sz w:val="20"/>
          <w:lang w:val="en-US" w:eastAsia="en-US" w:bidi="ar-SA"/>
        </w:rPr>
        <w:t>Deloitte</w:t>
      </w:r>
      <w:r>
        <w:rPr>
          <w:rFonts w:ascii="arial" w:eastAsia="arial" w:hAnsi="arial" w:cs="arial"/>
          <w:color w:val="000000"/>
          <w:sz w:val="20"/>
          <w:lang w:val="en-US" w:eastAsia="en-US" w:bidi="ar-SA"/>
        </w:rPr>
        <w:t xml:space="preserve"> at paras. 30-31,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In order for proximity to exist, a "close causal connection" between the alleged misconduct (Mr. Doyle's discussions and concessions leading to the Approvals) and the complained of harm (2012 Flood) may be a relevant consideration: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55. I find that a close causal connection exists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By this finding, I do not suggest that the Province's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engineers are required to design works they approve as a matter of course or that the Province will always owe a private law duty of care when it learns of proposed works that may pose a danger to a particular person 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Rather, my finding focuses on what the Province should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do. As I will discuss in more detail under the standard of care, it firstly should not increase the risk to the plaintiffs through careless communications with those it regulates. Secondly, it should not violate its own statutory scheme in order to approve works on conditions it knows are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While it is true that the plaintiffs themselves were not, and could not have been, on the defendants' radar at the time the Works were undertaken (and therefore did not have any more direct a relationship with the defendants than other members of the public), they were future purchasers of the Beachcomber Campground. Therefore, their status as "future neighbours" makes the relationship between the plaintiffs and defendants proximate.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Taking a holistic approach to determining the proximity issue (as opposed to an "all-or-nothing" checkbox approach), I conclude that there was a relationship of sufficient proximity between the plaintiffs and the defendants that grounds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Residual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Despite the existence of a proximate relationship, defendants are permitted to establish that policy considerations ought to negate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Assessing the residual policy stage involves a consideration of factors external to the relationship between the parties, including: (1) whether the law already provides a remedy; (2) whether recognition of the duty of care creates "the spectre of unlimited liability to an unlimited class"; and (3) whether there are "other reasons of broad policy that suggest that the duty of care should not be recognized". It asks whether it would be better, for reasons relating to legal or doctrinal order or arising from other societal concerns, not to recognize a duty of care in a given case: </w:t>
      </w:r>
      <w:r>
        <w:rPr>
          <w:rFonts w:ascii="arial" w:eastAsia="arial" w:hAnsi="arial" w:cs="arial"/>
          <w:i/>
          <w:color w:val="000000"/>
          <w:sz w:val="20"/>
          <w:lang w:val="en-US" w:eastAsia="en-US" w:bidi="ar-SA"/>
        </w:rPr>
        <w:t>Deloitte</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As further explained by the Supreme Court of Canada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paras. 37-39: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This brings us to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the majority of this Court held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at p. 1155, residual policy considerations fall to be considered here. These are not concerned with the relationship between the parties, but with the effect of recognizing a duty of care on other legal obligations, the legal system and society more generally. Does the law already provide a remedy? Would recognition of the duty of care create the spectre of unlimited liability to an unlimited class? Are there other reasons of broad policy that suggest that the duty of care should not be recognized? Following this approach, this Court declined to find liability in </w:t>
      </w:r>
      <w:r>
        <w:rPr>
          <w:rFonts w:ascii="arial" w:eastAsia="arial" w:hAnsi="arial" w:cs="arial"/>
          <w:i/>
          <w:color w:val="000000"/>
          <w:sz w:val="20"/>
          <w:lang w:val="en-US" w:eastAsia="en-US" w:bidi="ar-SA"/>
        </w:rPr>
        <w:t>Hercules Managements, supra</w:t>
      </w:r>
      <w:r>
        <w:rPr>
          <w:rFonts w:ascii="arial" w:eastAsia="arial" w:hAnsi="arial" w:cs="arial"/>
          <w:color w:val="000000"/>
          <w:sz w:val="20"/>
          <w:lang w:val="en-US" w:eastAsia="en-US" w:bidi="ar-SA"/>
        </w:rPr>
        <w:t>, on the ground that to recognize a duty of care would raise the spectre of liability to an indeterminate class of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at this second stage of the analysis that the distinction between government policy and execution of policy falls to be considered. It is established that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policy decisions, but only operational decisions. The basis of this immunity is that policy is the prerogative of the elected Legislature. It is inappropriate for courts to impose liability for the consequences of a particular policy decision. On the other hand, a government actor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executes or carries out the policy. In our view, the exclusion of liability for policy decisions is properly regarded as an application of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exclusion does not relate to the relationship between the parties. Apart from the legal characterization of the government duty as a matter of policy, plaintiffs can and do recover. The exclusion of liability is better viewed as an immunity imposed because of considerations outside the relationship for policy reasons - more precisely, because it is inappropriate for courts to second-guess elected legislators on policy matters. Similar considerations may arise where the decision in question is quasi-judicial (see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second step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generally arises only in cases where the duty of care asserted does not fall within a recognized category of recovery. Where it does, we may be satisfied that there are no overriding policy considerations that would negative the duty of care. In this sense, we agree with the Privy Council in </w:t>
      </w:r>
      <w:r>
        <w:rPr>
          <w:rFonts w:ascii="arial" w:eastAsia="arial" w:hAnsi="arial" w:cs="arial"/>
          <w:i/>
          <w:color w:val="000000"/>
          <w:sz w:val="20"/>
          <w:lang w:val="en-US" w:eastAsia="en-US" w:bidi="ar-SA"/>
        </w:rPr>
        <w:t>Yuen Kun Yeu</w:t>
      </w:r>
      <w:r>
        <w:rPr>
          <w:rFonts w:ascii="arial" w:eastAsia="arial" w:hAnsi="arial" w:cs="arial"/>
          <w:color w:val="000000"/>
          <w:sz w:val="20"/>
          <w:lang w:val="en-US" w:eastAsia="en-US" w:bidi="ar-SA"/>
        </w:rPr>
        <w:t xml:space="preserve"> that the second stage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will seldom arise and that questions of liability will be determined primarily by reference to established and analogous categories of recovery. However, where a duty of care in a novel situation is alleged, as here, we believe it necessary to consider both steps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discussed above. This ensures that before a duty of care is imposed in a new situation, not only are foreseeability and relational proximity present, but there are no broader considerations that would make imposition of a duty of care unwise.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Canadian courts have accepted the contrast first described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(H.L.)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between public officials' "policy" decisions, which cannot give rise to tort liability, and their "operational" acts or omissions, which can. 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at para. 14, the Supreme Court of Canada summarized the distinction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Policy decisions about what acts to perform under a statute do not give rise to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other hand, once a decision to act has been made, the government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w:t>
      </w:r>
      <w:r>
        <w:rPr>
          <w:rFonts w:ascii="arial" w:eastAsia="arial" w:hAnsi="arial" w:cs="arial"/>
          <w:i/>
          <w:color w:val="000000"/>
          <w:sz w:val="20"/>
          <w:lang w:val="en-US" w:eastAsia="en-US" w:bidi="ar-SA"/>
        </w:rPr>
        <w:t>implements</w:t>
      </w:r>
      <w:r>
        <w:rPr>
          <w:rFonts w:ascii="arial" w:eastAsia="arial" w:hAnsi="arial" w:cs="arial"/>
          <w:color w:val="000000"/>
          <w:sz w:val="20"/>
          <w:lang w:val="en-US" w:eastAsia="en-US" w:bidi="ar-SA"/>
        </w:rPr>
        <w:t xml:space="preserve"> that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the Supreme Court of Canada considered public authority liability and recognized the distinction between "policy" and "operational" decisions, finding that a true policy decision undertaken by a government agency constitutes a valid basis to negate a duty of care. In that case, the majority of the Court commented on what constitutes such a policy decision, stating at 1245: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borne in mind that such decisions are generally made by persons of a high level of authority in the agency, but may also properly be made by persons of a lower level of authority. The characterization of such a decision rests on the nature of the decision and not on the identity of the actors. As a general rule, decisions concerning budgetary allotments for departments or government agencies will be classified as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Province contends that the prospect of indeterminate liability is a policy factor that negates a duty of care in this case. Such concerns, it says, relate to the virtually unlimited exposure of government to private claims, which may tax public resources and chill government efforts to enforce legitimate public interests. It points to </w:t>
      </w:r>
      <w:r>
        <w:rPr>
          <w:rFonts w:ascii="arial" w:eastAsia="arial" w:hAnsi="arial" w:cs="arial"/>
          <w:i/>
          <w:color w:val="000000"/>
          <w:sz w:val="20"/>
          <w:lang w:val="en-US" w:eastAsia="en-US" w:bidi="ar-SA"/>
        </w:rPr>
        <w:t>Ernst v. Alberta (Energy Resources Conservation Board)</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2014 ABCA 285</w:t>
        </w:r>
      </w:hyperlink>
      <w:r>
        <w:rPr>
          <w:rFonts w:ascii="arial" w:eastAsia="arial" w:hAnsi="arial" w:cs="arial"/>
          <w:color w:val="000000"/>
          <w:sz w:val="20"/>
          <w:lang w:val="en-US" w:eastAsia="en-US" w:bidi="ar-SA"/>
        </w:rPr>
        <w:t xml:space="preserve">, aff'd </w:t>
      </w:r>
      <w:hyperlink r:id="rId706" w:history="1">
        <w:r>
          <w:rPr>
            <w:rFonts w:ascii="arial" w:eastAsia="arial" w:hAnsi="arial" w:cs="arial"/>
            <w:i/>
            <w:color w:val="0077CC"/>
            <w:sz w:val="20"/>
            <w:u w:val="single"/>
            <w:shd w:val="clear" w:color="auto" w:fill="FFFFFF"/>
            <w:lang w:val="en-US" w:eastAsia="en-US" w:bidi="ar-SA"/>
          </w:rPr>
          <w:t>2017 SCC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Ernst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Elder</w:t>
      </w:r>
      <w:r>
        <w:rPr>
          <w:rFonts w:ascii="arial" w:eastAsia="arial" w:hAnsi="arial" w:cs="arial"/>
          <w:color w:val="000000"/>
          <w:sz w:val="20"/>
          <w:lang w:val="en-US" w:eastAsia="en-US" w:bidi="ar-SA"/>
        </w:rPr>
        <w:t>]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Ernst</w:t>
      </w:r>
      <w:r>
        <w:rPr>
          <w:rFonts w:ascii="arial" w:eastAsia="arial" w:hAnsi="arial" w:cs="arial"/>
          <w:color w:val="000000"/>
          <w:sz w:val="20"/>
          <w:lang w:val="en-US" w:eastAsia="en-US" w:bidi="ar-SA"/>
        </w:rPr>
        <w:t>, the Alberta Court of Appeal observed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Forcing the Board to consider the extent to which it must balance the interests of specific individuals while attempting to regulate in the overall public interest would be unworkable in fact and bad policy in law. Recognizing any such private duty would distract the Board from its general duty to protect the public, as well as its duty to deal fairly with participants in the regulated industry. Any such individualized duty of care would plainly involve indeterminate liability, and would undermine the Board's ability to effectively address the general public obligations placed on it under its controlling 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Elder</w:t>
      </w:r>
      <w:r>
        <w:rPr>
          <w:rFonts w:ascii="arial" w:eastAsia="arial" w:hAnsi="arial" w:cs="arial"/>
          <w:color w:val="000000"/>
          <w:sz w:val="20"/>
          <w:lang w:val="en-US" w:eastAsia="en-US" w:bidi="ar-SA"/>
        </w:rPr>
        <w:t>, the Supreme Court of Canada stated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 . . Where the defendant is a public body, inferring a private duty of care from statutory duties may be difficult, and must respect the particular constitutional role of those institutions: </w:t>
      </w:r>
      <w:r>
        <w:rPr>
          <w:rFonts w:ascii="arial" w:eastAsia="arial" w:hAnsi="arial" w:cs="arial"/>
          <w:i/>
          <w:color w:val="000000"/>
          <w:sz w:val="20"/>
          <w:lang w:val="en-US" w:eastAsia="en-US" w:bidi="ar-SA"/>
        </w:rPr>
        <w:t>Welbridge Holdings Ltd. v. Greater Winnipeg</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Laskin J., as he then was, for the Court. Related to this concern is the fear of virtually unlimited exposure of the government to private claims, which may tax public resources and chill government intervention. It is arguable that to impose a duty of care on the plaintiff class on the facts pleaded would open the door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patient in the healthcare system with an entitlement to receive funding for health services, whether primary or extended. This raises the spectre of unlimited liability to an unlimited class, decried by Cardozo C.J. in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xml:space="preserve">, 174 N.E. 441 (N.Y. 1931), at p. 444: see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2008 SCC 22</w:t>
        </w:r>
      </w:hyperlink>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[2008] 1 S.C.R. 737</w:t>
        </w:r>
      </w:hyperlink>
      <w:r>
        <w:rPr>
          <w:rFonts w:ascii="arial" w:eastAsia="arial" w:hAnsi="arial" w:cs="arial"/>
          <w:color w:val="000000"/>
          <w:sz w:val="20"/>
          <w:lang w:val="en-US" w:eastAsia="en-US" w:bidi="ar-SA"/>
        </w:rPr>
        <w:t>, at paras. 59-66.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The Province argues that Mr. Doyle's decision to issue the Approvals involved both policy-making and quasi-judicial elements and were not merely operational decisions. The Province argues that engineers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must act judicially in considering approval applications and determine the policies that should apply in each instance. This process, the Province says, is inconsistent with a duty of care to persons potentially harmed by approval holders' authorized works. For example,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52,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In our view,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had been established under the first branch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it would have been negated at the second stage for overriding policy reasons. The decision of whether to suspend a broker involves both policy and quasi-judicial elements. The decision requires the Registrar to balance the public and private interests. The Registrar is not simply carrying out a pre-determined government policy, but deciding, as an agent of the executive branch of government, what that policy should be. Moreover, the decision is quasi-judicial. The Registrar must act fairly or judicially in removing a broker's licence. These requirements are inconsistent with a duty of care to investors. Such a duty would undermine these obligations, imposed by the Legislature on the Registrar. Thus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could be posited, it would be negated by other overriding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Province argues that faced with several competing interests (the District needing Mervyn Road repaired, the McLaughlins' desire to have their access restored, PEP financial constraints and other limited resources), Mr. Doyle was entitled to issue the Approvals despite considering them ill-advised. The Province says that in doing so, he was making a policy-based and quasi-judicial decision that should not be the subject of judicial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I cannot agree. In my view, Mr. Doyle's mandate to issue the Approvals is contained entirely within s.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He was engaged in operational and engineering decisions throughout. It cannot be said that his decision-making was quasi-judicial. As will be discussed later in these reasons, it cannot be policy for Mr. Doyle to issue approvals contrary to his engineering judgment, hold his nose, shrug his shoulders and "clear the books". The mere presence of multiple stakeholders does not convert an operational decision into a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Here, Mr. Doyle attempted to do what the Supreme Court of Canada has warned against in </w:t>
      </w:r>
      <w:r>
        <w:rPr>
          <w:rFonts w:ascii="arial" w:eastAsia="arial" w:hAnsi="arial" w:cs="arial"/>
          <w:i/>
          <w:color w:val="000000"/>
          <w:sz w:val="20"/>
          <w:lang w:val="en-US" w:eastAsia="en-US" w:bidi="ar-SA"/>
        </w:rPr>
        <w:t>Ernst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Elder</w:t>
      </w:r>
      <w:r>
        <w:rPr>
          <w:rFonts w:ascii="arial" w:eastAsia="arial" w:hAnsi="arial" w:cs="arial"/>
          <w:color w:val="000000"/>
          <w:sz w:val="20"/>
          <w:lang w:val="en-US" w:eastAsia="en-US" w:bidi="ar-SA"/>
        </w:rPr>
        <w:t>. His duty as a regulator was to protect the public by using his engineering judgment. While I agree that some balancing of interests was required, in the particular circumstances of this case and especially given his knowledge of the history of Sicamous Creek, Mr. Doyle was required to give weight to the hydrological issues and put his engineering expertise and judgment ahead of those other interests in exercising his discretion under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Other matters (such as the McLaughlins' "entitlement" to access or the limits of PEP funding) were the purview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The plaintiffs do not ask this Court to find that the Province owes a duty to exercise reasonable care in establishing conditions of approvals to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persons who may be affected by works subject to an approval. Insofar as approvals are concerned, the duty is only to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issue approvals on conditions that the decision-maker believes are inadvisable. Put another way, the duty is to not grant approvals in excess of statutory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agree with this characterization.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I am not persuaded that indeterminate liability is a basis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this case. The evidence is that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engineers do not usually get involved at the level that Mr. Doyle became involved in this case. I do not accept that the class of individuals who would be owed a duty is as large as the Province suggests. In this case, it is restricted to persons who would be directly affected by the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In sum, there are no residual policy considerations that would negate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that I have found was owed to the plaintiffs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conclude that the Province owed a duty of care to the plaintiffs as future owners and occupiers of the Vinco Property. There was a relationship of proximity that existed between them such that it was reasonably foreseeable that careless acts or omissions could result in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To ground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Province, the plaintiffs must also establish that that Mr. Doyle's conduct fell below the standard of care that would be expected of an "ordinary, reasonable and prudent person in the same circumstances":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questions then are:</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standard of care that would be expected of a person in Mr. Doyle's circumstances at the time?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Doyle breach that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What Was the Standard of Care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As has been indicated, Mr. Doyle was a regulator/engineer appointed under s.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His job was to apply specialized knowledge and experience to the assessment of the works and to issue approvals on conditions he considered advisable.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plaintiffs did not adduce any expert evidence on the standard of care required of such regulators/engineers under s.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They only adduced expert evidence on the standard of care of consulting engineers. The Province asserts that the standard of care of consulting engineers is different than that of regulatory engineers (such as those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and that the plaintiffs' failure to call evidence on the point is fatal to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the absence of such evidence, however, the Court may look to external factors, including legislative standards, policies and guidelines to determine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In this case, I have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 regulations made pursuant to it and Mr. Doyle's own evidence and documented concerns. In my view, that guidance, together with common sense and the practice described by Mr. Doyle, is sufficient to determine the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Section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sets the standard. It says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The ...engineer may grant an approval in writing authorizing on the conditions he or she considers advisable...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key words are "</w:t>
      </w:r>
      <w:r>
        <w:rPr>
          <w:rFonts w:ascii="arial" w:eastAsia="arial" w:hAnsi="arial" w:cs="arial"/>
          <w:i/>
          <w:color w:val="000000"/>
          <w:sz w:val="20"/>
          <w:lang w:val="en-US" w:eastAsia="en-US" w:bidi="ar-SA"/>
        </w:rPr>
        <w:t>he or she considers advisable</w:t>
      </w:r>
      <w:r>
        <w:rPr>
          <w:rFonts w:ascii="arial" w:eastAsia="arial" w:hAnsi="arial" w:cs="arial"/>
          <w:color w:val="000000"/>
          <w:sz w:val="20"/>
          <w:lang w:val="en-US" w:eastAsia="en-US" w:bidi="ar-SA"/>
        </w:rPr>
        <w:t xml:space="preserve">". Professional engineers are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for a reason. The reason being to ensure that engineering standards and considerations are enlisted in the highly technical and specialized nature of river hydrology as part and parcel of the considerations that go into s. 9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Doyle was a professional engineer hired by the Province to make s. 9 approval decisions based on his education, training and experience and on conditions he considered advisable from an engineering standpoint. His professional view of what was "advisable" should not have been compromised by political, economic or other factors. Those considerations were for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Did Mr. Doyle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Doyle has been working as a professional engineer with the Ministry in the Water Branch for his entire career. He understood river hydrology and knew the risk that Sicamous Creek posed. He described it as a "hanging fire", meaning that it was a disaster waiting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found Mr. Doyle to be frank and straightforward as a witness. He was knowledgeable, professional and refreshingly candid. As well as being a very experienced engineer with the Water Branch, he prided himself as a practical man too. That, unfortunately, was his undoing.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When Mr. McLaughlin first requested permission to replace his bridge, the Province initially felt it would be acceptable to follow its general rule of thumb and allow him to proceed without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 provided it was put back "at least 1 metre higher" and met the requirements of Part 7 of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In fact,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was quite onerous and would have required Mr. McLaughlin at s. 44(1)(b)(iii) to ensure that:</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hydraulic capacity of the bridge is equivalent to the hydraulic capacity of the stream channel, or is capable of passing the 1 in 200 year maximum daily flow, and the height of the underside of the bridge is also adequate to provide free passage of flood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I conclude that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could not have been complied with without the design advice of a professional engineer qualified in river hydrology.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Mr. Doyle would have known of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when he took control of the process in September 1997. The effect of his involvement was to supersede s. 44(1)(b)(iii) of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with his engineering judgment. He knew that his engineering expertise was required because of what he observed during site visits and fly overs in July 1997. He knew the McLaughlin Bridge's location was tenuous.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He knew that the Approvals in this case were not run-of-the mill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approvals. Rather, these Approvals demanded his careful attention. Despite the District and the McLaughlins wanting the Works to move along quickly, there are some projects that simply cannot be rushed. This project was one of them. In issuing the Approvals, he knew his role was to minimize the foreseeable risks notwithstanding the financial, physical and other constraints existing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science of river hydrology is not something lay people like Mr. McLaughlin, Ms. Williams, Ms. Maurer and Mr. MacDonald should be expected to understand. That is why Mr. Doyle's involvement was so important. As between the Province, the District and the McLaughlins, he was the only person who understood the issues and knew what was required from an engineering standpoint.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District was also adamant that it wanted nothing to do with the McLaughlin Bridge Replacement. It would have been obvious to Mr. Doyle that neither the District nor the McLaughlins understood the significant issues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Nevertheless, he allowed himself to accept pushback from the District whose primary concern was completing the Mervyn Road repairs and Channel Restoration within PEP funding limits and DFO timing constraints. The District's pushback was driven to a large degree by Ms. Maurer's concerns about the height of Mervyn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do not accept the defendants' submission that the decision to reduce the height of the McLaughlin Bridge (from the initial "at least 1 metre higher" to "1 metre higher", then to "at least 0.6 metres higher", and finally to "0.6 metres higher") occurred as a resulting of Mr. Doyle's balancing act that took into account the interests of Ms. Maurer, the Province and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It is clear that as regulator and engineer, Mr. Doyle did not want the McLaughlin Bridge replaced unless it was designed by a qualified professional engineer. This is why he was hesitant to remove Condition 'H' (requiring that the District sign off on the design). He only removed Condition 'H' due to pressure from the District and an instruction from Mr. Zackodnik to "clear the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Province says Mr. Doyle, as a regulator, was entitled to remove Condition 'H' at his discretion and his decision cannot be attacked. The Province further suggests that Mr. Doyle knew he lacked legal authority to impose Condition 'H' and that he had no authority to force the District to design or sign off on the bridge. According to the Province, this is another reason why Mr. Doyle removed Condition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conclude that this suggestion is a defence after-thought. Firstly, there is no mention of this issue in any contemporaneous document. Secondly, Condition 'H' was only binding on Mr. McLaughlin to obtain the District's approval. If the District's approval was not forthcoming, the bridge could not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Mr. Doyle's trial evidence on this point is telling. Referencing a memorandum he wrote to the file:</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agree with me that you were "pretty pissed off" when you wrote this?</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were mad?</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Aren't they equivalent?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some people, yes. But you were mad?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reason you were pissed off and mad when you wrote this was you did not want to approve the McLaughlin bridge without condition H?</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 In fact you were writing this memorandum because, in your words, you were "pretty disgusted with the way things were coming out the end of the pipe was that the McLaughlin bridge approval was not going to have condition H in it?</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way things were going out at the end of the pipe seemed likely to you that the McLaughlin bridge would be built at 0.6 metres higher without a professional review by a qualified engineer?</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that was precisely the result you were desperate to avoid?</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Mr. Doyle's examination for discovery testimony further confirms the point:</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Item H, "Approval of the bridge design is required from the District of Sicamous", you inserted that as a condition initially?</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was an important condition, I felt, initially, yes.</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it was important because you wanted to ensure the bridge was professionally designed?</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 it was sort of a backup condition which reinforced C. If something went haywire with either one of them, hopefully one of them would - would make sure that the bridge was designed okay. You know, C, try - striving for getting somebody who knew what they were doing to design the bridge and take responsibility as a professional engineer meant H was - I just wanted some assurance from some other party other than us - like, other than the Ministry of Environment - that this thing had been approved for the very reason why we're sitting about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 were concerned that nobody was going to take responsibility for this bridge and you wanted to make sure somebody took responsibility for it?</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Absolutely, because it - it was a bridge that was in a very difficult spot and it - it was clear to me that somebody's got to step up to the plate, as they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It is clear that he never wanted the 0.6 metre height to be used as the design height, but nonetheless expected that the bridge was going back in at exactly 0.6 metres and that no qualified professional engineer would be engaged. In that sense, he simply paid lip service to Condition 'C' (the condition that the McLaughlin Bridge be designed by a qualified professional engineer and at least 0.6 metres higher than the lowest point of the previous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The fact that the Province and District were seemingly at an impasse did not permit Mr. Doyle to fly in the face of obvious hazards just to smooth over a problem and "clear the books". That, in my view, misses the point of his s. 9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duties and by doing so, he acted outside the scope of those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Mr. Doyle testified that he did not like the conflict and wanted to "satisfy everyone's concerns". But this was not his job. He was not appointed as a mediator.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In my view, Mr. Doyle should have stood by his engineering judgment and made it abundantly clear that Condition 'C' was still in play and the bridge required the design of a qualified professional engineer notwithstanding the "at least 0.6 metres" minimum. At that point, it may well have meant a delay in the bridge reinstallation and may well have required Mr. McLaughlin to seek other remedies, including perhaps an appeal to the Environmental Appeal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Given Mr. Doyle's knowledge that Mr. McLaughlin was essentially on standby waiting for negotiations between the Province and the District to conclude, Mr. Doyle had a duty to clearly communicate his concerns to Mr. McLaughlin in a manner that Mr. McLaughlin could understand. Specifically, he was required to ensure that Mr. McLaughlin knew that he could not rely on the minimum 0.6 metre increase unless it was approved by a qualified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Instead, through his words and actions, he allowed Mr. McLaughlin to assume that the 0.6 metre height increase was some sort of design height compromise between the District and Province and that the new bridge could be installed </w:t>
      </w:r>
      <w:r>
        <w:rPr>
          <w:rFonts w:ascii="arial" w:eastAsia="arial" w:hAnsi="arial" w:cs="arial"/>
          <w:i/>
          <w:color w:val="000000"/>
          <w:sz w:val="20"/>
          <w:lang w:val="en-US" w:eastAsia="en-US" w:bidi="ar-SA"/>
        </w:rPr>
        <w:t>exactly</w:t>
      </w:r>
      <w:r>
        <w:rPr>
          <w:rFonts w:ascii="arial" w:eastAsia="arial" w:hAnsi="arial" w:cs="arial"/>
          <w:color w:val="000000"/>
          <w:sz w:val="20"/>
          <w:lang w:val="en-US" w:eastAsia="en-US" w:bidi="ar-SA"/>
        </w:rPr>
        <w:t xml:space="preserve"> 0.6 metres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Province argues that Mr. Doyle's involvement must be put into context. That context being that Mr. Doyle was engaged in an emergency response. In that context, the Province argues, Mr. Doyle was acting as a regulator and assisting the District and Mr. McLaughlin solve the many problems that the 1997 Flood created. The Province maintains that Mr. Doyle acted reasonably in light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hindsight, Mr. Doyle wished he had been clearer with his intention that Condition 'C' meant that the engineering of the McLaughlin Bridge required an engineer versed in river hydraulics:</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 agree with me that the approval does not on its face require that the qualified professional engineer be versed in river engineering or river hydraulics?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DOYLE: A. No, but I certainly wish that it would have said that.</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 agree that it doesn't say it on its face.</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Yeah. Twenty years later, I would strongly agree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As far as Mr. McLaughlin was concerned, despite the wording of the McLaughlin Bridge Approval, the height of the bridge had been dictated to him as exactly 0.6 metres higher than the previous bridge:</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so it's fair to say that when you saw this 0.6 metre higher number in the approval, that you understood the reason it had changed from 1 metre higher down to 0.6 metre higher was that the District had a desire to do something about the height of your bridge because it was going to cause problems at 1 metre higher?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MCLAUGHLIN: A. That's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 the approval, Mr. McLaughlin, said "at least 0.6 metres,"...What did you think that meant...?</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was the minimum I could go, this 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Did you ever ask for clarification of anyone?</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 was - my first drawings I was prepared to go the 1 metre, and that would have satisfied the Ministry at that time but it didn't satisfy the District. So the District went back and got that ...reduced, and the Ministry agreed to it. So I just said, "Hey, they're both happy. Best of both worlds."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Am I hearing you say that the Ministry said to you with the approval - and you understood the Ministry had authority over the creek - "at least 0.6 metres" -</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but from discussions you had, understandings you had from the District, they wanted it as low as they could get away with?</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was when the statement was 1 metre...They wanted to reduce it because of access to both sides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Understood. But the approval said "at least 0.6 metres"? ...So did you interpret that to mean 0.6 metres?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Where did you get that from?</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Like I said, they both agreed to it. So if I would have gone higher and it would have cost the District more money, I'm sure I would have got some feedback and some pressure to reduce that to the 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That was your assumption?</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was my assumption, yes, pardon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Despite Mr. Doyle's stated concern that the bridge height be engineered, he conceded that he was aware that the working design was only 0.6 metres higher. In cross-examination, he gave this testimony:</w:t>
      </w:r>
      <w:r>
        <w:rPr>
          <w:rFonts w:ascii="arial" w:eastAsia="arial" w:hAnsi="arial" w:cs="arial"/>
          <w:sz w:val="20"/>
          <w:lang w:val="en-US" w:eastAsia="en-US" w:bidi="ar-SA"/>
        </w:rPr>
        <w:cr/>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Doyle, when we were going over the February 26th, 1998 site meeting relating to Mervyn Road, the channel restoration works and the McLaughlin bridge, you agreed with me that the discussion at that meeting in relation to the McLaughlin bridge was that it would be reinstalled 0.6 meters higher.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DOYLE: A. Yes.</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it is fair to say that everyone at that meeting regarded the 0.6 metre higher elevation as the working design for the McLaughlin bridge reinstallation?</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that 0.6 metre working design had come out of your discussions with Ms. Smith (Williams)?</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so by the time of that February 26, 1998 site visit, the 0.6 metre height increase that you had accepted was the working design for the height of the McLaughlin bridge reinstallation?</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Despite this, Mr. Doyle somehow felt that it was still up to Mr. McLaughlin to comply with Condition 'C' and have a qualified professional engineer check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If, as the Province seems to suggest, Mr. Doyle was permitted to issue approvals when his engineering judgement told him that it was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advisable to do so, how could he be said to be acting within the scope of his mandate? In my view, he could not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I conclude that Mr. Doyle fell below the standard of care of engineers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He allowed other considerations to influence his duties. To the extent that he made the Approvals conditional, he did not take adequate steps, knowing what he knew, to make sure they were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Mr. Doyle was clearly frustrated with the District's position and with what was happening. By trying to be practical, he forgot his role as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 and allowed his frustration to get the better of him. He did not exercise the judgment that an "ordinary, reasonable and prudent" engineer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would have in the same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Is the Province Liable to the Plaintiffs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our Court of Appeal commented on the liability of public regulators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 begin by noting that public regulators are not exempt from civil liability. The Supreme Court of Canada has affirmed the importance of this liability, saying: "It is important for public authorities to be liable in general for their negligent conduct in light of the pervasive role that they play in all aspects of society. Exempting all government actions from liability would result in intolerable outcomes": </w:t>
      </w:r>
      <w:r>
        <w:rPr>
          <w:rFonts w:ascii="arial" w:eastAsia="arial" w:hAnsi="arial" w:cs="arial"/>
          <w:i/>
          <w:color w:val="000000"/>
          <w:sz w:val="20"/>
          <w:lang w:val="en-US" w:eastAsia="en-US" w:bidi="ar-SA"/>
        </w:rPr>
        <w:t>R. v. Imperial Tobacco</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Province says that in granting the Approvals, Mr. Doyle was simply following operational orders: firstly, to restore the channel to its pre-1997 Flood condition, and secondly, to approve the re-installation of the McLaughlin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A compromise to balance competing interests and funding issues is generally acceptable, but not, in my view, at the expense of professional engineering judgment. In effect, the Province says that, given the simultaneous interaction between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Emergency Program Act</w:t>
      </w:r>
      <w:r>
        <w:rPr>
          <w:rFonts w:ascii="arial" w:eastAsia="arial" w:hAnsi="arial" w:cs="arial"/>
          <w:color w:val="000000"/>
          <w:sz w:val="20"/>
          <w:lang w:val="en-US" w:eastAsia="en-US" w:bidi="ar-SA"/>
        </w:rPr>
        <w:t xml:space="preserve">, it was impossible for Mr. Doyle to comply with his duty under s.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Had a qualified professional engineer been engaged by the McLaughlins, I conclude that the bridge would not have been replaced only 0.6 metres higher than it was previously. The only expert evidence on the point was from Mr. LaCas who opined that, given the information available at the time, it should have been 2.4 metres higher. I accept his evidence on this point. Mervyn Road would have been required to accommodate the additional height. There is no evidence before me on what would have been required to construct Mervyn Road to accommodate a higher bridge height or what the cost would have been but I am satisfied that it would not have been prohibitive. It would simply have involved a ramp or approach of some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Mr. Doyle's site inspection on April 1, 1998, disclosed that the Channel Restoration did not meet the conditions of the Channel Restoration Approval. He foresaw that if the McLaughlin Bridge Replacement went ahead, the completed package of bridge and channel were going to be more hazardous under high flow conditions than they were before the 1997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Despite this, he took no steps to remedy the problem. He simply noted the concerns in a memo. At that point, the McLaughlin Bridge Replacement had not begun. It was at this point even more critical that the McLaughlins knew the importance of having the bridge height engineered.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I liken this case to building inspection cases such as </w:t>
      </w:r>
      <w:r>
        <w:rPr>
          <w:rFonts w:ascii="arial" w:eastAsia="arial" w:hAnsi="arial" w:cs="arial"/>
          <w:i/>
          <w:color w:val="000000"/>
          <w:sz w:val="20"/>
          <w:lang w:val="en-US" w:eastAsia="en-US" w:bidi="ar-SA"/>
        </w:rPr>
        <w:t>Kamloops, Rothfield v. Manolakos</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[1989] 2 S.C.R. 1259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Ingles v. Tutkaluk Construction Ltd.</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[2000] 1 S.C.R. 298</w:t>
        </w:r>
      </w:hyperlink>
      <w:r>
        <w:rPr>
          <w:rFonts w:ascii="arial" w:eastAsia="arial" w:hAnsi="arial" w:cs="arial"/>
          <w:color w:val="000000"/>
          <w:sz w:val="20"/>
          <w:lang w:val="en-US" w:eastAsia="en-US" w:bidi="ar-SA"/>
        </w:rPr>
        <w:t xml:space="preserve">, where subsequent homeowners have been successful at trial after suffering loss or damage due to the failure of building inspectors to inspect or ensure compliance with building codes (as described in </w:t>
      </w:r>
      <w:r>
        <w:rPr>
          <w:rFonts w:ascii="arial" w:eastAsia="arial" w:hAnsi="arial" w:cs="arial"/>
          <w:i/>
          <w:color w:val="000000"/>
          <w:sz w:val="20"/>
          <w:lang w:val="en-US" w:eastAsia="en-US" w:bidi="ar-SA"/>
        </w:rPr>
        <w:t>Imperial Metals</w:t>
      </w:r>
      <w:r>
        <w:rPr>
          <w:rFonts w:ascii="arial" w:eastAsia="arial" w:hAnsi="arial" w:cs="arial"/>
          <w:color w:val="000000"/>
          <w:sz w:val="20"/>
          <w:lang w:val="en-US" w:eastAsia="en-US" w:bidi="ar-SA"/>
        </w:rPr>
        <w:t>, paras. 51-64).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Similarly in building inspection cases, a building inspector issue blueprints (or, in this case: "Approvals") in accordance with building codes (in this case: on certain conditions deemed advisable). Continuing with the analogy, imagine a case where the house (in this case: bridge) is built but the building inspector (in this case: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regulator engineer) is aware that it is not up to code. Despite this, he or she does nothing about it other than note his or her concerns in a file memo.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Likewise in this case, future affected owners (Vinco and Waterway) are entitled to expect that works are completed "up to code", or in other words, in accordance with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As a result of Mr. Doyle's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Province is liable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Privative Clauses in the </w:t>
      </w:r>
      <w:r>
        <w:rPr>
          <w:rFonts w:ascii="arial" w:eastAsia="arial" w:hAnsi="arial" w:cs="arial"/>
          <w:b/>
          <w:i/>
          <w:color w:val="000000"/>
          <w:sz w:val="20"/>
          <w:lang w:val="en-US" w:eastAsia="en-US" w:bidi="ar-SA"/>
        </w:rPr>
        <w:t>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The Province says that even if this Court finds that Mr. Doyle failed to meet the standard of care, the Province is entitled to the protection of the privative clauses in ss. 48 and 49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 relevant sections of which then read:</w:t>
      </w:r>
      <w:r>
        <w:rPr>
          <w:rFonts w:ascii="arial" w:eastAsia="arial" w:hAnsi="arial" w:cs="arial"/>
          <w:sz w:val="20"/>
          <w:lang w:val="en-US" w:eastAsia="en-US" w:bidi="ar-SA"/>
        </w:rPr>
        <w:cr/>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may not be brought against ... a[n] engineer . . . for anything done or left undone by that person in good faith in the performance or intended performance of an authority conferred or duty imposed under this Act. . .</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this Act, a[n] ...investigation...or order of the . . . engineer must not be questioned, reviewed or restrained by injunction, a proceeding in the nature of prohibition or other process or proceeding in any court.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Province argues that no action can lie against Mr. Doyle due to the fact that he was acting in good faith when the Approvals were issued. Further, the Province says that the discussions Mr. Doyle had with the District, the McLaughlins and other stakeholders were an "investigation" within the meaning of s.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Province's arguments can be disposed of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First, the plaintiffs have not brought an action against Mr. Doyle. The action is against the Province. In my view, while s. 48 will protect Mr. Doyle provided that he acted in good faith, it does not protect the Province from Mr. Doyle's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Second, s. 49 uses language of judicial review. In the context of this case, it means that judicial review proceedings could not have been brought to question, restrain, stop or interfere with Mr. Doyle's investigation into matters concerning the 1997 Flood. Section 49 does not protect the Province for Mr. Doyle's negligent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XII. </w:t>
      </w:r>
      <w:r>
        <w:rPr>
          <w:rFonts w:ascii="arial" w:eastAsia="arial" w:hAnsi="arial" w:cs="arial"/>
          <w:b/>
          <w:color w:val="000000"/>
          <w:sz w:val="20"/>
          <w:u w:val="single"/>
          <w:lang w:val="en-US" w:eastAsia="en-US" w:bidi="ar-SA"/>
        </w:rPr>
        <w:t>THE WATER ACT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Purpose and Interpretation of the </w:t>
      </w:r>
      <w:r>
        <w:rPr>
          <w:rFonts w:ascii="arial" w:eastAsia="arial" w:hAnsi="arial" w:cs="arial"/>
          <w:b/>
          <w:i/>
          <w:color w:val="000000"/>
          <w:sz w:val="20"/>
          <w:lang w:val="en-US" w:eastAsia="en-US" w:bidi="ar-SA"/>
        </w:rPr>
        <w:t>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The purpose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management of public water in the public interest: </w:t>
      </w:r>
      <w:r>
        <w:rPr>
          <w:rFonts w:ascii="arial" w:eastAsia="arial" w:hAnsi="arial" w:cs="arial"/>
          <w:i/>
          <w:color w:val="000000"/>
          <w:sz w:val="20"/>
          <w:lang w:val="en-US" w:eastAsia="en-US" w:bidi="ar-SA"/>
        </w:rPr>
        <w:t>Western Canada Wilderness Committee v. British Columbia (Oil and Gas Commission)</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2014 BCSC 1919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Section 2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vests the right to the use of and flow of all water in streams in British Columbia and requires any modifications to the nature or flow of a stream or any activity or construction that may have an impact on a stream to be made only with the written approval of an engineer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on conditions he or she considers advisable, or in accordance with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strict. The Province has complete control over the use of water and over any changes to streams, stream beds or bridges spanning streams. That authority is granted to the Province for good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The regulations made pursuant to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are important because when the Province first advised Mr. McLaughlin via Mr. Costerton's August 7, 1997 letter that he could replace his bridge without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 he was still required to comply with the regulations. The relevant section of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as it was in the 1997/1998 timeframe is s. 44(1)(b)(iii):</w:t>
      </w:r>
      <w:r>
        <w:rPr>
          <w:rFonts w:ascii="arial" w:eastAsia="arial" w:hAnsi="arial" w:cs="arial"/>
          <w:sz w:val="20"/>
          <w:lang w:val="en-US" w:eastAsia="en-US" w:bidi="ar-SA"/>
        </w:rPr>
        <w:cr/>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purposes of section 9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 following changes in and about a stream may be made without obtaining an approval or licence for that change, provided that the change is made in accordance with this regulation ...:</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maintenance or removal of a clear span bridge, provided that</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hydraulic capacity of the bridge is equivalent to the hydraulic capacity of the stream channel, or is capable of passing the 1 in 200 year maximum daily flow, and the height of the underside of the bridge is also adequate to provide free passage of flood debris and ice flows,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the McLaughlin Bridge could only have been replaced if it was capable of passing a 1 in 200 year flood and it was high enough to provide free passage of a debris flood. In order to rebuild without an approval, therefore, Mr. McLaughlin would have needed to retain a qualified professional engineer qualified in water engineering and hydraulics to ensure s. 44(1)(b)(iii) of the </w:t>
      </w:r>
      <w:r>
        <w:rPr>
          <w:rFonts w:ascii="arial" w:eastAsia="arial" w:hAnsi="arial" w:cs="arial"/>
          <w:i/>
          <w:color w:val="000000"/>
          <w:sz w:val="20"/>
          <w:lang w:val="en-US" w:eastAsia="en-US" w:bidi="ar-SA"/>
        </w:rPr>
        <w:t>Water Regulation</w:t>
      </w:r>
      <w:r>
        <w:rPr>
          <w:rFonts w:ascii="arial" w:eastAsia="arial" w:hAnsi="arial" w:cs="arial"/>
          <w:color w:val="000000"/>
          <w:sz w:val="20"/>
          <w:lang w:val="en-US" w:eastAsia="en-US" w:bidi="ar-SA"/>
        </w:rPr>
        <w:t xml:space="preserve"> was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Respecting the consequences of an approval holder working in or about a stream, there was much debate between the parties as to whether the provisions of s. 21(1)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conjunctive (the plaintiffs' position) or disjunctive (the defendants' position). The provision is again reproduced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A licensee, holder of an approval or person who makes a change in and about a stream in accordance with the regulations must</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reasonable care to avoid damaging land, works, trees or other property, and</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full compensation to the owners for damage or loss resulting from construction, maintenance, use, operation or failure of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agree with the plaintiffs that s. 21(1) is conjunctive. This means that despite holders of an approval using reasonable care in performing works in a stream as authorized by the approval, they are nevertheless liable for damage caused by the "construction, maintenance, use, operation or failure of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Previous versions of British Columbia's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provide insight into legislative intent behind the section. Of relevance, the 1939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(indexed at 1939 S.B.C. 323) [</w:t>
      </w:r>
      <w:r>
        <w:rPr>
          <w:rFonts w:ascii="arial" w:eastAsia="arial" w:hAnsi="arial" w:cs="arial"/>
          <w:i/>
          <w:color w:val="000000"/>
          <w:sz w:val="20"/>
          <w:lang w:val="en-US" w:eastAsia="en-US" w:bidi="ar-SA"/>
        </w:rPr>
        <w:t>1939 Act</w:t>
      </w:r>
      <w:r>
        <w:rPr>
          <w:rFonts w:ascii="arial" w:eastAsia="arial" w:hAnsi="arial" w:cs="arial"/>
          <w:color w:val="000000"/>
          <w:sz w:val="20"/>
          <w:lang w:val="en-US" w:eastAsia="en-US" w:bidi="ar-SA"/>
        </w:rPr>
        <w: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Licensee to make compensation for damage</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Every licensee shall exercise reasonable care to avoid damaging any land, works, trees, or other property, </w:t>
      </w:r>
      <w:r>
        <w:rPr>
          <w:rFonts w:ascii="arial" w:eastAsia="arial" w:hAnsi="arial" w:cs="arial"/>
          <w:color w:val="000000"/>
          <w:sz w:val="20"/>
          <w:u w:val="single"/>
          <w:lang w:val="en-US" w:eastAsia="en-US" w:bidi="ar-SA"/>
        </w:rPr>
        <w:t>and shall make full compensation to the owners for any damage or loss resulting from the construction, maintenance, use, or operation of the licensee's works</w:t>
      </w:r>
      <w:r>
        <w:rPr>
          <w:rFonts w:ascii="arial" w:eastAsia="arial" w:hAnsi="arial" w:cs="arial"/>
          <w:color w:val="000000"/>
          <w:sz w:val="20"/>
          <w:lang w:val="en-US" w:eastAsia="en-US" w:bidi="ar-SA"/>
        </w:rPr>
        <w:t>.</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(1), every holder of a licence for power purpose or waterworks purpose shall have authority to fell and remove any tree and to remove any rock or other thing that endangers his works. R.S. 1936, c. 305, ss. 85, 134 (</w:t>
      </w:r>
      <w:r>
        <w:rPr>
          <w:rFonts w:ascii="arial" w:eastAsia="arial" w:hAnsi="arial" w:cs="arial"/>
          <w:i/>
          <w:color w:val="000000"/>
          <w:sz w:val="20"/>
          <w:lang w:val="en-US" w:eastAsia="en-US" w:bidi="ar-SA"/>
        </w:rPr>
        <w:t>i</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redrawn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Subsection 16(1) of the </w:t>
      </w:r>
      <w:r>
        <w:rPr>
          <w:rFonts w:ascii="arial" w:eastAsia="arial" w:hAnsi="arial" w:cs="arial"/>
          <w:i/>
          <w:color w:val="000000"/>
          <w:sz w:val="20"/>
          <w:lang w:val="en-US" w:eastAsia="en-US" w:bidi="ar-SA"/>
        </w:rPr>
        <w:t>1939 Act</w:t>
      </w:r>
      <w:r>
        <w:rPr>
          <w:rFonts w:ascii="arial" w:eastAsia="arial" w:hAnsi="arial" w:cs="arial"/>
          <w:color w:val="000000"/>
          <w:sz w:val="20"/>
          <w:lang w:val="en-US" w:eastAsia="en-US" w:bidi="ar-SA"/>
        </w:rPr>
        <w:t xml:space="preserve"> encompasses both ss. 21(1)(a) and (b)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in place at the time of these events. In my view, the intention in the </w:t>
      </w:r>
      <w:r>
        <w:rPr>
          <w:rFonts w:ascii="arial" w:eastAsia="arial" w:hAnsi="arial" w:cs="arial"/>
          <w:i/>
          <w:color w:val="000000"/>
          <w:sz w:val="20"/>
          <w:lang w:val="en-US" w:eastAsia="en-US" w:bidi="ar-SA"/>
        </w:rPr>
        <w:t>1939 Act</w:t>
      </w:r>
      <w:r>
        <w:rPr>
          <w:rFonts w:ascii="arial" w:eastAsia="arial" w:hAnsi="arial" w:cs="arial"/>
          <w:color w:val="000000"/>
          <w:sz w:val="20"/>
          <w:lang w:val="en-US" w:eastAsia="en-US" w:bidi="ar-SA"/>
        </w:rPr>
        <w:t xml:space="preserve"> was that a licensee had to exercise reasonable care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make full compensation. In further support of a conjunctive interpretation, the heading itself reads: "Licensee to make compensation for damage". Subsection 16(2) also makes more sense in that context: a licensee can remove rocks and trees but subject to s. 16(1), he or she must compensate for such removal if it damages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1939 Act</w:t>
      </w:r>
      <w:r>
        <w:rPr>
          <w:rFonts w:ascii="arial" w:eastAsia="arial" w:hAnsi="arial" w:cs="arial"/>
          <w:color w:val="000000"/>
          <w:sz w:val="20"/>
          <w:lang w:val="en-US" w:eastAsia="en-US" w:bidi="ar-SA"/>
        </w:rPr>
        <w:t xml:space="preserve"> provision was redrawn from an earlier version of that provision in the 1914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(indexed at 1914 S.B.C. 81) [</w:t>
      </w:r>
      <w:r>
        <w:rPr>
          <w:rFonts w:ascii="arial" w:eastAsia="arial" w:hAnsi="arial" w:cs="arial"/>
          <w:i/>
          <w:color w:val="000000"/>
          <w:sz w:val="20"/>
          <w:lang w:val="en-US" w:eastAsia="en-US" w:bidi="ar-SA"/>
        </w:rPr>
        <w:t>1914 Act</w:t>
      </w:r>
      <w:r>
        <w:rPr>
          <w:rFonts w:ascii="arial" w:eastAsia="arial" w:hAnsi="arial" w:cs="arial"/>
          <w:color w:val="000000"/>
          <w:sz w:val="20"/>
          <w:lang w:val="en-US" w:eastAsia="en-US" w:bidi="ar-SA"/>
        </w:rPr>
        <w: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Licensee to make compensation for damage</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licensee, when constructing, maintaining, or operating his works, or when entering upon any lands in connection with the rights granted him under this Act, shall do as little damage as possible, and shall make full compensation to all owners thereof for any loss, damage, or injury done when exercising the powers aforesaid, which compensation shall, failing agreement, be determined by arbitration pursuant to the "Arbitration Act." 1914, c. 81, s.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This provides further support that the provision is conjunctive. It also provides some insight on the legislature's intent in adding the "reasonable care" phraseology. The </w:t>
      </w:r>
      <w:r>
        <w:rPr>
          <w:rFonts w:ascii="arial" w:eastAsia="arial" w:hAnsi="arial" w:cs="arial"/>
          <w:i/>
          <w:color w:val="000000"/>
          <w:sz w:val="20"/>
          <w:lang w:val="en-US" w:eastAsia="en-US" w:bidi="ar-SA"/>
        </w:rPr>
        <w:t>1914 Act</w:t>
      </w:r>
      <w:r>
        <w:rPr>
          <w:rFonts w:ascii="arial" w:eastAsia="arial" w:hAnsi="arial" w:cs="arial"/>
          <w:color w:val="000000"/>
          <w:sz w:val="20"/>
          <w:lang w:val="en-US" w:eastAsia="en-US" w:bidi="ar-SA"/>
        </w:rPr>
        <w:t xml:space="preserve"> provision does not suggest that a licensee is absolved from liability if he or she acts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Section 21(a) is </w:t>
      </w:r>
      <w:r>
        <w:rPr>
          <w:rFonts w:ascii="arial" w:eastAsia="arial" w:hAnsi="arial" w:cs="arial"/>
          <w:i/>
          <w:color w:val="000000"/>
          <w:sz w:val="20"/>
          <w:lang w:val="en-US" w:eastAsia="en-US" w:bidi="ar-SA"/>
        </w:rPr>
        <w:t>action</w:t>
      </w:r>
      <w:r>
        <w:rPr>
          <w:rFonts w:ascii="arial" w:eastAsia="arial" w:hAnsi="arial" w:cs="arial"/>
          <w:color w:val="000000"/>
          <w:sz w:val="20"/>
          <w:lang w:val="en-US" w:eastAsia="en-US" w:bidi="ar-SA"/>
        </w:rPr>
        <w:t xml:space="preserve"> focused. It is not restricted to "works". Section 21(b) is restricted to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Therefore, the McLaughlins, as holders of the McLaughlin Bridge Approval, and the District, as holder of the Channel Restoration Approval, were required to comply with both s. 9(2) and ss. 21(1)(a) and 21(1)(b). They were only allowed to make changes in and about a stream </w:t>
      </w:r>
      <w:r>
        <w:rPr>
          <w:rFonts w:ascii="arial" w:eastAsia="arial" w:hAnsi="arial" w:cs="arial"/>
          <w:i/>
          <w:color w:val="000000"/>
          <w:sz w:val="20"/>
          <w:lang w:val="en-US" w:eastAsia="en-US" w:bidi="ar-SA"/>
        </w:rPr>
        <w:t>in accordance with an approval</w:t>
      </w:r>
      <w:r>
        <w:rPr>
          <w:rFonts w:ascii="arial" w:eastAsia="arial" w:hAnsi="arial" w:cs="arial"/>
          <w:color w:val="000000"/>
          <w:sz w:val="20"/>
          <w:lang w:val="en-US" w:eastAsia="en-US" w:bidi="ar-SA"/>
        </w:rPr>
        <w:t xml:space="preserve"> and were not only required to exercise reasonable care to avoid damaging land and other property, but were obliged to make full compensation to owners for damage or loss resulting from any of the works that they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In other words, s. 21(1)(b) means what it says: if the construction, maintenance, use, or operation of the works fail, full compensation must be made by the approval holder. Even if reasonable care is taken, the holder of the approval is still liable to make full compensation to those who meet the definition of "owners" for any damage incurred from implemented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"Works" as defined include "obstructions placed in or removed from streams or the banks or beds of streams" as well as "changes in and about a stream" which include "any activity or construction within a stream channel that has or may have an impact on a stream or stream channel".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As approval holders, both the District and the McLaughlins are strictly liable to Vinco and Waterway as "owners" for damage caused by the Channel Restoration and McLaughlin Bridge Replacement. Vinco and Waterway are the only plaintiffs that have a potential claim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because they are the only ones who meet the definition of "owner"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They have two available causes of action: (1) against the McLaughlins as the holders of the McLaughlin Bridge Approval (it was admitted at trial that even though the approval is in Mr. McLaughlin's name only, it was issued to both) and (2) against the District as the holder of the Channel Restoration Approval.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Discussion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The Channel Restoration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Channel Restoration resulted from a mandate issued by the Province to fund what was required to restore the creek bed to its pre-1997 Flood condition. There was no funding for any additional work. It is clear that the District reluctantly agreed to undertake the Channel Restoration.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The District was motivated to negotiate with the Province for a lower height for the McLaughlin Bridge due to Ms. Maurer's concerns and also the cost associated with raising Mervyn Road. The McLaughlin Bridge height issue was holding up the Channel Restoration and Ms. Williams was pressuring the Province to resolve the matter quickly. By February 4, 1998, she was frustrated and wanted to bypass the "bureaucratic assessment" of the bridge elevation. She was "reluctant to debate the issue further considering the potential for political and private property owner conflict and ramifications".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am satisfied that Ms. Williams took a very narrow view of the problem of Sicamous Creek. She simply wanted Mervyn Road rebuilt in a way that would minimize any impact to the Beachcomber Campground and at a cost that would be paid by PEP.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Before issuing the Approval, Mr. Doyle requested pre- and post-channel cross-sections. He wanted to know the scope of the proposed work. It is instructive that Ms. Williams apparently did not appreciate the importance of pre- and post-1997 Flood channel cross-sections. It is not surprising, however, that she did not appreciate the scope of the issue. It was far beyond her expertise. Cross-sections were never provided. Mr. Doyle was the only qualified engineer present during the February 26, 1998 site meeting when the Channel Restoration design was completed. I find that Mr. Doyle provided the design for the Channel Restoration.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find that those present discussed channel bank protection and agreed on the type of riprap to be used. I find that they also agreed that the channel should not be "necked-down" by the riprap causing a reduction of the channel size. In other words, the consensus reached was that the channel should be restored to its pre-1997 Flood condition but the channel size was not to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Those discussions led to the mandatory conditions in the Channel Restoration Approval. Those conditions included that angular riprap be used to reduce channel encroachment and the chances of it falling into the creek during high water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Other than hiring Mr. Whitehead, it is apparent that the District did nothing else. Mr. Whitehead was not supervised. I infer that, because of his experience, he was left to do what he felt needed to be done and he was not privy to or aware of the hydrological issues involved in the lower reaches of Sicamous Creek. Nor should he have been - that was Mr. Doyle's domain as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engineer and the District's domain as the holder of the Channel Restoration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District argues that it did not have any obligation to provide supervision to its contractor, Mr. Whitehead, to ensure compliance with the terms of the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disagree. Implied in the Approval is the obligation to ensure the Works were carried out in accordance with its terms. Although Mr. Whitehead's credentials and abilities were not challenged and there is no debate that he was qualified, it misses the point to suggest that because the Approval did not require the District to supervise its contractor, it can escape responsibility for ensuring the conditions of the Approval were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Respecting the District, Conditions 'L' (angular riprap) was not complied with. Riprap is used to prevent erosion of river/stream banks. Mr. Doyle wanted angular rock because it has a much better chance than round rock of withstanding high water flows. In fact, contrary to Condition 'L', Mr. Whitehead used round rock mixed with angular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Condition 'M' (finished cross-sectional area could not be smaller than it was before) was also not complied with. There is no evidence that Mr. Whitehead was instructed about or even knew of Conditions 'L' and 'M'. Indeed, the evidence suggests he was simply left to his own devices after given a general overview of his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The District argues that no evidence was adduced that would suggest that the use of angular rock would have made any difference to the channel. The District submits that for me to find otherwise would amount to guesswork and conjecture: </w:t>
      </w:r>
      <w:r>
        <w:rPr>
          <w:rFonts w:ascii="arial" w:eastAsia="arial" w:hAnsi="arial" w:cs="arial"/>
          <w:i/>
          <w:color w:val="000000"/>
          <w:sz w:val="20"/>
          <w:lang w:val="en-US" w:eastAsia="en-US" w:bidi="ar-SA"/>
        </w:rPr>
        <w:t>Kerr (Litigation Guardian of) v. Creighton</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2008 BCCA 75</w:t>
        </w:r>
      </w:hyperlink>
      <w:r>
        <w:rPr>
          <w:rFonts w:ascii="arial" w:eastAsia="arial" w:hAnsi="arial" w:cs="arial"/>
          <w:color w:val="000000"/>
          <w:sz w:val="20"/>
          <w:lang w:val="en-US" w:eastAsia="en-US" w:bidi="ar-SA"/>
        </w:rPr>
        <w:t xml:space="preserve"> at paras. 58-62.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 disagree. Mr. Doyle explained that angular rock was to be used due to its ability to withstand heavy creek flows and minimize bank erosion. I accept that the riprap installed by the District did not meet the conditions of the Channel Restoration Approval and I accept that the failure to install the specified riprap contributed to the overall events resulting in the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 conclude that during peak flow, the force of the creek would have torn apart the riprap and transported it downstream thus contributing to the Blockage at the McLaughlin Bridge. Angular riprap, if it was in place, would have been more resistant to being dislodged. The photographs of the aftermath corroborate this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In the District's case, I find that Conditions 'B', 'C', 'F', 'L' and 'M' of the Channel Restoration Approval were not complied with. The channel was not dredged to its pre-1997 Flood depth (Condition 'B') nor did it comply with the Harding Sketches or with the "mutually agreed conditions of work". Further, the final channel profile was not hydraulically stable (Conditions 'C' and 'F'), improper riprap was used (Condition 'L') and the protected channel cross-section was smaller than it was before (Condition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In sum, I find that the non-compliance with these conditions contributed to the events leading up to Avulsion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The McLaughlin Bridge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Mr. McLaughlin was present during the 1997 Flood and witnessed the damage caused by the McLaughlin Bridge at that time. He knew the explosive power of the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Without asking for clarification, and knowing that the creek bed was shallower than it was before the 1997 Flood, Mr. McLaughlin nevertheless took the words of the Approval "</w:t>
      </w:r>
      <w:r>
        <w:rPr>
          <w:rFonts w:ascii="arial" w:eastAsia="arial" w:hAnsi="arial" w:cs="arial"/>
          <w:i/>
          <w:color w:val="000000"/>
          <w:sz w:val="20"/>
          <w:lang w:val="en-US" w:eastAsia="en-US" w:bidi="ar-SA"/>
        </w:rPr>
        <w:t>at least</w:t>
      </w:r>
      <w:r>
        <w:rPr>
          <w:rFonts w:ascii="arial" w:eastAsia="arial" w:hAnsi="arial" w:cs="arial"/>
          <w:color w:val="000000"/>
          <w:sz w:val="20"/>
          <w:lang w:val="en-US" w:eastAsia="en-US" w:bidi="ar-SA"/>
        </w:rPr>
        <w:t xml:space="preserve"> 0.6 m" as approved by a qualified professional engineer, to mean "</w:t>
      </w:r>
      <w:r>
        <w:rPr>
          <w:rFonts w:ascii="arial" w:eastAsia="arial" w:hAnsi="arial" w:cs="arial"/>
          <w:i/>
          <w:color w:val="000000"/>
          <w:sz w:val="20"/>
          <w:lang w:val="en-US" w:eastAsia="en-US" w:bidi="ar-SA"/>
        </w:rPr>
        <w:t>exactly</w:t>
      </w:r>
      <w:r>
        <w:rPr>
          <w:rFonts w:ascii="arial" w:eastAsia="arial" w:hAnsi="arial" w:cs="arial"/>
          <w:color w:val="000000"/>
          <w:sz w:val="20"/>
          <w:lang w:val="en-US" w:eastAsia="en-US" w:bidi="ar-SA"/>
        </w:rPr>
        <w:t xml:space="preserve"> 0.6 m" without approval by a qualified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After the McLaughlin Bridge Replacement, Mr. McLaughlin saw that there was less clearance between the bridge and the creek bed than before the 1997 Flood even though the bridge itself was 0.6 metres higher. He wanted more clearance but did not think to do so during construction because he believed the 0.6 metres height increase was a direction by the Province and the District. He recorded his concerns in contemporaneous notes shortly after the McLaughlin Bridge Replacement was complete. I accept Mr. McLaughlin's evidence on this point. Indeed, both Mr. Doyle and Ms. Maurer noted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In the McLaughlins' case, I find that Condition 'C' requiring that "all works" be designed by a qualified professional engineer was not complied with. The McLaughlins should have known that the term "qualified professional engineer" meant a hydrological engineer with expertise in bridges and river hydraulics. Even if they did not know, they should have taken steps to determine what was meant by "qualified professional engineer". Accordingly, the McLaughlins are liable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and cannot take advantage of the defence of due diligence.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Summary of Water Act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In my view, the District's and McLaughlins' failure to comply with the Approvals make them liable to make full compensation to owners as defined by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for any damage or loss resulting "from the exercise of the rights granted" by the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This means any loss or damage caused to the Vinco Property and Waterway reasonably flowing from the Channel Restoration, McLaughlin Bridge Replacement or a combination of both fall at their respective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XIII.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/VOLUNTARY ASSUMPTION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The defendants argue that if they are found liable to the plaintiffs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Waterway and Vinco ought to be found contributorily negligent for moving the business to the Vinco Property in 2008 despite knowing the substantial risk of flooding that Sicamous Creek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Waterway and Vinco acquired this knowledge through the EBA Reports, which were originally commissioned for the purpose of a proposed development (the project was abandoned with the 2008 recession). The EBA Reports cautioned against the project and warned of a significant hazard of flooding. Indeed the conclusion of the flood hazard assessment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Sicamous Creek is judged to be subject to debris flood, rather than debris flow, and the hazard is considered to be moderate to high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EBA Reports recommended flood mitigation measures be taken if the contemplated development were to proceed. No flood mitigation works were initiated because the development was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McLachlin J. (dissenting in part), defined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way at para.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I accept the defendants' submissions. The test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summarized by Denning L.J. in </w:t>
      </w:r>
      <w:r>
        <w:rPr>
          <w:rFonts w:ascii="arial" w:eastAsia="arial" w:hAnsi="arial" w:cs="arial"/>
          <w:i/>
          <w:color w:val="000000"/>
          <w:sz w:val="20"/>
          <w:lang w:val="en-US" w:eastAsia="en-US" w:bidi="ar-SA"/>
        </w:rPr>
        <w:t>Jones v. Livox Quarries Ld.</w:t>
      </w:r>
      <w:r>
        <w:rPr>
          <w:rFonts w:ascii="arial" w:eastAsia="arial" w:hAnsi="arial" w:cs="arial"/>
          <w:color w:val="000000"/>
          <w:sz w:val="20"/>
          <w:lang w:val="en-US" w:eastAsia="en-US" w:bidi="ar-SA"/>
        </w:rPr>
        <w:t>, [1952] 2 Q.B. 608 (C.A.), at p. 615: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depend on a duty of care, it does depend on foreseeability. Just as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foreseeability of harm to others, so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foreseeability of harm to oneself. A person is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he ought reasonably to have foreseen that, if he did not act as a reasonable, prudent man, he might be hurt himself; and in his reckonings he must take into account the possibility of others being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defendants contend that the plaintiffs failed to act reasonably in the face of a significant foreseeable risk of flooding by failing to take any steps to mitigate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 agree. I find that Vinco and Waterway knew that the Vinco Property was naturally prone to flooding and accepted that flooding would occur from time to time. Despite the clear warning in the EBA Reports, I find that they ignored the issue. Knowing what they knew, flood mitigation measures of some kind should have been undertaken by them and their failure to do so was unreasonable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The defendants have met their burden in proving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 assess Vinco's and Waterway's degree of fault collectively at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XIV. </w:t>
      </w:r>
      <w:r>
        <w:rPr>
          <w:rFonts w:ascii="arial" w:eastAsia="arial" w:hAnsi="arial" w:cs="arial"/>
          <w:b/>
          <w:color w:val="000000"/>
          <w:sz w:val="20"/>
          <w:u w:val="single"/>
          <w:lang w:val="en-US" w:eastAsia="en-US" w:bidi="ar-SA"/>
        </w:rPr>
        <w:t>JOINT TORTFEASORSHIP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Joint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found where there is a concerted action between two or more parties to a common end. In such cases, both parties can be liable for any tort committed by the others. Three conditions must be satisfied in order to find liability on that basis: (1) the defendant must have provided substantial assistance to the commission of an act by the primary tortfeasor; (2) the assistance must have been pursuant to a common design on the part of the defendants that the tort be committed; and (3) the act must constitute a tort as against the claimant: </w:t>
      </w:r>
      <w:r>
        <w:rPr>
          <w:rFonts w:ascii="arial" w:eastAsia="arial" w:hAnsi="arial" w:cs="arial"/>
          <w:i/>
          <w:color w:val="000000"/>
          <w:sz w:val="20"/>
          <w:lang w:val="en-US" w:eastAsia="en-US" w:bidi="ar-SA"/>
        </w:rPr>
        <w:t>I.C.B.C. v. Alexander</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2016 BCSC 1108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Stanley Cup Rioters</w:t>
      </w:r>
      <w:r>
        <w:rPr>
          <w:rFonts w:ascii="arial" w:eastAsia="arial" w:hAnsi="arial" w:cs="arial"/>
          <w:color w:val="000000"/>
          <w:sz w:val="20"/>
          <w:lang w:val="en-US" w:eastAsia="en-US" w:bidi="ar-SA"/>
        </w:rPr>
        <w:t>] at paras. 25-26.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The plaintiffs say that if a finding is made that the Province was negligent, the McLaughlins and the District are also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joint tortfeasors. They argue that because all three defendants were engaged in a concerted action to a common end respecting the McLaughlin Bridge Replacement and Channel Restoration, they are each liable for any tort committed by the other. Specifically, the plaintiffs assert that the Province and District assisted the McLaughlins with a common design for the bridge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Before joint liability will be found, the participating defendants must be engaged in a wrongful (as opposed to lawful) purpose. If they are acting together for a lawful purpose that is potentially dangerous, the joint tortfeasor concept does not apply: </w:t>
      </w:r>
      <w:r>
        <w:rPr>
          <w:rFonts w:ascii="arial" w:eastAsia="arial" w:hAnsi="arial" w:cs="arial"/>
          <w:i/>
          <w:color w:val="000000"/>
          <w:sz w:val="20"/>
          <w:lang w:val="en-US" w:eastAsia="en-US" w:bidi="ar-SA"/>
        </w:rPr>
        <w:t>Martin v. Martin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[1996] N.B.J. No. 167</w:t>
      </w:r>
      <w:r>
        <w:rPr>
          <w:rFonts w:ascii="arial" w:eastAsia="arial" w:hAnsi="arial" w:cs="arial"/>
          <w:color w:val="000000"/>
          <w:sz w:val="20"/>
          <w:lang w:val="en-US" w:eastAsia="en-US" w:bidi="ar-SA"/>
        </w:rPr>
        <w:t xml:space="preserve"> (C.A.) at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Stanley Cup Rioters</w:t>
      </w:r>
      <w:r>
        <w:rPr>
          <w:rFonts w:ascii="arial" w:eastAsia="arial" w:hAnsi="arial" w:cs="arial"/>
          <w:color w:val="000000"/>
          <w:sz w:val="20"/>
          <w:lang w:val="en-US" w:eastAsia="en-US" w:bidi="ar-SA"/>
        </w:rPr>
        <w:t>, Myers J. explained the difference at paras. 14-19: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It is important in the present case to distinguish the concepts of joint tortfeasorship and joint and several liability. It is also important to set out the criteria for the concepts and to delineate their boundaries.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There have been numerous descriptions of the concepts. The classic case is the English Court of Appeal's judgment in "</w:t>
      </w:r>
      <w:r>
        <w:rPr>
          <w:rFonts w:ascii="arial" w:eastAsia="arial" w:hAnsi="arial" w:cs="arial"/>
          <w:i/>
          <w:color w:val="000000"/>
          <w:sz w:val="20"/>
          <w:lang w:val="en-US" w:eastAsia="en-US" w:bidi="ar-SA"/>
        </w:rPr>
        <w:t>Koursk" (The), Re</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[1924] P. 140</w:t>
        </w:r>
      </w:hyperlink>
      <w:r>
        <w:rPr>
          <w:rFonts w:ascii="arial" w:eastAsia="arial" w:hAnsi="arial" w:cs="arial"/>
          <w:sz w:val="20"/>
          <w:lang w:val="en-US" w:eastAsia="en-US" w:bidi="ar-SA"/>
        </w:rPr>
        <w:t xml:space="preserve"> </w:t>
      </w:r>
      <w:r>
        <w:pict>
          <v:shape id="_x0000_i1238" type="#_x0000_t75" style="width:11pt;height:10pt">
            <v:imagedata r:id="rId717" o:title=""/>
          </v:shape>
        </w:pict>
      </w:r>
      <w:r>
        <w:rPr>
          <w:rFonts w:ascii="arial" w:eastAsia="arial" w:hAnsi="arial" w:cs="arial"/>
          <w:color w:val="000000"/>
          <w:sz w:val="20"/>
          <w:lang w:val="en-US" w:eastAsia="en-US" w:bidi="ar-SA"/>
        </w:rPr>
        <w:t xml:space="preserve">, which dealt with collisions between three vessels. Perhaps the most commonly cited academic work is Glanville Williams,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(London: Stevens &amp; Sons, 1951). He set out the following typology at pages 1-16.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Joint Tortfeasors - Joint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Two or more tortfeasors are joint tortfeasors in one of the following three situations:</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one is the principal of or vicariously liable for another (p. 6);</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duty imposed jointly upon them is not performed (p. 9);</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concerted action between them to a common end (p. 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Several Concurrent Tortfeasors - Joint and Several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Several concurrent tortfeasors are independent tortfeasors whose acts concur to produce a single result (p. 16). This can occur in two circumstances: where two causes are necessary in order to effect the consequence or where either cause would be sufficient in itself to produce the consequence. The common characteristic is that it is impossible to apportion the damage among the different tortfeasors.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Williams refers to all the above as concurrent tortfeasors. Concurrent tortfeasors are generally liable for all of the (same) damages. Other cases and works refer to this as joint and several liability. The use of the phrase "joint tortfeasorship" in this circumstance is inaccurate and misleading: per Bankes L.J. in </w:t>
      </w:r>
      <w:r>
        <w:rPr>
          <w:rFonts w:ascii="arial" w:eastAsia="arial" w:hAnsi="arial" w:cs="arial"/>
          <w:i/>
          <w:color w:val="000000"/>
          <w:sz w:val="20"/>
          <w:lang w:val="en-US" w:eastAsia="en-US" w:bidi="ar-SA"/>
        </w:rPr>
        <w:t>The Koursk</w:t>
      </w:r>
      <w:r>
        <w:rPr>
          <w:rFonts w:ascii="arial" w:eastAsia="arial" w:hAnsi="arial" w:cs="arial"/>
          <w:color w:val="000000"/>
          <w:sz w:val="20"/>
          <w:lang w:val="en-US" w:eastAsia="en-US" w:bidi="ar-SA"/>
        </w:rPr>
        <w:t xml:space="preserve"> at p. 150. The High Court of Australia drew a helpful delineation in </w:t>
      </w:r>
      <w:r>
        <w:rPr>
          <w:rFonts w:ascii="arial" w:eastAsia="arial" w:hAnsi="arial" w:cs="arial"/>
          <w:i/>
          <w:color w:val="000000"/>
          <w:sz w:val="20"/>
          <w:lang w:val="en-US" w:eastAsia="en-US" w:bidi="ar-SA"/>
        </w:rPr>
        <w:t>Thompson v. ACTV</w:t>
      </w:r>
      <w:r>
        <w:rPr>
          <w:rFonts w:ascii="arial" w:eastAsia="arial" w:hAnsi="arial" w:cs="arial"/>
          <w:color w:val="000000"/>
          <w:sz w:val="20"/>
          <w:lang w:val="en-US" w:eastAsia="en-US" w:bidi="ar-SA"/>
        </w:rPr>
        <w:t xml:space="preserve"> (1996), 186 CLR 574 at 580-1: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joint tortfeasors and several tortfeasors is that the former are responsible for the same tort whereas the latter are responsible only for the same damage.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Several Tortfeasors causing different damages - Several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third related category that arises in cases where there are multiple people involved in an event or a case is that of several tortfeasors causing different damage. In this instance each tortfeasor is liable only for the damage which he has caused by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Applying the law to this case, there was nothing unlawful about the reinstallation of the McLaughlin Bridge or the Channel Restoration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The plaintiffs' complaint is that it was the combination of the Works that resulted in the clearance being significantly less than it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The District cannot be said to have acted together with the Province or the McLaughlins respecting the bridge construction other than negotiating its height. The McLaughlins simply went along with what the Province and District 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xml:space="preserve">  In my view, this is not a case where the concept of joint tortfeasorship applies. The Province's role was engaged by the duties imposed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 District's duties were dictated by the Channel Restoration Approval and the McLaughlin's duties were dictated by the McLaughlin Bridge Approval. There was no "common design" that would attract liability in the nature of joint tortfeasorship as contemplated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XV.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As I have indicated, liability in this case can be decided based on the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the Province) and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(as against the District and McLaughlins). However, if I am wrong, I will provide my comments on liability in nuisance against the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Public Nuisance Claim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xml:space="preserve">  A public nuisance is any activity that unreasonably interferes with the public's interest in questions of health, safety, morality, comfort or convenience. The conduct complained of must amount to an attack upon the rights of the general public to live their lives unaffected by inconvenience, discomfort or other forms of interference: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at paras. 52-53.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xml:space="preserve">  The "unreasonableness" of the interference must be substantial and not just a trivial annoyance. The interference must be intolerable to an ordinary person, and must be assessed considering the nature, severity and duration of the interference, the character of the neighbourhood, the sensitivity of the plaintiffs' use and the utility of the activity: </w:t>
      </w:r>
      <w:r>
        <w:rPr>
          <w:rFonts w:ascii="arial" w:eastAsia="arial" w:hAnsi="arial" w:cs="arial"/>
          <w:i/>
          <w:color w:val="000000"/>
          <w:sz w:val="20"/>
          <w:lang w:val="en-US" w:eastAsia="en-US" w:bidi="ar-SA"/>
        </w:rPr>
        <w:t>St. Lawrence Cement Inc. v. Barrette</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2008 SCC 64</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xml:space="preserve">  The damage complained of must be "special" in the sense that it rises above that of the general public and is of a different "kind" and "degree": </w:t>
      </w:r>
      <w:r>
        <w:rPr>
          <w:rFonts w:ascii="arial" w:eastAsia="arial" w:hAnsi="arial" w:cs="arial"/>
          <w:i/>
          <w:color w:val="000000"/>
          <w:sz w:val="20"/>
          <w:lang w:val="en-US" w:eastAsia="en-US" w:bidi="ar-SA"/>
        </w:rPr>
        <w:t>Stein v. Gonzales</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(1984), 58 B.C.L.R. 110</w:t>
        </w:r>
      </w:hyperlink>
      <w:r>
        <w:rPr>
          <w:rFonts w:ascii="arial" w:eastAsia="arial" w:hAnsi="arial" w:cs="arial"/>
          <w:color w:val="000000"/>
          <w:sz w:val="20"/>
          <w:lang w:val="en-US" w:eastAsia="en-US" w:bidi="ar-SA"/>
        </w:rPr>
        <w:t xml:space="preserve"> (S.C.). As was explained by McLachlin J. (as she then was) in </w:t>
      </w:r>
      <w:r>
        <w:rPr>
          <w:rFonts w:ascii="arial" w:eastAsia="arial" w:hAnsi="arial" w:cs="arial"/>
          <w:i/>
          <w:color w:val="000000"/>
          <w:sz w:val="20"/>
          <w:lang w:val="en-US" w:eastAsia="en-US" w:bidi="ar-SA"/>
        </w:rPr>
        <w:t>Stein</w:t>
      </w:r>
      <w:r>
        <w:rPr>
          <w:rFonts w:ascii="arial" w:eastAsia="arial" w:hAnsi="arial" w:cs="arial"/>
          <w:color w:val="000000"/>
          <w:sz w:val="20"/>
          <w:lang w:val="en-US" w:eastAsia="en-US" w:bidi="ar-SA"/>
        </w:rPr>
        <w:t xml:space="preserve"> at paras 4 and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Public rights, including claims for public nuisance, can be asserted in a civil action only by the Attorney General as the Crown officer representing the public. A private person can bring an action for an alleged or anticipated breach of the law only where that breach would constitute a breach of his private rights or would inflict "special" or "peculiar" damage upon him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policy behind this rule is that the public and criminal jurisdiction of the court is not to be usurped in a civil proceeding. As long as the suffering or inconvenience is general, there is no place for independent intervention by private citizens. This rule, which prevents individuals from taking upon themselves the role of champions of the public interest, has been said to be established "for the purpose of preventing oppression by means of a multiplicity of civil actions for the same cause"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Therefore, to succeed in a claim for public nuisance, the plaintiffs must show that the Province caused an unreasonable interference with a public right and that they suffered "special" or "peculiar" damage that was more egregious than any damages suffered by the general public rising out of the same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In this case, the plaintiffs assert that the interference with Mervyn Road, the beach adjacent the Vinco Property, the public foreshore and the public boat ramp all constitute "special"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beach belongs to the Province up to the high water mark and the public has access to it. The Province has a lease agreement with Vinco that allows it to build the Waterway docks. The plaintiffs' claim is essentially that the beach is less attractive now than it was before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evidence does not establish that the public access to the beach or foreshore was limited for more than three weeks. While there is no doubt that the beach as it now appears is different that it was before, I am not satisfied that the difference in appearance was of operational significance to either Vinco or Waterway. By its nature, waterfront property situated on a fan delta can be expected to change from time to time. There is no public right to an attractive beach. Thus, I am not persuaded that there was an interference with the public's interest in the beach - accordingly, the claim for the beach adjacent to the Vinco Property fails on the first element of public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Respecting Mervyn Road, while there is no dispute that a public right-of-way exists over it and that the 2012 Flood blocked access to it, I am not satisfied that the plaintiffs suffered special damage by its blockage. Indeed, the evidence is that once Mervyn Road was blocked the plaintiffs immediately opened and used an alternative access from Highway 97A to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Respecting the foreshore, there is no evidence of an interference with the public's right to access it, never mind evidence that the plaintiffs suffered special damage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Respecting the public boat launch, while the plaintiffs' temporary inability to use the ramp was inconvenient, there is no evidence that proves that the plaintiffs suffered any greater inconvenience than did the general public. Further, the evidence is that trees and other debris flushed into Mara Lake </w:t>
      </w:r>
      <w:r>
        <w:rPr>
          <w:rFonts w:ascii="arial" w:eastAsia="arial" w:hAnsi="arial" w:cs="arial"/>
          <w:i/>
          <w:color w:val="000000"/>
          <w:sz w:val="20"/>
          <w:lang w:val="en-US" w:eastAsia="en-US" w:bidi="ar-SA"/>
        </w:rPr>
        <w:t>prior</w:t>
      </w:r>
      <w:r>
        <w:rPr>
          <w:rFonts w:ascii="arial" w:eastAsia="arial" w:hAnsi="arial" w:cs="arial"/>
          <w:color w:val="000000"/>
          <w:sz w:val="20"/>
          <w:lang w:val="en-US" w:eastAsia="en-US" w:bidi="ar-SA"/>
        </w:rPr>
        <w:t xml:space="preserve"> to the Blockage - in other words, the interference would have been caused regardless of the defendants'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The plaintiffs allege that the public nuisance resulted from the Blockage caused in part by the inadequate Channel Restoration. There is no allegation that the Province caused direct harm to the Vinco Property, but rather that the Province permitted the District and the McLaughlins to perform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Province says that Waterway's nuisance claim against the Province is unprecedented. No case has been produced where nuisance has been found against a government regulator for lawfully authorizing the activities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On this point, I agree with the Province. The plaintiffs' claim against the Province for public nuisance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Private Nuisance Claim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xml:space="preserve">  Private nuisance can be described as the unreasonable interference with the use and enjoyment of land that would not be tolerated by the ordinary occupier: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at 548-549. Anyone who actively creates a nuisance can be liable and that liability will continue for as long as the offensive condition remains.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The following general definition of private nuisance was adopted by the Court of Appeal in </w:t>
      </w:r>
      <w:r>
        <w:rPr>
          <w:rFonts w:ascii="arial" w:eastAsia="arial" w:hAnsi="arial" w:cs="arial"/>
          <w:i/>
          <w:color w:val="000000"/>
          <w:sz w:val="20"/>
          <w:lang w:val="en-US" w:eastAsia="en-US" w:bidi="ar-SA"/>
        </w:rPr>
        <w:t>Royal Anne Hotel Co. Ltd. v. Village of Ashcroft</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[1979] B.C.J. No. 2068</w:t>
        </w:r>
      </w:hyperlink>
      <w:r>
        <w:rPr>
          <w:rFonts w:ascii="arial" w:eastAsia="arial" w:hAnsi="arial" w:cs="arial"/>
          <w:color w:val="000000"/>
          <w:sz w:val="20"/>
          <w:lang w:val="en-US" w:eastAsia="en-US" w:bidi="ar-SA"/>
        </w:rPr>
        <w:t xml:space="preserve"> (C.A.)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person . . . may be said to have committed the tort of private nuisance </w:t>
      </w:r>
      <w:r>
        <w:rPr>
          <w:rFonts w:ascii="arial" w:eastAsia="arial" w:hAnsi="arial" w:cs="arial"/>
          <w:i/>
          <w:color w:val="000000"/>
          <w:sz w:val="20"/>
          <w:lang w:val="en-US" w:eastAsia="en-US" w:bidi="ar-SA"/>
        </w:rPr>
        <w:t>when he is held to be responsible for an act indirectly causing physical injury to land or substantially interfering with the use or enjoyment of land or an interest in land where, in the light of all the surrounding circumstances, the injury or interference is held to be unreasonable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Respecting the Individual Houseboat Owners, they have not established, nor have they attempted to establish, that they had an interest in the land that was affected by the 2012 Flood. Therefore, they do not meet the threshold required to advance a claim in private nuisance. That leaves Waterway and Vinco.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The onus of proving that the defendant caused unreasonable interference with the use and enjoyment of the plaintiffs' land rests with the plaintiffs. Once demonstrated, the onus shifts to the defendant to show that the use of the land was reasonable: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at 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The plaintiffs assert that the McLaughlin Bridge Replacement and Channel Restoration caused a private nuisance when they interfered with the flow of Sicamous Creek and caused a flood to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xml:space="preserve">  The Province denies that it can be found liable for private nuisance. The Province reiterates that it merely granted the Approvals for the McLaughlin Bridge Replacement and the Channel Restoration and that it did not undertake the actual construction of either project. Rather, those projects were the responsibility of the other defendants pursuant to their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Approvals. The Province neither owned nor created the Works that the plaintiffs allege gave rise to actionable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 plaintiffs, however, do not claim against the Province as the owner of Sicamous Creek, but instead for issuing the Approvals that enabled the other defendants to cause the nuisance. They assert that by designing and approving the Channel Restoration and providing directions for the height of the McLaughlin Bridge Replacement, the Province failed to abate the nuisance and is therefore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I cannot accede to this argument. Such a concept was rejected in </w:t>
      </w:r>
      <w:r>
        <w:rPr>
          <w:rFonts w:ascii="arial" w:eastAsia="arial" w:hAnsi="arial" w:cs="arial"/>
          <w:i/>
          <w:color w:val="000000"/>
          <w:sz w:val="20"/>
          <w:lang w:val="en-US" w:eastAsia="en-US" w:bidi="ar-SA"/>
        </w:rPr>
        <w:t>Hoffman v. Monsanto Canada Inc.</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2005 SKQB 225</w:t>
        </w:r>
      </w:hyperlink>
      <w:r>
        <w:rPr>
          <w:rFonts w:ascii="arial" w:eastAsia="arial" w:hAnsi="arial" w:cs="arial"/>
          <w:color w:val="000000"/>
          <w:sz w:val="20"/>
          <w:lang w:val="en-US" w:eastAsia="en-US" w:bidi="ar-SA"/>
        </w:rPr>
        <w:t xml:space="preserve"> where the Court stated at para. 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tort of nuisance imposes strict liability when the conditions for its application are met. The implications of holding a manufacturer, or even inventor, liable in </w:t>
      </w:r>
      <w:r>
        <w:rPr>
          <w:rFonts w:ascii="arial" w:eastAsia="arial" w:hAnsi="arial" w:cs="arial"/>
          <w:i/>
          <w:color w:val="000000"/>
          <w:sz w:val="20"/>
          <w:lang w:val="en-US" w:eastAsia="en-US" w:bidi="ar-SA"/>
        </w:rPr>
        <w:t>nuisance</w:t>
      </w:r>
      <w:r>
        <w:rPr>
          <w:rFonts w:ascii="arial" w:eastAsia="arial" w:hAnsi="arial" w:cs="arial"/>
          <w:color w:val="000000"/>
          <w:sz w:val="20"/>
          <w:lang w:val="en-US" w:eastAsia="en-US" w:bidi="ar-SA"/>
        </w:rPr>
        <w:t xml:space="preserve"> for damage caused by the use of its product or invention by another would be very sweeping indeed. It is my conclusion that where the activity complained of is the activity of one who is not in occupation or control of adjoining land, and no independent malfeasance is alleged, then, at the very least, direct causation of the damage alleged must be alleged. This is not the case. I conclude that there are no facts alleged in this case that could support a finding that the defendants substantially caused the nuisance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Other than issuing the Approvals, there is nothing the Province did that directly impacted the Vinco Property. Respecting the plaintiffs' allegation that the Province failed to abate the nuisance, I agree with the Province that it had no obligation to do so considering the nuisance existed by virtue of a natural hazard resulting from a naturally occurring watercourse: </w:t>
      </w:r>
      <w:r>
        <w:rPr>
          <w:rFonts w:ascii="arial" w:eastAsia="arial" w:hAnsi="arial" w:cs="arial"/>
          <w:i/>
          <w:color w:val="000000"/>
          <w:sz w:val="20"/>
          <w:lang w:val="en-US" w:eastAsia="en-US" w:bidi="ar-SA"/>
        </w:rPr>
        <w:t>Lynds v. Runge</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2002 BCSC 1579</w:t>
        </w:r>
      </w:hyperlink>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plaintiffs' claim against the Province in private nuisance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XVI. </w:t>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Before the defendants will be liable in damages, the plaintiffs must prove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The test for proving causation is the "but for" test. The plaintiffs must prove on a balance of probabilities that "but for" the construction of the Works, the damage they suffered would not have occurred: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In other words, the question is: even if the Province, the District and the McLaughlins did what the plaintiffs say they should have done, would it have made any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The "but for" causation analysis is to be applied using a robust, pragmatic and common sense approach. Scientific certainty is not required. Inferences of causation may be drawn on the basis of common sense. Causation can be inferred - even in the face of inconclusive or contrary expert evidence - from other evidence, including merely circumstantial evidence: </w:t>
      </w:r>
      <w:r>
        <w:rPr>
          <w:rFonts w:ascii="arial" w:eastAsia="arial" w:hAnsi="arial" w:cs="arial"/>
          <w:i/>
          <w:color w:val="000000"/>
          <w:sz w:val="20"/>
          <w:lang w:val="en-US" w:eastAsia="en-US" w:bidi="ar-SA"/>
        </w:rPr>
        <w:t>Benhaim v. St-Germain</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2016 SCC 48</w:t>
        </w:r>
      </w:hyperlink>
      <w:r>
        <w:rPr>
          <w:rFonts w:ascii="arial" w:eastAsia="arial" w:hAnsi="arial" w:cs="arial"/>
          <w:color w:val="000000"/>
          <w:sz w:val="20"/>
          <w:lang w:val="en-US" w:eastAsia="en-US" w:bidi="ar-SA"/>
        </w:rPr>
        <w:t xml:space="preserve"> at para. 54; </w:t>
      </w:r>
      <w:r>
        <w:rPr>
          <w:rFonts w:ascii="arial" w:eastAsia="arial" w:hAnsi="arial" w:cs="arial"/>
          <w:i/>
          <w:color w:val="000000"/>
          <w:sz w:val="20"/>
          <w:lang w:val="en-US" w:eastAsia="en-US" w:bidi="ar-SA"/>
        </w:rPr>
        <w:t>British Columbia (Workers' Compensation Appeal Tribunal) v. Fraser Valley Health Authority</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2016 SCC 25</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Justice Garson (in dissent in the result) summarized the basic principles in </w:t>
      </w:r>
      <w:r>
        <w:rPr>
          <w:rFonts w:ascii="arial" w:eastAsia="arial" w:hAnsi="arial" w:cs="arial"/>
          <w:i/>
          <w:color w:val="000000"/>
          <w:sz w:val="20"/>
          <w:lang w:val="en-US" w:eastAsia="en-US" w:bidi="ar-SA"/>
        </w:rPr>
        <w:t>British Columbia v. Canadian Forest Products Ltd.</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2018 BCCA 124</w:t>
        </w:r>
      </w:hyperlink>
      <w:r>
        <w:rPr>
          <w:rFonts w:ascii="arial" w:eastAsia="arial" w:hAnsi="arial" w:cs="arial"/>
          <w:color w:val="000000"/>
          <w:sz w:val="20"/>
          <w:lang w:val="en-US" w:eastAsia="en-US" w:bidi="ar-SA"/>
        </w:rPr>
        <w:t xml:space="preserve"> at para. 135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[135] To summarize, the following principles emerge from the Supreme Court of Canada's jurisprudence on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appropriate test for causation is the "but for" test, except in rare circumstances unrelated to this appeal: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Courts must take a common-sense approach to "but for" causation rather than requiring certain or scientific proof of causation: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at 328;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proof remains with the plaintiff: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at 330. However, as in other fact-finding contexts, a court may infer "but for" causation based on an assessment of all the evidence if the defendant fails to introduce sufficient evidence contrary to the plaintiff's theory of causation: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10-11.</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whether the defendant has introduced sufficient evidence to contradict the plaintiff's theory of causation, the trier of fact may consider the relative positions of the parties to adduce evidence on causation: </w:t>
      </w:r>
      <w:r>
        <w:rPr>
          <w:rFonts w:ascii="arial" w:eastAsia="arial" w:hAnsi="arial" w:cs="arial"/>
          <w:i/>
          <w:color w:val="000000"/>
          <w:sz w:val="20"/>
          <w:lang w:val="en-US" w:eastAsia="en-US" w:bidi="ar-SA"/>
        </w:rPr>
        <w:t>Benhaim</w:t>
      </w:r>
      <w:r>
        <w:rPr>
          <w:rFonts w:ascii="arial" w:eastAsia="arial" w:hAnsi="arial" w:cs="arial"/>
          <w:color w:val="000000"/>
          <w:sz w:val="20"/>
          <w:lang w:val="en-US" w:eastAsia="en-US" w:bidi="ar-SA"/>
        </w:rPr>
        <w:t xml:space="preserve"> at para. 54. In other words, evidence should be "weighed according to the proof which it was in the power of one side to have produced and in the power of the other to have contradicted": </w:t>
      </w:r>
      <w:r>
        <w:rPr>
          <w:rFonts w:ascii="arial" w:eastAsia="arial" w:hAnsi="arial" w:cs="arial"/>
          <w:i/>
          <w:color w:val="000000"/>
          <w:sz w:val="20"/>
          <w:lang w:val="en-US" w:eastAsia="en-US" w:bidi="ar-SA"/>
        </w:rPr>
        <w:t>Blatch v. Archer</w:t>
      </w:r>
      <w:r>
        <w:rPr>
          <w:rFonts w:ascii="arial" w:eastAsia="arial" w:hAnsi="arial" w:cs="arial"/>
          <w:color w:val="000000"/>
          <w:sz w:val="20"/>
          <w:lang w:val="en-US" w:eastAsia="en-US" w:bidi="ar-SA"/>
        </w:rPr>
        <w:t xml:space="preserve"> (1774), 98 E.R. 969 at 970, cited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Benhaim</w:t>
      </w:r>
      <w:r>
        <w:rPr>
          <w:rFonts w:ascii="arial" w:eastAsia="arial" w:hAnsi="arial" w:cs="arial"/>
          <w:color w:val="000000"/>
          <w:sz w:val="20"/>
          <w:lang w:val="en-US" w:eastAsia="en-US" w:bidi="ar-SA"/>
        </w:rPr>
        <w:t xml:space="preserve"> at para. 48.</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created causal uncertainty and the plaintiff has adduced some evidence in support of its theory of causation, the trial judge is not obliged to draw an inference of causation against the defendant: </w:t>
      </w:r>
      <w:r>
        <w:rPr>
          <w:rFonts w:ascii="arial" w:eastAsia="arial" w:hAnsi="arial" w:cs="arial"/>
          <w:i/>
          <w:color w:val="000000"/>
          <w:sz w:val="20"/>
          <w:lang w:val="en-US" w:eastAsia="en-US" w:bidi="ar-SA"/>
        </w:rPr>
        <w:t>Benhaim</w:t>
      </w:r>
      <w:r>
        <w:rPr>
          <w:rFonts w:ascii="arial" w:eastAsia="arial" w:hAnsi="arial" w:cs="arial"/>
          <w:color w:val="000000"/>
          <w:sz w:val="20"/>
          <w:lang w:val="en-US" w:eastAsia="en-US" w:bidi="ar-SA"/>
        </w:rPr>
        <w:t xml:space="preserve"> at para. 42.</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judge's decision to infer or not infer causation is a finding of fact and attracts deference on appeal: </w:t>
      </w:r>
      <w:r>
        <w:rPr>
          <w:rFonts w:ascii="arial" w:eastAsia="arial" w:hAnsi="arial" w:cs="arial"/>
          <w:i/>
          <w:color w:val="000000"/>
          <w:sz w:val="20"/>
          <w:lang w:val="en-US" w:eastAsia="en-US" w:bidi="ar-SA"/>
        </w:rPr>
        <w:t>Benhaim</w:t>
      </w:r>
      <w:r>
        <w:rPr>
          <w:rFonts w:ascii="arial" w:eastAsia="arial" w:hAnsi="arial" w:cs="arial"/>
          <w:color w:val="000000"/>
          <w:sz w:val="20"/>
          <w:lang w:val="en-US" w:eastAsia="en-US" w:bidi="ar-SA"/>
        </w:rPr>
        <w:t xml:space="preserve"> at paras. 36,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With these principles in mind, I will provide my conclusions on causation from inferences I have drawn from the evidence as a whole, including the photographs, videos, and various expert opinions that I have accepted.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Experts' Theories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If there is one thing that is clear, it is that the fields of hydrological, hydrotechnical, stream channel geomorphology, and fluvial sedimentology engineering are highly specialized and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Much of the expert evidence led at trial involved academic debate amongst the experts who were attempting to determine causation with scientific precision. Each expert theorized on what may have happened based on a series of assumed facts that, if true, might explain their version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Dr. Alila is often requested by scientific publications to peer review and critique other scientists. His job is to ensure that the exacting standards set by particular publications are met. As such, he acts as a gatekeeper for his field. He has high standards and holds his peers to rigorous standards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 am satisfied that Dr. Alila, who is clearly highly qualified in his field, critiqued both Dr. Smith and Mr. LaCas on a standard of scientific precision. He did not agree with the approach they took in using approximations that were necessitated by the unavailability of precise data. He found the use of these approximations to be unacceptable. The rigorous standard of scientific certainty, of course, is not the standard upon which I am to decide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Indeed, none of the experts can say with precision what happened. There are simply too many unknowns and too many variables. Factors such as volume, velocity, depth of the flow, resistance, riprap on the channel banks, and channel dimensions (to name a few) are all at play. To add to the complexity, all of these factors change depending on timeframe and location in the creek channel.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Sicamous Creek is dynamic and ever-changing. It is not a laboratory where controlled testing can be performed. No one knows the state of the creek bed and how much, if any, aggradation existed immediately prior to the 2012 Flood. No one knows precisely the volume or velocity of the flow during the 2012 Flood. In light of these variables, the experts did the only thing they could do: use their expertise, experience and engineering principles to attempt to "calculate" the results. At best, these attempts were educated guesses.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 was impressed by Dr. Smith's knowledge of this subject area. He is clearly a very experienced and knowledgeable expert in the area of modelling and simulations. He maintained confidence throughout his testimony that his simulations of the 2012 Flood, while not precise, were approximately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Of all the experts who testified, I am satisfied he knew the Sicamous watershed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Attempts to challenge his opinions were not successful and were met with carefully considered, thoughtful and confident responses. There are many, many variables that go into his models and he used his experience and judgment to parameterize and calibrate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It is correct that when the number of input parameters increase, more judgment calls need to be made and it is more likely that the model will be inaccurate. The reliability of Dr. Smith's models to precisely emulate the 2012 Flood is limited but I am persuaded that they are nonetheless helpful in estimating the timing and flow volume of the Sicamous Creek during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I am satisfied that Dr. Smith's methodology, calibration and parameter range took into account all necessary and relevant variables such that the model is as reliable as was possible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Additionally and importantly, Dr. Smith's simulations complement the photographs, videos and witness testimony. They corroborate Mr. Bens' evidence that the flow peaked at around 6:00 pm on June 23, 2012 and that it stabilized by approximately 9:00 pm. The photographs and videos confirm that, more likely than not, the flows were not "off the charts" after 6:00 pm. as the defendants suggest. Rather, they were probably manageable by the channel, but for the Blockage. I accept that the creek was flowing at a rate of 50-60 cubic metres/second and that the channel was able to handle it, albeit barely.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On balance, and the acknowledged frailties with the data, I find that Dr. Smith's models are a reasonable approximation of the events of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There were two main differences between Dr. Church and Dr. Jakob's opinions related to the causation of Avulsions 'A'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First, Dr. Church says that the flow (and sediment contained within it) would have been flushed into Mara Lake irrespective of its high water and thus, the Blockage caused Avulsion 'A'. Dr. Jakob disagrees and says that the high lake water level is the single most contributory factor to the aggradation eventually occurring and ultimately causing Avulsion 'A'. He says that the channel had already aggradated due to the backwater effect that occurred prior to the Blockage. Dr. Jakob's view is that Avulsion 'A' would have occurred in any event because the channel had almost completely filled in with sediment.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Secondly, Dr. Church says that the avulsions upstream of Avulsion 'A', particularly Avulsion 'D', were also caused by the Blockage because it created a progressive upstream sediment wedge. Dr. Jakob, on the other hand, says that Avulsion 'D' had nothing to do with the Blockage and occurred independent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Dr. Church criticized Dr. Jakob's approach on the basis that his opinion was based on a "how to design the channel for safety" point of view rather than a "what happened" historical point of view. Because of the supercritical flow prior to the Blockage, Dr. Church does not believe the high lake water level would have had the effect Dr. Jakob suggests. Because Sicamous Creek flows through a deep, narrow channel, he believes that it was competent to transport and flush debris even at moderate flows. Therefore, Dr. Church's view is that aggradation would not have occurred but for the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Dr. Jakob's opinion is that Avulsion 'D' occurred some 160-170 metres upstream from the Highway 97A Bridge and was caused by two complementary processes that were totally independent of the Blockage. Those processes were: (1) massive bank erosion and consequent channel widening; and (2) a sediment wedge from the Highway 97A Bridge upstream raising the bed of the channel and reducing stream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Based on a review of the videos of the 2012 Flood, Dr. Church does not accept that most of the sediment material that ended up on the Vinco Property came from Avulsion 'D'. This is firstly because a substantial volume of sediment and rocks were transported over the Vinco Property by Avulsion 'A' and secondly because Avulsion 'D' occurred much later as the flow was receding (meaning the flow would have been mostly water at that point with little to no sediment embedded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It is impossible to know precisely when the sediment began overflowing the bank. I accept that the peak of the flood occurred when Avulsion 'A' became active and Avulsion 'D' had not yet begun. I accept that Avulsion 'D' started well after peak flows. I note as well that Avulsion 'D' started out relatively small and did not fully develop until June 24, 2012 and by then, the sediment being transported by the flow had substantially reduced. I accept that by the time Avulsion 'D' was complete, most of the sediment from the watershed had been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Accordingly, I accept Dr. Church's opinion that the majority of the sediment from the watershed (approximately 25,000 cubic metres) was likely transported onto the Vinco Property via Avulsion 'A'. This view is corroborated by the photographs, videos and eyewitness testimony of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 also accept Dr. Church's opinion that, compared to Avulsion 'A', Avulsion 'D's contribution to the sediment deposit on the lower Vinco Property, excluding the sediment that was flushed through the property into Mara Lake, was much smaller, likely less than 30% of the total.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Cause of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The timing of the chain of events is important in determining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Mr. Varszegi (Waterway's dock manager) testified on these points. He was sensible, careful and fair in giving his evidence. He took photographs minutes before the Truck arrived at the bridge. These photographs are instructive and helpful, especially when compared to the photos of the bridge taken afterwards. He stated, and I accept, that by approximately 3:30 pm on June 23, 2012, he observed Sicamous Creek flowing fast. He heard the sound of rocks crashing in the creek, and saw full-size trees transported down the channel, driven by the force of the flow under the McLaughlin Bridge and flushed into Mara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He described the flow as an elevated jet of chocolate coloured water being shot into the lake. The jet disappeared abruptly some distance into the lake where it met a large debris mat floating in the lake. At that point, everything was being flushed into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He noted that between 3:40 pm and 4:45 pm, the level of Sicamous Creek rose about one foot. He noted that by 5:30 pm, the waves were making contact with the underside of the McLaughlin Bridge. Debris was being temporarily captured by the McLaughlin Bridge causing a thin sheet of water upstream to spill over the north bank. With the force of the flow, the captured debris broke free and was forced under the bridge. Following that, the flow 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At approximately 5:48 pm on June 23, 2012, Mr. Varszegi observed the Truck "rafting" down Sicamous Creek nose first. It hit the south bank and spun sideways. He saw it "shuddering" along the bank and roll roof-first, crashing into the McLaughlin Bridge and ultimately disappearing. Immediately thereafter, the creek backed-up and flowed over the north bank onto Mervyn Road and onto the Vinco Property. The overbank flow was dramatic and grew faster and deeper as it expanded upstream (Avulsion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Within 30 minutes, a large pile of debris had jammed against the upstream side of McLaughlin Bridge which by then was completely blocked. There was no place for the flow to go other than over the channel's banks. Prior to the Blockage, he stated that any overbank flows were minimal and caused by transient blockages.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 have already accepted that peak flow occurred at about 6:00 pm and stabilized at that level through to about 9:30 pm when it began to subside.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I conclude that, more likely than not, the Sicamous Creek channel, as debris laden as it was, was still able to carry the flows into Mara Lake. I conclude that the debris was being flushed into Mara Lake and over the lip of the delta. The videos and photographs speak volumes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In my view, Dr. Church's theory that the aggradation occurred well after the arrival of the Truck makes the most sense. The flow necessary to move the sediment, full-size trees, and large boulders could not have been a shallow flow as Dr. Jakob opined. I conclude that the sedimentation occurred after the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 am satisfied that, but for the Blockage, the flow could have been contained within the channel.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Cause of Avulsions 'A'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I am satisfied that at about 5:48 pm, the Truck became jammed under the McLaughlin Bridge which plugged the channel and caused the Blockage, which in turn caused Avulsion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Therefore, if there was no Truck, there would have been no Blockage and flooding to the Vinco Property caused by Avulsion 'A' would have been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While all experts who testified were exceptionally qualified in their fields and were all helpful, as between Dr. Church's and Dr. Jakob's competing theories of the cause of Avulsion 'A', I prefer Dr. Church's theory. With respect to the competing theories of the cause of Avulsion 'D', I prefer Dr. Jakob's theory that it was totally unrelated to the Blockage and was caused by other naturally occurring phenomena.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Therefore, I conclude that the flood damage caused to the Vinco Property was due to a combination of factors, some related to the Blockage and some not. Those factors are:</w:t>
      </w:r>
      <w:r>
        <w:rPr>
          <w:rFonts w:ascii="arial" w:eastAsia="arial" w:hAnsi="arial" w:cs="arial"/>
          <w:sz w:val="20"/>
          <w:lang w:val="en-US" w:eastAsia="en-US" w:bidi="ar-SA"/>
        </w:rPr>
        <w:cr/>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height of the McLaughlin Bridge was insufficient to handle a 1 in 200 year debris flood;</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Channel Restoration resulted in the creek channel below the Highway 97A Bridge being shallower and narrower than it was prior to the 1997 Flood;</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Avulsion 'A' was predominantly caused by the Blockage. Had the McLaughlin Bridge been higher, the Truck and other debris in the flow would have been flushed into Mara Lake and most of the flooding caused by this avulsion would have been averted; and</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Avulsion 'D' started much later than Avulsion 'A' as the volume and flow of the creek reduced after peak flow. Avulsion 'D' occurred independently of the Blockage and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In sum, I find that significant flooding, damage, erosion and debris deposit on the Vinco Property occurred as a result of Avulsion 'A' which would have made it impossible for Waterway to operate its business in any event of Avulsion 'D'. Avulsion 'D' simply added to the flood debris, but was more confined to the north portion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XVII. </w:t>
      </w:r>
      <w:r>
        <w:rPr>
          <w:rFonts w:ascii="arial" w:eastAsia="arial" w:hAnsi="arial" w:cs="arial"/>
          <w:b/>
          <w:color w:val="000000"/>
          <w:sz w:val="20"/>
          <w:u w:val="single"/>
          <w:lang w:val="en-US" w:eastAsia="en-US" w:bidi="ar-SA"/>
        </w:rPr>
        <w:t>CONCLUSIONS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lead-up to the 2012 Flood was a perfect storm. Mara Lake levels were the highest they had been since the early 1970s. There was significant rainfall on a significant snowpack in the Sicamous Creek watershed. The resulting debris flood was extraordinary.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xml:space="preserve">  Here, I am satisfied that both the McLaughlins and the District as approval holders fell short of complying with the conditions in the Approvals. In accordance with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they are both liable to make full compensation to Vinco and Waterway for damages suffered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The Province is liable to the plaintiffs due to Mr. Doyle's failure to meet the standard of care of a professional engineer by compromising his professional judgment in allowing the McLaughlin Bridge to be reconstructed at a height that was too low especially after knowing that the Channel Restoration was improperly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In terms of the specific damage that each defendant is liable for, I conclude as follows:</w:t>
      </w:r>
      <w:r>
        <w:rPr>
          <w:rFonts w:ascii="arial" w:eastAsia="arial" w:hAnsi="arial" w:cs="arial"/>
          <w:sz w:val="20"/>
          <w:lang w:val="en-US" w:eastAsia="en-US" w:bidi="ar-SA"/>
        </w:rPr>
        <w:cr/>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Province is liable to the plaintiffs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 caused to the Vinco Property and Waterway by Avulsion 'A';</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District is liable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to Vinco and Waterway for damage caused by Avulsion 'A';</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McLaughlins are liable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to Vinco and Waterway for damage caused by Avulsion 'A';</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Vinco and Waterway are 25% contributorily negligent for the damage caused by Avulsion 'A';</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the District and the McLaughlins were jointly responsible for Avulsion 'A' and the damages caused by them are indivisible; and</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not liable to the plaintiffs as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XVIII </w:t>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Waterway was forced to close for three weeks from June 23, 2012 to July 12, 2012. Only due to the extraordinary effort of Waterway's staff was business able to resume when it did, albeit in a rudimentary and makeshift fashion. Sailing reservations for that three week period were cancelled. For those customers who had pre-paid, Waterway gave the option of a full refund or an opportunity to book two future trips for the price of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In addition to lost profits, Waterway and Vinco lost most of its infrastructure, including buildings, equipment, inventory, supplies and materials. In addition, it incurred significant clean-up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Waterway also lost profits and management fees from the sale of ancillary goods and services such as water sport rentals and food/dry goods typically sold to houseboat guests before and after sailings.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Waterway and Vinco claim damages in three categories: diminution in property value; business losses;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The Individual Houseboat Owners suffered no property damage but lost their share of revenues for the 2012 sailing season when their payments were deferred by Waterway's management (due to the significant reduction in revenues and expenses incurred due to the 2012 Flood). This deferment upset a number of Individual Houseboat Owners who were counting on these funds to pay their own expenses. The result of this dissatisfaction was that six of the houseboats left the Waterway fleet and commenced lawsuits against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I have already determined that Avulsion 'A' caused the majority of the damage whereas Avulsion 'D' was responsible for a lesser degree. I have also determined that the Vinco Property would have been damaged to some extent in any event of the Works (albeit minor by comparison). I propose to deal with this issue by way of a percentage reduction to some of Waterway's and Vinco's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xml:space="preserve">  The plaintiffs are only entitled to compensation for loss caused by an actionable wrong and therefore, the damages done by Avulsions 'A' and 'D' must be divided: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The defendants submit, and I agree, that Waterway should not be entitled to a windfall merely because it is difficult to untangle the sources of damage. Although some of the damage was overlapping, I conclude I am still able to make a determination of the damages caused by Avulsion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Dr. Jakob prepared a drawing of the avulsions on an aerial photograph of the flood's aftermath. On the drawing, he opined as to where each avulsion started and the route each avulsion took as it exited the existing channel and progressed onto the Vinco Property. I accept this sketch as an approximation of the avulsions' various routes through the Vinco Property, in particular because it dovetails with the photographic and video evidence of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Avulsion 'A' raged across Mervyn Road and onto the lower Vinco Property destroying everything in its path. Specifically, I conclude that Avulsion 'A' caused most if not all of the damage to the southern portion of the Vinco Property (including the administration building, the parking lot and other outbuildings).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Avulsion 'D', although also significant, was more confined to the upper portion of the Vinco Property to the east of Highway 97 near the houseboat docks. Avulsion 'D' occurred later in the evening on June 23 and into June 24, during which time the flow was reducing in volume and strength. The rocks and boulders seen in the photographs strewn throughout the upper parking lot were likely caused by water erosion from Avulsion 'D'. It is unlikely that they were caused by aggradation or transported by the flow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Although imprecise, the percentage of the total damage caused by Avulsion 'A' compared to Avulsion 'D' calls for an assessment. In all the circumstances, I conclude that 80% of the total losses resulted from Avulsion 'A' and 20% resulted from Avulsion 'D'.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Measure of Damages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The object of damages in tort is to put the plaintiffs in the same position they would have been "but for" the defendants' wrongful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Under established Canadian tort law, a defendant is liable if the plaintiff proves - in respect of causation - that the defendant caused the damage. If the defendants prove that some of the plaintiffs' injuries would have occurred regardless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liability can be reduced: </w:t>
      </w:r>
      <w:r>
        <w:rPr>
          <w:rFonts w:ascii="arial" w:eastAsia="arial" w:hAnsi="arial" w:cs="arial"/>
          <w:i/>
          <w:color w:val="000000"/>
          <w:sz w:val="20"/>
          <w:lang w:val="en-US" w:eastAsia="en-US" w:bidi="ar-SA"/>
        </w:rPr>
        <w:t>Deloitte</w:t>
      </w:r>
      <w:r>
        <w:rPr>
          <w:rFonts w:ascii="arial" w:eastAsia="arial" w:hAnsi="arial" w:cs="arial"/>
          <w:color w:val="000000"/>
          <w:sz w:val="20"/>
          <w:lang w:val="en-US" w:eastAsia="en-US" w:bidi="ar-SA"/>
        </w:rPr>
        <w:t xml:space="preserve"> at para.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xml:space="preserve">  To be recoverable, damages must have been reasonably foreseeable consequences of the breach. The principle of remoteness imposes limits on recoverable damages as a matter of fairness. Determining the degree of probability of a reasonable foreseeable consequence requires a remoteness analysis: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paras. 12-14.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xml:space="preserve">  Reasonable foreseeability is to be determined at the time of the tort on a "reasonable person" objective standard: </w:t>
      </w:r>
      <w:r>
        <w:rPr>
          <w:rFonts w:ascii="arial" w:eastAsia="arial" w:hAnsi="arial" w:cs="arial"/>
          <w:i/>
          <w:color w:val="000000"/>
          <w:sz w:val="20"/>
          <w:lang w:val="en-US" w:eastAsia="en-US" w:bidi="ar-SA"/>
        </w:rPr>
        <w:t>Milliken v. Rowe</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2012 BCCA 490</w:t>
        </w:r>
      </w:hyperlink>
      <w:r>
        <w:rPr>
          <w:rFonts w:ascii="arial" w:eastAsia="arial" w:hAnsi="arial" w:cs="arial"/>
          <w:color w:val="000000"/>
          <w:sz w:val="20"/>
          <w:lang w:val="en-US" w:eastAsia="en-US" w:bidi="ar-SA"/>
        </w:rPr>
        <w:t xml:space="preserve"> at paras. 24-27. Consequently, I must assess damages based on what was reasonably foreseeable at the time of the Works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 have earlier found that the flooding damage to the Beachcomber Campground, as it then was, was a reasonably foreseeable risk. It was also reasonably foreseeable that the Beachcomber Campground would have been sold to a business like Waterway that could be significantly affected by flood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 am satisfied therefore that the plaintiffs are entitled to recover damages because they would have been in the reasonable contemplation of reasonable persons in the defendants' shoes at the time. Further, they are not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 have also found that Waterway and Vinco ought to bear some degree of blame for relocating to the Vinco Property despite the warnings in the EBA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Compensation Under s. 21 of the </w:t>
      </w:r>
      <w:r>
        <w:rPr>
          <w:rFonts w:ascii="arial" w:eastAsia="arial" w:hAnsi="arial" w:cs="arial"/>
          <w:b/>
          <w:i/>
          <w:color w:val="000000"/>
          <w:sz w:val="20"/>
          <w:lang w:val="en-US" w:eastAsia="en-US" w:bidi="ar-SA"/>
        </w:rPr>
        <w:t>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xml:space="preserve">  As "owners"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Vinco and Waterway are entitled to claim "full compensation" for their loss and damage resulting from the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The plaintiffs assert that the words "full compensation" under s. 21 means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losses including consequential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Prior to this trial commencing, the defendants brought an application to strike the plaintiffs' claim. I dismissed the application but my reasons became an issue during submissions prompting me to file a clarifying Corrigendum (cited as </w:t>
      </w:r>
      <w:hyperlink r:id="rId725" w:history="1">
        <w:r>
          <w:rPr>
            <w:rFonts w:ascii="arial" w:eastAsia="arial" w:hAnsi="arial" w:cs="arial"/>
            <w:i/>
            <w:color w:val="0077CC"/>
            <w:sz w:val="20"/>
            <w:u w:val="single"/>
            <w:shd w:val="clear" w:color="auto" w:fill="FFFFFF"/>
            <w:lang w:val="en-US" w:eastAsia="en-US" w:bidi="ar-SA"/>
          </w:rPr>
          <w:t>2018 BCSC 606</w:t>
        </w:r>
      </w:hyperlink>
      <w:r>
        <w:rPr>
          <w:rFonts w:ascii="arial" w:eastAsia="arial" w:hAnsi="arial" w:cs="arial"/>
          <w:color w:val="000000"/>
          <w:sz w:val="20"/>
          <w:lang w:val="en-US" w:eastAsia="en-US" w:bidi="ar-SA"/>
        </w:rPr>
        <w:t>, revised October 17, 2018) stating that neither I nor the drafters of the legislation intended to restrict damage claims to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Repeating from the Corrigendum to Reasons for Judgment dated October 17, 2018, paras. 44-47: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 am in substantial agreement with the plaintiffs' submissions.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concerned with the regulation of property rights in water and the limited relationship addressed in s. 21. The case law and academic commentary on the "complete code" doctrine emphasize the need for care in defining the scope of a complete code: </w:t>
      </w:r>
      <w:r>
        <w:rPr>
          <w:rFonts w:ascii="arial" w:eastAsia="arial" w:hAnsi="arial" w:cs="arial"/>
          <w:i/>
          <w:color w:val="000000"/>
          <w:sz w:val="20"/>
          <w:lang w:val="en-US" w:eastAsia="en-US" w:bidi="ar-SA"/>
        </w:rPr>
        <w:t>Tucci v. Peoples Trust Company</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2017 BCSC 1525</w:t>
        </w:r>
      </w:hyperlink>
      <w:r>
        <w:rPr>
          <w:rFonts w:ascii="arial" w:eastAsia="arial" w:hAnsi="arial" w:cs="arial"/>
          <w:color w:val="000000"/>
          <w:sz w:val="20"/>
          <w:lang w:val="en-US" w:eastAsia="en-US" w:bidi="ar-SA"/>
        </w:rPr>
        <w:t xml:space="preserve"> at paras. 64-68; </w:t>
      </w:r>
      <w:r>
        <w:rPr>
          <w:rFonts w:ascii="arial" w:eastAsia="arial" w:hAnsi="arial" w:cs="arial"/>
          <w:i/>
          <w:color w:val="000000"/>
          <w:sz w:val="20"/>
          <w:lang w:val="en-US" w:eastAsia="en-US" w:bidi="ar-SA"/>
        </w:rPr>
        <w:t>Gendron v. Supply and Services Union of the Public Service Alliance of Canada, Local 50057</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[1990] 1 S.C.R. 1298</w:t>
        </w:r>
      </w:hyperlink>
      <w:r>
        <w:rPr>
          <w:rFonts w:ascii="arial" w:eastAsia="arial" w:hAnsi="arial" w:cs="arial"/>
          <w:color w:val="000000"/>
          <w:sz w:val="20"/>
          <w:lang w:val="en-US" w:eastAsia="en-US" w:bidi="ar-SA"/>
        </w:rPr>
        <w:t xml:space="preserve"> at 1315-1320; Ruth Sullivan,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6th ed (Markham: LexisNexis Canada, 2014) at 536-539. In particular, there is a need for careful attention to legislative intent as determined by considering all relevant factors, including the text, scheme, object and history of the legislation and the presumption that the legislature does not intend to abrogate common law rights unless it says so explicitly or by necessary implication.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Therefore, in my view,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is a complete code solely with respect to the allocation of property rights in water, and with respect to causes of action between "Owners" and licensees, approval holders and persons who make changes in and about a stream (as defined) in accordance with the regulations, where they cause damage to land, trees, works (as defined) or other property including real property. It is not a comprehensive code that subsumes common law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It was not the intention of the Legislature to abrogate those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impact of this conclusion is that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"owners" may only sue approval holders who fail to take reasonable care in making changes in and about a stream for property damage or loss resulting from construction, maintenance, use, operation or failure of the "works"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They may sue others for other harms by way of common law causes of action. In particular, the Individual Houseboat Owners who are not "owners" may sue for economic loss. While pure economic loss is generally not recoverable, the plaintiffs plead a quasi-joint venture relationship, one of the exceptions to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Indeed, the point was reinforced by my summary in para.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 . . (a) "Owners" as defined in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may only pursue causes of action against approval holders where they fail to take reasonable care in making changes in and about a stream or where they suffer damage or loss to property resulting from construction, maintenance, use, operation or failure of their "works", which includes the right to claim under the common law doctrines of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Section 21 has not abrogated those doctrines. Those who are not "owners" or did not suffer damage to property may not pursue a claim under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Therefore, I conclude that Waterway and Vinco as "owners" are entitled to claim all losses they have incurred resulting directly or indirectly from Avulsion 'A', including physical losses, special damages and economic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Diminution of Value of the Vinco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Vinco claims for damages not only to its physical structures but for changes to the shape and configuration of the Vinco Property, including the beach and foreshore, thus making it less useful and ultimately less valuable.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The plaintiffs acknowledge the difficulty in assessing damages for diminution in value but argue that on a balance of probabilities, damages can be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This head of damage came down to a debate between the plaintiffs' appraiser, Mr. Steven Danielson and the defendants' appraiser, Mr. Carl Nilsen.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The Appraisers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The plaintiffs retained Mr. Danielson, a qualified appraiser, to provide an opinion on the diminution in value of the Vinco Property post-2012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His appraisal is based on the highest and best use of the Vinco Property, both pre- and post-2012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His opinion is that immediately prior to the 2012 Flood, the Vinco Property (land only) had a fair market value of $7,170,000 and immediately after the 2012 Flood, its value was reduced to $5,760,000, a difference of $1,410,000. These calculations were based on the buyer being an "experienced property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In simple terms, he attributes the diminution in value of $1,410,000 to the significant change in topography and attractiveness of the property as well as the contamination caused by the 2012 Flood. The contamination relates to the organic matter (trees, root systems, silt and other debris) and non-organic matter (vehicles, equipment, parts of buildings) that were buried underneath the property to an unknown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In preparing his opinion, Mr. Danielson was not provided with and did not review the EBA Reports that suggested the pre-2012 Flood soil conditions were "fair to poor". While he agreed, on face value, that poor soil conditions would have had an adverse influence on the property value, he stated that it is common for lakefront properties to have poor soil conditions and that developers generally take this into account when making offers to purchase. He disagreed that the EBA Reports would impact or change his appraisal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 comparables he used in his appraisal were varied and, although similarly located in a flood plane, were noticeably different than the Vinco Property. He stated that he factored those differences into his final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In short, Mr. Danielson's opinion was that the highest and best use of the Vinco Property in June 2012 was its use as a houseboat business. Anyone buying the Vinco Property at this point would likely be doing so with a plan to "hold onto it" pending a better residential development climate. A development would not have been economically feasible in 2012 due to the poor real estate market but, he says, downturns in the economy are usually temporary and improve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The most likely potential purchaser for the Vinco Property in 2012 would have been a property developer who, if comparing its pre- and post-flood state, would have applied a discount to the offer due to the unknown risks associated with the contamination and the less attractive visual changes to the property. He says experienced developers are used to risks and uncertainty and simply factor that into the discount. He says that an appropriate discount for the Vinco Property would be 20%, which is the approximate discount he applied to arrive at the post-2012 Flood valuation of $5,760,000.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The defendants also called evidence on the diminution of value issue. They jointly retained Mr. Nilsen, a property valuator, to prepare a response to Mr. Danielson's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The defendants did not ask Mr. Nilsen to express an opinion on the pre-flood value of the Vinco Property or how the 2012 Flood may have affected its value. He was simply asked to critique Mr. Danielson's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In his view, Mr. Danielson's pre-flood valuation of $7,170,000 was too high. He did not agree with Mr. Danielson's appraisal methodology nor did he agree with his opinion on the reduction in value of the Vinco Property after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In his opinion, the use made by Mr. Danielson of comparables was not valid. While he agrees that some properties, by their nature and location, have limited "apples-to-apples" comparables and that a certain degree of latitude on the part of the appraiser is required, the appraiser must be clear and cautious on how those differences may affect the appraisal. The further away the comparables are, the greater the need for care and caution in the appraisal. In the circumstances of this case, he felt Mr. Danielson was not as cautious as he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Mr. Nilsen also believed that Mr. Danielson had not fully reflected on market variations for this type of property. He was critical of Mr. Danielson's assumption that there were unknown detrimental soil conditions after the 2012 Flood. He noted that appraisers are not qualified to comment on the cost of remediation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Mr. Nilsen did agree, however, that the most likely purchaser of the Vinco Property in 2012 would have been either a developer who was prepared to hold the property, or someone who wanted to operate a business similar to Waterway's.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He agreed that a prudent buyer would be concerned about unknown soil characteristics and would undertake a due diligence investigation before making an offer. He agreed that when properties contain detrimental conditions, the value is lower: the higher the risk, the lower the offer price. He agreed that these types of risks need to be considered in valuing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The appraisal process is not an exact science. It involves looking at available data, adjusting for various factors such as trends in the market and then ultimately applying experience and professional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The ultimate issue in any appraisal is what a third party buyer would pay considering market conditions and the type of development or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I conclude that, reflecting on the 2008 worldwide downturn in the economy, the market for development property such as the Vinco Property was slow in the 2012 timeframe. The most probable buyer, if one could be found, would have been an experienced developer who would have likely held the property for development until the market improved. The fact that the property was waterfront property brings with it a normal risk that is usually factored into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Having weighed Mr. Danielson's opinion against Mr. Nilsen's opinion, I find that I am unable to conclude that the plaintiffs have met the burden of proof. Although I am satisfied that the property looks aesthetically different and that there are unknown risks associated with the land, the takeaway from Mr. Danielson's evidence was that Vinco Property's soil conditions would have been a significant risk for development in any event due to its waterfront location. Given the EBA Reports, I conclude that the risk factors to a developer would have been the same or similar before and after the 2012 Flood and that the 2012 Flood did not have a significant impact on the Vinco Property's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It follows that Vinco's claim for diminution in value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With a few exemptions, pure economic loss (a loss that is not accompanied by physical injury or property damage) is not recoverable. One exception is known as "relational economic loss" which allows a plaintiff who suffered no physical damage to claim economic damages because of the relationship he or she has to another person who has suffered physical damage. Some relationships (joint or common ventures) can support claims for pure economic loss in certain circumstances: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at para. 73;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at paras. 46-48.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In addition to the physical losses, Waterway and Vinco claim economic losses. In addition to the three week period of lost revenues immediately following the flood, Waterway claims that the business suffered ongoing losses in the form of reduced revenues. These losses are known as "consequential economic losses" (not "pure economic losses") and are recoverable because they are consequent from the physical losses they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The Individual Houseboat Owners did not suffer any physical damage to their houseboats but claim they suffered financial losses. They assert that these losses are "relational economic losses" and as such are an exception to the general rule that economic losses are not recoverable. They say they were engaged in a form of common or joint venture with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xml:space="preserve">  The joint venture exception was first identified by the Supreme Court of Canada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Briefly, the facts of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were that the defendant caused damage to a bridge owned by the plaintiff. A third party railway company (Canadian National Railway) did not own the bridge but used it regularly. As a result of the damage caused by the defendant, the railway had to reroute its trains which resulted in a loss. The Court found that a joint or common venture existed and that the railway could claim damages for pure economic loss. McLachlin J., as she then was, stated at 1162: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a characterization brings the situation into the "joint" or "common venture" category under which recovery for purely economic loss has heretofore been recognized in maritime law cases from the United Kingdom and the United States. The reasoning, as I apprehend it, is that where the plaintiff's operations are so closely allied to the operations of the party suffering physical damage and to its property (which--as damaged-- causes the plaintiff's loss) that it can be considered a joint venturer with the owner of the property, the plaintiff can recover its economic loss even though the plaintiff has suffered no physical damage to its own property. To deny recovery in such circumstances would be to deny it to a person who for practical purposes is in the same position as if he or she owned the property physically damaged.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Continuing at 1164: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do not read the authorities which have considered the implications of a joint venture between the plaintiff and the owner of the damaged property as confining themselves to the formal terms of the contract. I prefer a more flexible test which permits the trial judge to consider all factors relevant to their relationship. The terms of the contract are an important consideration in determining whether economic loss is recoverable. But the contract may tell only part of the story between the parties. If the evidence establishes that having regard to the entire relationship between the owner of the damaged property and the plaintiff, the plaintiff must be regarded as standing in the relation of joint or common venturer (or a concept akin thereto) with the property owner with the result that in justice his rights against third parties should be the same as the owner's, then I would not interfere.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five years after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McLachlin J., as she then was, stated at paras. 45-51: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foregoing suggests the need for a rule to distinguish between cases where contractual relational economic loss can be recovered and cases where it cannot be recovered. Such a rule, as I wrote in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should be morally and economically defensible and provide a logical basis upon which individuals can predicate their conduct and courts can decide future cases (p. 1147). Although this Court attempted to formulate such a rule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a split decision prevented the emergence of a clear rule. Given the commercial importance of the issue, it is important that the rule be settled. It is therefore necessary for this Court to revisit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differences between the reasons of La Forest J. and myself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are of two orders: difference in result and difference in methodology. The difference in result, taken at its narrowest, is a difference in the definition of what constitutes a "joint venture" for the purposes of determining whether recovery for contractual relational economic loss should be allowed. We both agreed that if the plaintiff is in a joint venture with the person whose property is damaged, the plaintiff may claim consequential economic loss related to that property. We parted company because La Forest J. took a stricter view of what constituted a joint venture than I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difference in methodology is not, on close analysis, as great as might be supposed. Broadly put, La Forest J. started from a general exclusionary rule and proceeded to articulate exceptions to that rule where recovery would be permitted. I, by contrast, stressed the two-step test for when recovery would be available, based on the general principles of recovery in tort as set out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and </w:t>
      </w:r>
      <w:r>
        <w:rPr>
          <w:rFonts w:ascii="arial" w:eastAsia="arial" w:hAnsi="arial" w:cs="arial"/>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(1) whether the relationship between the plaintiff and defendant was sufficiently proximate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 (2) whether, if such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existed, it was negated for policy reasons and recovery should be denied.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Despite this difference in approach, La Forest J. and I agreed on several important propositions: (1) relational economic loss is recoverable only in special circumstances where the appropriate conditions are met; (2) these circumstances can be defined by reference to categories, which will make the law generally predictable; (3) the categories are not closed. La Forest J. identified the categories of recovery of relational economic loss defined to date as: (1) cases where the claimant has a possessory or proprietary interest in the damaged property; (2) general average cases; and (3) cases where the relationship between the claimant and property owner constitutes a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 case at bar does not fall into any of the above three categories. The plaintiffs here had no possessory or proprietary interest in the rig and the case is not one of general averaging. While related contractually, the Court of Appeal correctly held that the plaintiff and the property owner cannot, on any view of the term, be viewed as joint venturers.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However, that is not the end of the matter. The categories of recoverable contractual relational economic loss in tort are not closed. Where a case does not fall within a recognized category the court may go on to consider whether the situation is one where the right to recover contractual relational economic loss should nevertheless be recognized. This is in accordance with </w:t>
      </w:r>
      <w:r>
        <w:rPr>
          <w:rFonts w:ascii="arial" w:eastAsia="arial" w:hAnsi="arial" w:cs="arial"/>
          <w:i/>
          <w:color w:val="000000"/>
          <w:sz w:val="20"/>
          <w:lang w:val="en-US" w:eastAsia="en-US" w:bidi="ar-SA"/>
        </w:rPr>
        <w:t>Norsk, per</w:t>
      </w:r>
      <w:r>
        <w:rPr>
          <w:rFonts w:ascii="arial" w:eastAsia="arial" w:hAnsi="arial" w:cs="arial"/>
          <w:color w:val="000000"/>
          <w:sz w:val="20"/>
          <w:lang w:val="en-US" w:eastAsia="en-US" w:bidi="ar-SA"/>
        </w:rPr>
        <w:t xml:space="preserve"> La Forest J., at p. 1134: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 do not say that the right to recovery in all cases of contractual relational economic loss depends exclusively on the terms of the contract. Rather, I note that such is the tenor of the exclusionary rule and that </w:t>
      </w:r>
      <w:r>
        <w:rPr>
          <w:rFonts w:ascii="arial" w:eastAsia="arial" w:hAnsi="arial" w:cs="arial"/>
          <w:color w:val="000000"/>
          <w:sz w:val="20"/>
          <w:u w:val="single"/>
          <w:lang w:val="en-US" w:eastAsia="en-US" w:bidi="ar-SA"/>
        </w:rPr>
        <w:t>departures from that rule should be justified on defensible policy grounds</w:t>
      </w:r>
      <w:r>
        <w:rPr>
          <w:rFonts w:ascii="arial" w:eastAsia="arial" w:hAnsi="arial" w:cs="arial"/>
          <w:color w:val="000000"/>
          <w:sz w:val="20"/>
          <w:lang w:val="en-US" w:eastAsia="en-US" w:bidi="ar-SA"/>
        </w:rPr>
        <w:t>.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More particularly, La Forest J. suggested that the general rule against recovery for policy-based reasons might be relaxed where the deterrent effect of potential liability to the property owner is low, or, despite a degree of indeterminate liability, where the claimant's opportunity to allocate the risk by contract is slight, either because of the type of transaction or an inequality of bargaining power. I agreed with La Forest J. that policy considerations relating to increased costs of processing claims and contractual allocation of the risk are important (p. 1164). I concluded that the test for recovery "should be flexible enough to meet the complexities of commercial reality and to permit the recognition of new situations in which liability ought, in justice, to lie as such situations arise" (p. 1166). It thus appears that new categories of recoverable contractual relational economic loss may be recognized where justified by policy considerations and required by justice. At the same time, courts should not assiduously seek new categories; what is required is a clear rule predicting when recovery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Here, only five of the Individual Houseboat Owners have a contract directly with Waterway. The rest have contracts with Charters, a shell company, and the appointed "sole and exclusive" manager on Waterway's behalf. None of the Individual Houseboat Owners have a contract with Vinco.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The management contracts between the Individual Houseboat Owners and Charters (as Waterway's agent) suggest no joint venture or partnership exists between them. Those agreements all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PARTNERSHIP: Nothing in this Agreement shall be construed so as to, or shall, constitute a partnership or joint venture between the Manager and the Partnership. In fulfilling its obligations and exercising its rights hereunder, the Manager shall be an independent contractor or the Partnership and shall have the independent direction and control of the management and operation of the Charter Houseboat, subject to specific direction of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The defendants argue that whether or not the Individual Houseboat Owners and Waterway were engaged in a joint venture must be determined by the contracts. The contracts are explicit that no joint venture exists. Indeed, it appears that Waterway went out of its way to ensure the contracts spelled out that they were not engaged in a partnership or joint venture with the Individual Houseboat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xml:space="preserve">  However, despite the wording of the management agreements, this case is a situation where the Individual Houseboat Owners' right to recover relational economic loss should nevertheless be recognized: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at para. 50. In my view, the evidence establishes that having regard to the entire relationship, the Individual Houseboat Owners must be regarded as being in a common venture with Waterway and Vinco: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at 1164. Accordingly, justice requires their claim for economic losses be allowed to the same extent that it is allowed for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The reality is that Waterway could not operate without the Individual Houseboat Owners, and vice versa. Indeed, in the Agreed Statement of Facts, the parties agreed that "</w:t>
      </w:r>
      <w:r>
        <w:rPr>
          <w:rFonts w:ascii="arial" w:eastAsia="arial" w:hAnsi="arial" w:cs="arial"/>
          <w:i/>
          <w:color w:val="000000"/>
          <w:sz w:val="20"/>
          <w:lang w:val="en-US" w:eastAsia="en-US" w:bidi="ar-SA"/>
        </w:rPr>
        <w:t>at the time of the 2012 Flood, some or all of the Plaintiffs were involved in the business of offering and providing houseboat vacation packages."</w:t>
      </w:r>
      <w:r>
        <w:rPr>
          <w:rFonts w:ascii="arial" w:eastAsia="arial" w:hAnsi="arial" w:cs="arial"/>
          <w:color w:val="000000"/>
          <w:sz w:val="20"/>
          <w:lang w:val="en-US" w:eastAsia="en-US" w:bidi="ar-SA"/>
        </w:rPr>
        <w:t xml:space="preserve"> Their relationship is so closely tied together that it would be manifestly unjust to allow Waterway to recover its economic losses to the exclusion of the Individual Houseboat Owners.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Past and Future Loss of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Waterway is a seasonal business earning substantially all of its revenues from May to September of each year. At the time of the 2012 Flood, it had 66 houseboats in its fleet that were available for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In addition to revenues from chartering houseboats (the "Charter Revenue"), Waterway earned additional revenues from ancillary services including fuel and propane sales, septic service charges, programs sold with houseboats, food services, a retail shop and general store, water equipment rental, and repairs to third party houseboats (the "Ancillary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Generally speaking, the Charter Revenue is pooled within each fleet of houseboats and allocated proportionately among the Individual Houseboat Owners (the "Allocated Payments"). Costs, such as houseboat repairs, renovation work, and management fees are deducted from the Allocated Payments and the Individual Houseboat Owners are paid the balance at the end of the sailing season, usually in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Ms. Alice Letang has been employed with Waterway since 1992 and since 2011 has been its chief financial officer. Prior to that she worked as its financial controller.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Ms. Letang is responsible for all of Waterway's financial record-keeping and is very familiar with it. She testified about Waterway's and Vinco's combined financial position including reservation history, cancellation, and debts owing to investors and trades. She has prepared annual budgets for the past 20 years. She monitors houseboat reservations and uses available information to prepare each year's budget. She has done an admirable job over the years. Her revenue budget numbers usually come remarkably close to the actual numbers for each year, save for the 2012 sailing season when she was below budget revenues of some $1.4M.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Waterway had insurance coverage for the buildings and some infrastructure lost in the 2012 Flood and received $927,421.83 in insurance proceeds. That money was used to pay Vinco's operating loans that were incurred during the clean-up from the 2012 Flood and to pay various contractors hired to replace infrastructure so that Waterway could reopen as quickly as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Waterway had received $798,917.37 in prepaid guest bookings for the three weeks it was forced to close. Refunds of those bookings commenced in early July 2012 and totalled $619,013.08. Rebooking proceeds valued at $179,917.37 were kept by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Ms. Letang explained how the Allocated Payments work. She prepared payout spreadsheets explaining how payments are made to the Individual Houseboat Owners in accordance with their various management agreements. These spreadsheets start in 2002 and continue onward. Most houseboats in the fleet split the revenue by 55/45, while four boats split the revenue 60/40. This means that Waterway takes either 55% or 60% of the revenues respectively. The Individual Houseboat Owners then pay for insurance, radio, satellite, renovations, park permits, sewer, internet, upgrades and other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The decision to withhold the Allocated Payments for the 2012 sailing season from the Individual Houseboat Owners was made by Mr. Vinje. Ms. Letang was never directed to make even partial payments. Her understanding of Mr. Vinje's rationale was that there was simply no money available - the business' lines of credit had been run up and Mr. Vinje had already made a significant personal infusion of capital ($491,000) to help defray the 2012 Flood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Additionally, if Waterway had any hope of being prepared for the 2013 sailing season, any available financial resources had to be held in reserve pending future reservations and consequent cash flow. Mr. Vinje's decision was that a deferral of payments was the least of two evils. Ms. Letang's evidence confirms that by February 2013, Waterway was experiencing severe cash shortages and significant debts that were threatening its continued ability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After Waterway's management made the decision to defer the Allocated Payments for the 2012 sailing season, six houseboats left the Waterway fleet, thus impacting revenues available to Waterway in subsequent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The parties attempted to estimate the financial impact to Waterway's business by comparing pre-flood revenues and estimated projected revenues to the actual revenues. It was a difficult, time-consuming and imprecise exercise. The plaintiffs retained Mr. Don Spence to prepare an opinion on the past and future loss of income under two scenarios and based on certain assumptions. The defendants retained Ms. Rosanne Walters to critique Mr. Spence's methodology and provide alternative calculations based on different assumptions.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The Business Evaluators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Mr. Spence is a chartered professional accountant and business 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He prepared two reports. The first is dated July 28, 2016 ("First Spence Report") and the second is dated February 13, 2018 ("Second Spence Report"). The Second Spence Report was intended to update his opinion, correct errors in the First Spence Report, and reflect more current financial information including the 2017 sailing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Mr. Spence made a series of assumptions upon which he relied to base his opinions. These assumptions included that:</w:t>
      </w:r>
      <w:r>
        <w:rPr>
          <w:rFonts w:ascii="arial" w:eastAsia="arial" w:hAnsi="arial" w:cs="arial"/>
          <w:sz w:val="20"/>
          <w:lang w:val="en-US" w:eastAsia="en-US" w:bidi="ar-SA"/>
        </w:rPr>
        <w:cr/>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Waterway experienced ongoing negative publicity related to the 2012 Flood which resulted in decreased revenues through fiscal 2019;</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May 31, 2012, Waterway's pre-booked houseboat sailings for the 2012 sailing season were 85% of its total revenues for the year;</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Six houseboats left the Waterway fleet after the 2012 sailing season as a result of management's inability to pay the Individual Houseboat Owners their Allocated Payments;</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the 2012 Flood, Waterway's annual Charter Revenue would have increased by 4% for each of 2014 and 2015. For the years 2016-2020, it would have increased with inflation;</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Ancillary Revenue, fuel sales and variable costs would have increased proportionate to Charter Revenue;</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Waterway continued to experience a loss of Charter Revenue and Ancillary Revenue due to the 2012 Flood through fiscal 2019; and</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Waterway's houseboat utilization rate would have been the same in any event of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Mr. Spence was asked to quantify past and future business losses under two scenarios: firstly, assuming that the six houseboats that left Waterway's fleet after the 2012 Flood would have remained in the fleet indefinitely but for the flood; secondly, assuming that those same six houseboats would have left the fleet in any event of the 2012 Flood before the start of the 2015 sailing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His updated calculations of the losses under these two scenarios are: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39" type="#_x0000_t75" style="width:412.5pt;height:333pt">
            <v:imagedata r:id="rId72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His approach considered the 2008/2009 economic downturn, which had a negative effect on Waterway's revenues. He made a series of assumptions regarding when Waterway would have recovered from that downturn had the 2012 Flood not occurred. He assumed Waterway would have recovered to its pre-2008 recession levels by the 2014 sailing season but for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Taking an average of earnings per boat from the 2007, 2008 and 2009 sailing seasons, he estimated that each boat earned an average of $69,900 each year. He took the average of those three years because they showed a steady revenue growth trend continuing from 2004 until the recession hit in 2008. Because he was attempting to project the normal level of Waterway's business recovery following the 2008 recession, he thought it inappropriate to use the three years immediately preceding the 2008 recession to assess Waterway's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His opinion is therefore based on "revenues-per-boat", assuming the average "revenue-per-boat" in 2015 was the same as it was pre-2008. He assumed that but for the 2012 Flood, Waterway would have had 66 houseboats in the fleet through the 2019 sailing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Had he used the three years prior to the 2012 Flood as his baseline, he agrees that his findings would be that Waterway had recovered to its pre-flood revenues by 2015. However, in his view, the effect of the 2008 recession on Waterway's pre-2012 Flood revenues had to be considered in assessing the overall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Once he had the baseline per-boat revenue calculation, he multiplied it by the number of boats in the fleet (66) to get gross revenues of $4.614M. He then added an assumed annual growth rate of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The point of his report is that Waterway was clawing its way out of the 2008 recession and in the process was impacted by the 2012 Flood. If the 2012 Flood had not happened, Waterway would have clawed its way back to the pre-recession revenues by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Because of the lack of reliable economic data in the Sicamous area post-2008 recession, he factored mostly macroeconomic indicators into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He concluded that by the 2019 sailing season, Waterway's losses resulting from the 2012 Flood would have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The defendants jointly called Ms. Walters as an expert. She is also an accountant and chartered business valuator with experience in economic loss quantification.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She prepared a response report to Mr. Spence's report and prepared alternative calculations of Waterway's estimated business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While Ms. Walters does not dispute that Waterway suffered financial losses from the 2012 Flood, she believes it recovered from the effects of the flood by the end of fiscal 2015 (2014 sailing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For a variety of reasons, she disagrees with Mr. Spence's methodology and approach. For example, she notes that:</w:t>
      </w:r>
      <w:r>
        <w:rPr>
          <w:rFonts w:ascii="arial" w:eastAsia="arial" w:hAnsi="arial" w:cs="arial"/>
          <w:sz w:val="20"/>
          <w:lang w:val="en-US" w:eastAsia="en-US" w:bidi="ar-SA"/>
        </w:rPr>
        <w:cr/>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Spence did not consider the fact that Waterway's houseboat fleet was declining in size prior to the 2012 Flood, which would have resulted in lower overall revenues after the flood;</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Spence did not consider the fact that revenues for the six non-continuing houseboats were historically significantly lower than the continuing houseboats;</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Spence did not take into account Waterway's erratic revenue levels prior to the 2012 Flood and did not justify his assumption that revenues would have steadily grown in the years after the flood;</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Spence's use of an 85% advanced booking ratio for the 2013 fiscal year was speculative and not justified based on historical data;</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Spence's assumed annual growth rate of 4% between 2013 and 2015 was too aggressive. An annual growth rate of 2% would have been more appropriate;</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Spence omitted the consideration of insurance cost savings by not having to insure the non-continuing houseboats that left the fleet after the 2012 Flood;</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Spence failed to include customer promotion, customer appreciation and houseboat cleaning costs in his variable cost calculations resulting in his variable costs being too low;</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Spence assumed that the six houseboats left because Waterway had no option but to defer the Allocated Payments due to insufficient financial resources. Ms. Walters' review of Waterway's and Vinco's financial statements disclose that, to the contrary, they had the financial wherewithal to pay the Allocated Payments either partly or in full. It would have therefore been possible to appease the Individual Houseboat Owners and perhaps houseboats would not have left the fleet. In other words, Ms. Walters believes that the departure of the six houseboats after the 2012 Flood was due to Waterway's and/or Vinco's own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In her opinion, the net effect of these shortcomings is that Mr. Spence's projected losses are grossly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She does not believe Waterway's pre-2008 recession years are relevant to the projected losses from the 2012 Flood because at that time the Waterway fleet was growing and the economy was booming. The pre-recession economy was different. Economic and industrial factors in the two years post-2008 recession and pre-2012 Flood (namely, 2010 and 2011) would, in her view, more closely reflect what would have happened but for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Her point is that the pre-2008 recession steep growth period is not indicative of what would have happened coming out of the recession. Further, she points out that there was also a post-2012 recession in Alberta, a key source of Waterway's business and a factor that Mr. Spence failed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She also criticized Mr. Spence for using Sunshine Houseboats (a houseboat business located in the Kootenays) as a guide. In her view, Sunshine Houseboats is not a comparable business because it is located in a different market with a number of different economic factors and indicators.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Ms. Walters calculated losses related to the 2012 Flood based on four scenarios as follows:</w:t>
      </w:r>
      <w:r>
        <w:rPr>
          <w:rFonts w:ascii="arial" w:eastAsia="arial" w:hAnsi="arial" w:cs="arial"/>
          <w:sz w:val="20"/>
          <w:lang w:val="en-US" w:eastAsia="en-US" w:bidi="ar-SA"/>
        </w:rPr>
        <w:cr/>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Scenario #1 - Revenue streams had returned to "without flood" levels by the end of fiscal 2015. Loss to Waterway: $921,376; loss to Individual Houseboat Owners: $391,221; total loss: $1,312,597.</w:t>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Scenario #2 - Revenue streams respecting the continuing houseboats had returned to "without flood" levels by the end of fiscal 2015 but the non-continuing houseboat revenue loss continued through the end of fiscal 2015. Loss to Waterway: $1,105,215; loss to Individual Houseboat Owners: $391,221; total loss: $1,496,436.</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Scenario #3 - Revenue streams respecting the continuing houseboats had returned to "without flood" levels by the end of fiscal 2015 but the non-continuing houseboat revenue loss continued through the end of fiscal 2016. Loss to Waterway: $1,291,229; loss to Individual Houseboat Owners: $391,221; total loss: $1,682,450.</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Scenario #4 - Revenue streams respecting the continuing houseboats had returned to "without flood" levels by the end of fiscal 2015 but the non-continuing houseboat revenue loss continued through the end of fiscal 2017. Loss to Waterway: $1,478,832; loss to Individual Houseboat Owners: $391,221; total loss: $1,870,053.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Projecting loss of revenues from the non-continuing houseboats into the end of fiscal 2020 (assuming it can be attributed to the 2012 Flood), she calculates an additional loss of $576,419 to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Because Ms. Walters determined that lost revenues for the continuing houseboats would have ended at the end of fiscal 2015, she did not calculate any future losses from that point on for those houseboats.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She also noted that the decreased revenues that Waterway experienced were in part related to the reduction in the overall size of its fleet prior to the 2012 Flood. She separated out the revenues per houseboat for the continuing houseboats and the non-continuing houseboats and noted that the average revenues for the non-continuing houseboats were significantly lower than the continuing houseboats. The average revenue per continuing houseboat, while dropping in fiscal 2013 (2012 sailing season), rebounded to their pre-flood levels by the end of fiscal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The nature of Waterway's business makes it extremely difficult to predict what business would have looked like but for the 2012 Flood. There are simply too many economic factors and other unknowns to say with precision what the financial impact of the 2012 Flood was. An assessment of past and future loss of earnings is therefore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I have considered both Mr. Spence's opinions and Ms. Walter's critique. On balance, I prefer Ms. Walters' analysis over Mr. Spence's. Based on her analysis, I conclude the average revenue per continuing houseboat recovered to the levels they would have been, but for the 2012 Flood, by the end of fiscal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Taking everything into account, I conclude that Waterway's revenue losses likely continued through the 2014 sailing season. However, I find that by the 2015 sailing season, Waterway had likely recovered to its "without flood"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I also conclude that the reason the non-continuing houseboats left the fleet was directly due to Waterway's management decision to defer payment of the Allocated Payments. I find, however, that Waterway had valid business reasons for doing so and that its losses from those six houseboats leaving the fleet are recoverable. Further, I am prepared to accept that had the six houseboats remained with the fleet, Waterway would have enjoyed revenues from them through the end of fiscal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Accordingly, I find that Waterway has proven damages for loss of profits caused by the 2012 Flood as follows: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Economic Loss for Waterway and Vinco</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income from continuing houseboats through $735,319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fiscal 2015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income from non-continuing houseboats $743,513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through fiscal 2017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 gross loss of earnings</w:t>
      </w:r>
      <w:r>
        <w:rPr>
          <w:rFonts w:ascii="arial" w:eastAsia="arial" w:hAnsi="arial" w:cs="arial"/>
          <w:color w:val="000000"/>
          <w:sz w:val="20"/>
          <w:lang w:val="en-US" w:eastAsia="en-US" w:bidi="ar-SA"/>
        </w:rPr>
        <w:t xml:space="preserve"> $1,478,832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 deducted for Waterway's contributory $1,109,124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 deducted for Avulsion 'D' $887,299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 net loss of earnings</w:t>
      </w:r>
      <w:r>
        <w:rPr>
          <w:rFonts w:ascii="arial" w:eastAsia="arial" w:hAnsi="arial" w:cs="arial"/>
          <w:color w:val="000000"/>
          <w:sz w:val="20"/>
          <w:lang w:val="en-US" w:eastAsia="en-US" w:bidi="ar-SA"/>
        </w:rPr>
        <w:t xml:space="preserve"> $887,299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I also accept Ms. Walters' opinion regarding losses to the Individual Houseboat Owners. They have proven loss of earnings as follows: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Economic Loss for Individual Houseboat Owners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 gross loss of earnings</w:t>
      </w:r>
      <w:r>
        <w:rPr>
          <w:rFonts w:ascii="arial" w:eastAsia="arial" w:hAnsi="arial" w:cs="arial"/>
          <w:color w:val="000000"/>
          <w:sz w:val="20"/>
          <w:lang w:val="en-US" w:eastAsia="en-US" w:bidi="ar-SA"/>
        </w:rPr>
        <w:t xml:space="preserve"> (as set out by $391,221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Ms. Walters)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 deducted for Avulsion 'D' $312,997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 net loss of earnings</w:t>
      </w:r>
      <w:r>
        <w:rPr>
          <w:rFonts w:ascii="arial" w:eastAsia="arial" w:hAnsi="arial" w:cs="arial"/>
          <w:color w:val="000000"/>
          <w:sz w:val="20"/>
          <w:lang w:val="en-US" w:eastAsia="en-US" w:bidi="ar-SA"/>
        </w:rPr>
        <w:t xml:space="preserve"> $312,997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Therefore, Waterway and Vinco are awarded net damages for economic loss of $887,299 and the Individual Houseboat Owners are awarded net damages for economic loss of $312,997.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At the outset of the trial, the parties filed an agreement on special damages ("Damages Agreement'). The Damages Agreement is that Waterway and Vinco incurred special damages totaling $1,771,288.24. Of that, the parties have agreed that the maximum recoverable special damages by the plaintiffs, subject to the plaintiffs proving liability and causation, is 90% or $1,594,159.42.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Based on the Damages Agreement and on my previous findings, the plaintiffs' claimable losses are restricted to damages caused by Avulsion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It is virtually impossible to say with precision what portion of the creek went where or what damage was caused by Avulsion 'A' (as opposed to Avulsion 'D'). Accordingly, an assessment is also required on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An affidavit sworn by Ms. Letang (Waterway's CFO) was filed in evidence. Ms. Letang's affidavit contains a series of detailed spreadsheets she prepared particularizing the losses and expenses that Waterway and Vinco suffered as a result of the 2012 Flood. She sorted the losses into 31 different loss categories ("Loss Categories"). She also helpfully indicated the approximate physical location of each loss category on an aerial photograph ("Loss Category Map"). This became the basis for Waterway's and Vinco's claim for special damages. Her evidence provides the ability to approximate what damages were caused by Avulsion 'A' and what damages were caused by other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Using a combination of the Loss Category Map and Mr. Jakob's avulsion map, I am able to assess the locations of the various loss categories and determine whether they were likely caused by Avulsion 'A' or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With that approach, I have determined that Waterway and Vinco have proven that Avulsion 'A' was responsible for the following Loss Categories in the following amounts: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0" type="#_x0000_t75" style="width:406.56pt;height:586.58pt">
            <v:imagedata r:id="rId729"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I conclude that Waterway and Vinco have not proven that any of Loss Categories 1, 2, 3, 6, 14, 18, 21 and 25 were caused by Avulsion 'A'. Those were either caused by Avulsion 'D' or, in the case of the "Breakwater" (Loss Category 21), would have occurred in any event of the Works. Respecting Loss Categories 16, 19 and 20, I have assigned a percentage that I consider represents the damage caused by Avulsion 'A' (respectively, 66.67%, 50%, and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Respecting Loss Categories 30 and 31, an assessment of how much ought to be assigned to Avulsion 'A' needs to be made and I have assessed that percentage at 80%. To be clear, "Other" (Loss Category 31) refers to inventory, professional fees, extra wages paid to employees and the book value of miscellaneous capital assets that were damaged or lost as a result of the 2012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xml:space="preserve">  Waterway and Vinco are therefore awarded special damages of $1,555,800.33 less 25%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a total of $1,166,850.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XIX. </w:t>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ACT AND THIRD PARTY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sets out how damages are to be apportioned in cases where two or more persons are at fault. The relevant sections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If by the fault of 2 or more persons damage or loss is caused to one or more of them, the liability to make good the damage or loss is in proportion to the degree to which each person was at fault.</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Awarding of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The awarding of damage or loss in every action to which section 1 applies is governed by the following rules:</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or loss, if any, sustained by each person must be ascertained and expressed in dollars;</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each person was at fault must be ascertained and expressed as a percentage of the total fault;</w:t>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each person who has sustained damage or loss and each other person who is liable to make good the damage or loss, the person sustaining the damage or loss is entitled to recover from that other person the percentage of the damage or loss sustained that corresponds to the degree of fault of that other person;</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2 persons each of whom has sustained damage or loss and is entitled to recover a percentage of it from the other, the amounts to which they are respectively entitled must be set off one against the other, and if either person is entitled to a greater amount than the other, the person is entitled to judgment against that other for the excess.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and right of contribution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If damage or loss has been caused by the fault of 2 or more persons, the court must determine the degree to which each person was at fault.</w:t>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xml:space="preserve">  I have found that the Province is at fault for breaching its duty of care to the plaintiffs. I have found the District and the McLaughlins are each at fault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I have found Waterway and Vinco are 25% at fault for locating their operations on the Vinco Property without taking into account the potential for a debris flood and without any flood mitigation measures being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xml:space="preserve">  I conclude that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not restricted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and applies to claims under s. 21 of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In the circumstances of this case, I cannot conclude that one defendant was more blameworthy than the other, nor can I determine whose actions were responsible for what damages. Accordingly, I conclude that each of the defendants should bear an equal share of the damages. This means that the Province, the District and the McLaughlins are each severally liable to the plaintiffs to pay 25% of the damages I have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Given my findings, the Third Party Notices filed by the defendants against each other are moot and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XX. </w:t>
      </w:r>
      <w:r>
        <w:rPr>
          <w:rFonts w:ascii="arial" w:eastAsia="arial" w:hAnsi="arial" w:cs="arial"/>
          <w:b/>
          <w:color w:val="000000"/>
          <w:sz w:val="20"/>
          <w:u w:val="single"/>
          <w:lang w:val="en-US" w:eastAsia="en-US" w:bidi="ar-SA"/>
        </w:rPr>
        <w:t>SUMMARY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To summarize:</w:t>
      </w:r>
      <w:r>
        <w:rPr>
          <w:rFonts w:ascii="arial" w:eastAsia="arial" w:hAnsi="arial" w:cs="arial"/>
          <w:sz w:val="20"/>
          <w:lang w:val="en-US" w:eastAsia="en-US" w:bidi="ar-SA"/>
        </w:rPr>
        <w:cr/>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Waterway and Vinco are awarded damages for economic loss in the amount of $887,299 and special damages in the amount of $1,166,850.</w:t>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Houseboat Owners are awarded damages for lost profits in the amount of $312,997.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xml:space="preserve">  These awards are net of the reduction I have made of 25%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Waterway and Vinco.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xml:space="preserve">  Because of my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Vinco and Waterway, their damage claim is several pursuant to ss. 1 and 2(c)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Each defendant pays $684,716 to Vinco and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The Individual Houseboat Owners are awarded damages in the amount of $312,997 jointly and severally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XXI. </w:t>
      </w:r>
      <w:r>
        <w:rPr>
          <w:rFonts w:ascii="arial" w:eastAsia="arial" w:hAnsi="arial" w:cs="arial"/>
          <w:b/>
          <w:color w:val="000000"/>
          <w:sz w:val="20"/>
          <w:u w:val="single"/>
          <w:lang w:val="en-US" w:eastAsia="en-US" w:bidi="ar-SA"/>
        </w:rPr>
        <w:t>FINAL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I wish to thank counsel for the hard work and civility both before and during the trial, without which this complex and technically challenging case would have taken much longer. I also wish to thank them for their detailed and thoughtful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XXII. </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The parties are at liberty to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1" style="position:absolute;z-index:2518046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Bence v. Okanagan-Similkameen (Regional District), [2004] B.C.J. No. 509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27 - 31, November 3 and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32210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509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M.P.L.R. (3d) 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602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Winneth Bence on her own behalf and on behalf of the 192 other Naramata Property Owners listed on Schedule "A", plaintiffs, and Regional District of Okanagan-Similkameen,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(169 paras.)</w:t>
      </w:r>
    </w:p>
    <w:p>
      <w:pPr>
        <w:jc w:val="both"/>
        <w:rPr>
          <w:rFonts w:ascii="arial" w:eastAsia="arial" w:hAnsi="arial" w:cs="arial"/>
          <w:sz w:val="20"/>
          <w:lang w:val="en-US" w:eastAsia="en-US" w:bidi="ar-SA"/>
        </w:rPr>
      </w:pPr>
      <w:bookmarkStart w:id="287" w:name="Counsel_43"/>
      <w:bookmarkEnd w:id="2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2"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M. Drayton, for the plaintiffs. Sukhbir Manhas and Barry T. Williamson,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8" w:name="Judgment_42"/>
      <w:bookmarkEnd w:id="288"/>
      <w:r>
        <w:pict>
          <v:line id="_x0000_s1243" style="position:absolute;z-index:2517555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9" w:name="KELLEHER J."/>
            <w:bookmarkEnd w:id="289"/>
            <w:r>
              <w:rPr>
                <w:rFonts w:ascii="arial" w:eastAsia="arial" w:hAnsi="arial" w:cs="arial"/>
                <w:b/>
                <w:color w:val="000000"/>
                <w:sz w:val="30"/>
                <w:lang w:val="en-US" w:eastAsia="en-US" w:bidi="ar-SA"/>
              </w:rPr>
              <w:t>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Winneth Bence is a Naramata ratepayer whose annual taxes have gone up dramatically as a result of a legal battle of epic proportions between a developer and the regional government. She claims that a substantial part of the enormous litigation expense should be borne by all ratepayers in the Regional District of Okanagan-Similkameen (the "Regional District") and not just by the ratepayers of Naramata.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battle ended up costing the Regional District $5.3 million, including payments to the developer, Blackwell Stores Ltd. ("Blackwell"), its own legal costs, arbitration costs and other miscellaneous costs. The government of British Columbia contributed $2 million in the form of a grant. The central dispute is whether the property owners within what used to be the Naramata Irrigation District ("NID") are the only ratepayers to whom the Regional District can look for recovery of the remaining $3.3 million. The plaintiff and the persons on whose behalf she brings this action are all NID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While there is no serious disagreement between the parties about the facts, they are not straightforward. This dispute has a long history and has involved many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NID was incorporated by letters patent in 1920 and was dissolved by Order-in-Council on September 28, 1995. Until it was dissolved, NID provided water service for both domestic and irrigation purposes to persons living within its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twelve-inch watermain connected NID's water distribution system to an intake facility on Naramata Creek. This watermain was located in part on property owned by Blackwell. Blackwell's property was outside of, but adjacent to, NID's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NID did not have any authority, either statutory or by agreement, to be on Blackwell's property. In 1989, it tried to reach an agreement with Blackwell to obtain such authority. When those efforts failed, NID initiated expropriation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These proceedings were settled between the parties in 1992. Their agreement was reflected in minutes of settlement (the "Minutes of Settlement"). Clauses 5, 6, and 8 of the Minutes of Settlement provide:</w:t>
      </w:r>
      <w:r>
        <w:rPr>
          <w:rFonts w:ascii="arial" w:eastAsia="arial" w:hAnsi="arial" w:cs="arial"/>
          <w:sz w:val="20"/>
          <w:lang w:val="en-US" w:eastAsia="en-US" w:bidi="ar-SA"/>
        </w:rPr>
        <w:cr/>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[NID] shall pay to the Owner [Blackwell] on the execution of this agreement the sum of $65,000 for: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full and complete compensation for the Owner's costs for all matters relating to the Expropriation Proceedings;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the Easement Area in the manner specified in this agreement until such time as the Owner dedicates the Easement Area to the Crown as a public road;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granting an easement over any portion of the Easement Area that is not dedicated as a public road.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of the sum specified in paragraph 5 will consist of $20,000 cash and $45,000 as a credit in favour of the Owner to be set-off against the Authority's capital development charges.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shall cooperate with the Owner to achieve approval from the approving officer for the subdivision plan. The Authority will also refrain from making representations to the approving officer which result in unjustified or unwarranted delays and/or costs to other subdivision applications made by the Owner. Nothing in this agreement relieves the Owner from complying with the Authority's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Blackwell wanted to subdivide its property. In September 1992, it applied to the provincial government's comptroller of water rights for a certificate of public convenience and necessity ("CPCN"). It needed a CPCN in order to construct a private water system for its proposed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apparently government policy at the time to refuse to issue a CPCN if there was an existing viable water source. Therefore, the comptroller denied Blackwell its CPCN but suggested that it apply to NID for water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September 23, 1992, Blackwell applied to the provincial approving officer for preliminary layout approval ("PLA") of its proposed 95-lot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Blackwell received PLA for the subdivision on September 20, 1993 (the "1993 PLA"). The 1993 PLA required proof that the subdivision was connected to a community water service before the approving officer could give the subdivision final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Water Rights Branch of the Ministry of Land, Environment and Parks wrote to NID on December 18, 1992 inquiring about NID's ability to supply water to the proposed subdivision and what NID estimated the cost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February 1, 1994, Blackwell submitted an application to NID asking NID to extend its boundaries to include the proposed subdivision. The application was formalized in March 1994. NID sought clarification in April 1994 and Blackwell answered its question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Blackwell did not receive any further response to its application. On July 15, 1994, counsel for Blackwell wrote to NID indicating Blackwell's position that NID's refusal to consider its request was a breach of NID's obligations under the Minutes of Settlement and that Blackwell would be seeking damages for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August 1994, NID executed Blackwell's request for the boundary extension and sent it to the Ministry of Municipal Affairs for approval. On September 13, 1994, the Ministry advised NID that, in the absence of a request by Blackwell for water service, it was unnecessary to consider the application for a boundary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October 6, 1994, Blackwell made a formal request for water service from NID. On October 17, NID advised the Ministry of Municipal Affairs of this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Sometime later, the Ministry advised NID that Blackwell's request for a boundary extension would not be put before cabinet until NID had determined that it could provide water service to the subdivision on terms that were acceptable to Blackwell.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1, 1994, Blackwell commenced arbitration proceedings pursuant to the arbitration clause of the Minutes of Settlement. Reiterating its July complaint, it alleged that NID had breached the Minutes of Settlement by failing to consider its request that NID extend its boundaries to include the subdivision. It sought an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NID needed to obtain a water study to determine whether and how it could extend water service to the subdivision. NID had insisted that Blackwell pay for such a study and Blackwell had refused to do so. However, in late 1994 or early 1995, NID decided to obtain such a study at its own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February 7, 1995, Blackwell received a new PLA (the "1995 PLA"). Like the 1993 PLA, the 1995 PLA required proof of connection to a community water system as a precondition to final approval of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PLA's were based on Regional District zoning regulations in force at the time, which required a minimum lot size of 5,000 square feet for fully serviced lots. The lot sizes in the proposed subdivision met that minimum requirement. They were, on average, 7,700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20, 1995, the Regional District rezoned the lands in the proposed subdivision. It increased the minimum lot size from 5,000 square feet to 10,700 square feet. These new zoning regulations would not apply to the subdivision for a period of one year, that is until April 19, 1996. If the subdivision were approved by April 19, 1996, the previous zoning regulations would remain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NID received the water study in the first half of 1995. The study established that it was feasible for the NID water system to supply water to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arbitration hearings began on June 12, 1995. There were some four weeks of hearings on liability, which concluded September 15,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September 28, 1995, the provincial government passed Order-in-Council 1219 dissolving NID and transferring its assets and liabilities to the Regional District: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recommendation of the undersigned, the Lieutenant Governor, by and with the advice and consent of the Executive Council, orders that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Letters Patent, dated November 1, 1920, incorporating the Naramata Irrigation District be revoked and the Naramata Irrigation District be dissolved.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local service area for the Regional District of Okanagan-Similkameen is established for the area comprising the Naramata Irrigation District for each of the following purposes: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supply, treatment, conveyance, storage and distribution of water.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Fire prevention, suppression and the provision of assistance in response to other classes of circumstances specified by bylaw that may cause harm to persons or property.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Street lighting systems.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Cemeteries under the Cemetery and Funeral Services Act.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Bylaws under section 773(2) of the Municipal Act for the local services described in section 2 above, shall be adopted by the Regional Board no later than December 31, 1995.</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assets and liabilities of the Naramata Irrigation District, whether real or contingent, be transferred to the Regional District of Okanagan-Similkameen, and the amount required by the Regional District of Okanagan-Similkameen to settle any real or contingent liability of the Naramata Irrigation District shall be apportioned in the same manner as described in section 820.1(3) of the Municipal Act.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bylaws of the Naramata Irrigation District are declared to be bylaws of the Regional District of Okanagan-Similkameen and continue in force and effect until amended or repealed by the Regional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December 22, 1995, the arbitrator published an award dismissing several preliminary objections NID had advanced and deciding the issue of liability in favour of Blackwell. The arbitrator held, and the plaintiff and defendant in these proceedings specifically agree, that:</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Minutes of Settlement were not void for lack of proper authority on the part of NID.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Minutes of Settlement did not fetter the discretion of NID's trustees.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Minutes of Settlement were not too vague to be enforceable.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NID did not cooperate with Blackwell to achieve final approval for the subdivision from the approving officer and, as such, NID was in breach of its contractual obligation under the Minutes of Settlement to cooperate.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of the duty to cooperate arose from NID's failure to respond to the comptroller's request that NID advise him as to its ability to supply water to the subdivision and the cost of doing so.</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NID gave to Blackwell, government ministries and others was not an honest and fair statement of the facts of the case.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NID's deception and delay were deliberate and oft-repeated.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January 17, 1996, the Regional District held a meeting with Blackwell's legal counsel to work out a solution which would permit the subdivision to proceed. The meeting was a formal one, with a court reporter present. In attendance at the meeting were several employees and one elected official of the Regional District, the consultant to the Regional District who had advised NID and the Regional District in respect of the NID water system, representatives of the Ministry of Transportation and Highways appearing on behalf of the approving officer, counsel for Blackwell, Reinhard Burke, and counsel for the Regional District, Tim Williamson.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Regional District's goal in this meeting was to contain Blackwell's damages by attempting to facilitate the completion of the subdivision. Mr. Burke was not an enthusiastic participant in this meeting. At the beginning of the meeting, Mr. Burke gave notice of Blackwell's position that NID's refusal to cooperate was a repudiation of the Minutes of Settlement and that Blackwell had elected to accept this repudiation. He expressed the view that since Blackwell had exercised its right to accept NID's repudiation, the contractual relationship between Blackwell and the Regional District, as NID's successor, was at an end. He advised that Blackwell was considering whether or not to proceed with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Williamson took a problem-solving approach. He went through what needed to be done for the subdivision to proceed. He assured Mr. Burke that the Regional District was prepared to cooperate,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Maybe I can suggest this, that you speak to your client and tell him what the tenor and the tone of this meeting was and that, again it's on the record here for a reason, we want to make it clear here that we are not interested in thwarting the subdivision[,] we are trying to help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Burke did not concede that the Regional District was being cooperative. He criticized the Regional District for taking "a completely wrong approach" by having unilaterally arranged the meeting. He made it clear that Blackwell was considering whether the development was economically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Regional District took a number of steps after the meeting to facilitate the subdivision, including asking its consultant to prepare an estimate of what it would cost Blackwell if Blackwell connected the subdivision to the Regional District's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Regional District also told Blackwell it would consider the possibility of Blackwell providing security in the form of a bond or letter of credit and entering into an agreement under s. 991 of the Municipal Act, R.S.B.C. 1979, c. 290 as amended (the "Municipal Act 1979") respecting completion of the construction of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Regional District told the comptroller it took no position on and did not oppose Blackwell's existing application for a CPCN.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early 1996, the 1995 PLA's expiry date was extended to April 19, 1996, the same date that the rezoning was due to take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February 6, 1996, the Regional District wrote to Blackwell and advised it would cost Blackwell $816,000 for the Regional District to supply water to the subdivision. This letter contained an error and the estimate was reduced at some unknown later date to $763,000.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February 26, 1996, Blackwell formally advised the Regional District that it would not be proceeding with the subdivision. Its letter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Blackwell Stores Ltd. has decided not to proceed with its efforts to obtain final approval of its 95 lot subdivision plan. Its reasons are as follows:</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physically not possible to complete the works required by the approving officer to be completed by April 19, 1996, the date on which Blackwell's preliminary layout approval expires.</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final approval could be obtained by April 19, 1996, the lots created would not meet the minimum parcel size requirements imposed by Regional District's zoning bylaw 1566.</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final approval could be obtained by April 19, 1996, numerous circumstances have changed. These are set out in our letter to you of January 25, 1996.</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final approval could be obtained by April 19, 1996, the steps taken to date by RDOS and the approach taken by RDOS, as set out in our letter of February 20, 1996, do not encourage Blackwell to proceed.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of the circumstances, Blackwell has determined that it is simply too risky to proceed with its efforts to obtain final approval to its subdivision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March 25, 1996, Blackwell applied to the arbitrator for an award of costs. The arbitrator awarded interim costs of $88,960 on June 12, 1996 and a further $56,403.13 on November 13, 1996. This latter figure represented one-half of the arbitrator's fees and disbursements in respect of the liability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Regional District appealed the arbitrator's ruling concerning liability to this court. Mr. Justice Cohen upheld the arbitration award in Okanagan-Similkameen (Regional District) v. Blackwell Stores Ltd., </w:t>
      </w:r>
      <w:hyperlink r:id="rId737" w:history="1">
        <w:r>
          <w:rPr>
            <w:rFonts w:ascii="arial" w:eastAsia="arial" w:hAnsi="arial" w:cs="arial"/>
            <w:i/>
            <w:color w:val="0077CC"/>
            <w:sz w:val="20"/>
            <w:u w:val="single"/>
            <w:shd w:val="clear" w:color="auto" w:fill="FFFFFF"/>
            <w:lang w:val="en-US" w:eastAsia="en-US" w:bidi="ar-SA"/>
          </w:rPr>
          <w:t>[1996] B.C.J. No. 2189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was then a further 36-day arbitration hearing concerning damages. It began on February 17,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first day of that hearing, the arbitrator verbally suggested to the Regional District that it rezone Blackwell's land, since this would likely reduce Blackwell's losses. In April 1997, the Regional District advised the arbitrator that it intended to implement his suggestion. In May 1997, it led evidence before the arbitrator that it was attempting to reinstate Blackwell's development rights as they existed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July 28, 1997, the legislature enacted the Municipalities Enabling and Validating (No. 2) Amendment Act, S.B.C. 1997, c. 32 ("MEVA No. 2 1997"). It authorized the Regional District to enact bylaws reinstating Blackwell's former development rights. It also restricted the Regional District's right to alter these bylaws without the consent of the property owners for a five-year period. Subsections 36(14) to 36(18) of MEVA No. 2 1997 read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Municipal Act, the regional district may amend its official community plan, zoning bylaws and subdivision servicing bylaws in accordance with the following regional district bylaws, as given second reading by the board of the regional district on April 17, 1997:</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bylaw cited as the "Naramata Official Community Plan Bylaw No. 1406, Amendment Bylaw No. 1763, 1997";</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bylaw cited as the "Electoral Area "E" Zoning Bylaw No. 1566, Amendment Bylaw No. 1764, 1997";</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bylaw cited as the "Regional District of Okanagan-Similkameen Subdivision Servicing Bylaw No. 1567 and Subdivision Bylaw No. 300, Amendment Bylaw No. 1766, 1997".</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(14) is deemed to have come into force on April 17, 1997 and is retroactive to the extent necessary to give it effect on and after that date.</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adoption, a bylaw authorized by subsection (14) is conclusively deemed to be valid for all purposes.</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5 years following the date on which a bylaw authorized by subsection (14) is adopted, the regional district must not amend or repeal the bylaw amended by the applicable bylaw under subsection (14), in relation to property described in that applicable bylaw, without the agreement of the owner or owners of that property.</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is retroactive to the extent necessary to give full force and effect to its provisions and must not be construed as lacking retroactive effect in relation to any matter by reason that it makes no specific reference to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MEVA No. 2 1997 also retroactively validated a number of actions the Regional District took in respect of NID and authorized borrowings to satisfy all of NID's: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real and contingent liabilities...including amounts required to settle legal claims, amounts required to satisfy awards made by a court or an arbitrator and amounts required to pay related legal and administrative expenses and legal costs. (s. 36(6))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21, 1997, the Regional District adopted bylaws authorized by MEVA No. 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November 13, 1997, the Regional District applied to the arbitrator for leave to reopen the arbitration hearing to introduce evidence of this amendment and make submissions regarding reduced damages. The arbitrator allowed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arbitrator issued his award on November 30, 1997. He held, and the plaintiff and defendant in these proceedings specifically agree, that:</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rezoning of the subdivision lands in April 1995 was reasonably foreseeable by NID at the time it entered into the Minutes of Settlement and NID was aware that one result of breaching the contractual obligation to cooperate would be to frustrate the subdivision.</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NID's breach of the contractual obligation to cooperate, Blackwell would have received final approval of its subdivision plan before the April 1995 rezoning and, as such, NID was liable to Blackwell for the losses occasioned by the April 1995 change in zoning.</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substantial downturn in the real estate market for residential lots in mid-1994 that resulted in an almost total hiatus in lot sales for two years following the summer of 1994.</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subdivision proceeded, based on two lot sales in 1994, two lot sales in 1995, 18 lot sales in each of 1996 to 1999, and 19 lot sales in 2000, the subdivision would have been moderately successful and would have earned a profit of something in the order of $1.5 million which would have had a value of $745,500 as of the date for the assessment of damages - January 18, 1996.</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futile expenditures Blackwell incurred in its attempts to proceed with the subdivision amounted to $994,000.</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Blackwell's calculated damages as a result of NID's breach of the Minutes of Settlement were approximately $1.74 million (exclusive of interest).</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value of the subdivision lands was to be deducted from the damages calculation.</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value of the subdivision lands, prior to the 1997 rezoning was $270,000.</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1997 rezoning of the subdivision lands, the arbitrator required further evidence as to the impact of the rezoning on their market value.</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as to the market value of the subdivision lands, as rezoned, was to be adduced in a further hearing in the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January 15, 1998, Blackwell applied to the arbitrator for an award of costs respecting the damages hearing. It sought $942,000 for the period from February 1, 1996 to December 31, 1997. The arbitrator awarded Blackwell interim costs of $225,000 on February 13,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On March 10, 1998, Blackwell filed an application in this court pursuant to s. 34 of the Commercial Arbitration Act,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asking whether the arbitrator could take into account the change in the property's market value resulting from MEVA No. 2 1997 and the subsequent rezoning bylaw. In Blackwell Stores Ltd. v. Okanagan-Similkameen (Regional District), </w:t>
      </w:r>
      <w:hyperlink r:id="rId738" w:history="1">
        <w:r>
          <w:rPr>
            <w:rFonts w:ascii="arial" w:eastAsia="arial" w:hAnsi="arial" w:cs="arial"/>
            <w:i/>
            <w:color w:val="0077CC"/>
            <w:sz w:val="20"/>
            <w:u w:val="single"/>
            <w:shd w:val="clear" w:color="auto" w:fill="FFFFFF"/>
            <w:lang w:val="en-US" w:eastAsia="en-US" w:bidi="ar-SA"/>
          </w:rPr>
          <w:t>[1998] B.C.J. No. 1371</w:t>
        </w:r>
      </w:hyperlink>
      <w:r>
        <w:rPr>
          <w:rFonts w:ascii="arial" w:eastAsia="arial" w:hAnsi="arial" w:cs="arial"/>
          <w:color w:val="000000"/>
          <w:sz w:val="20"/>
          <w:lang w:val="en-US" w:eastAsia="en-US" w:bidi="ar-SA"/>
        </w:rPr>
        <w:t xml:space="preserve"> (S.C.), aff'd </w:t>
      </w:r>
      <w:hyperlink r:id="rId739" w:history="1">
        <w:r>
          <w:rPr>
            <w:rFonts w:ascii="arial" w:eastAsia="arial" w:hAnsi="arial" w:cs="arial"/>
            <w:i/>
            <w:color w:val="0077CC"/>
            <w:sz w:val="20"/>
            <w:u w:val="single"/>
            <w:shd w:val="clear" w:color="auto" w:fill="FFFFFF"/>
            <w:lang w:val="en-US" w:eastAsia="en-US" w:bidi="ar-SA"/>
          </w:rPr>
          <w:t>(1998), 112 B.C.A.C. 280</w:t>
        </w:r>
      </w:hyperlink>
      <w:r>
        <w:rPr>
          <w:rFonts w:ascii="arial" w:eastAsia="arial" w:hAnsi="arial" w:cs="arial"/>
          <w:color w:val="000000"/>
          <w:sz w:val="20"/>
          <w:lang w:val="en-US" w:eastAsia="en-US" w:bidi="ar-SA"/>
        </w:rPr>
        <w:t>, Mr. Justice Hunter declined to exercise his discretion to address this question of law. He held that the parties had fully argued the issue before the arbitrator, who had made a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Regional District commenced action 47304 in June 1998. It concerned a dispute with Blackwell about access to the water intake. Blackwell had put a chain across the entrance to its property. The Regional District commenced the action seeking an interlocutory injunction preventing Blackwell from impeding municipal employee access and an equitable easement. The parties settled the arbitration in January 1999. Six months later, Blackwell launched a counterclaim to action 47304. It alleged the Regional District had committed the tort of deceit, relying on the following:</w:t>
      </w:r>
      <w:r>
        <w:rPr>
          <w:rFonts w:ascii="arial" w:eastAsia="arial" w:hAnsi="arial" w:cs="arial"/>
          <w:sz w:val="20"/>
          <w:lang w:val="en-US" w:eastAsia="en-US" w:bidi="ar-SA"/>
        </w:rPr>
        <w:cr/>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found the Regional District to have acted tortiously. The Regional District was therefore estopped from contesting that it was liable for damages resulting from the loss of a proposed golf course in addition to the loss of the subdivision itself.</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Regional District misconducted itself during the hearings.</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Regional District made fraudulent and negligent misrepresentations which induced Blackwell to settle.</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NID had deliberately engaged in delaying tactics and had made misstatements.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Madam Justice Humphries dismissed the counterclaim in its entirety: Okanagan-Similkameen (Regional District) v. Blackwell Stores Ltd., </w:t>
      </w:r>
      <w:hyperlink r:id="rId740" w:history="1">
        <w:r>
          <w:rPr>
            <w:rFonts w:ascii="arial" w:eastAsia="arial" w:hAnsi="arial" w:cs="arial"/>
            <w:i/>
            <w:color w:val="0077CC"/>
            <w:sz w:val="20"/>
            <w:u w:val="single"/>
            <w:shd w:val="clear" w:color="auto" w:fill="FFFFFF"/>
            <w:lang w:val="en-US" w:eastAsia="en-US" w:bidi="ar-SA"/>
          </w:rPr>
          <w:t>[2000] B.C.J. No. 724</w:t>
        </w:r>
      </w:hyperlink>
      <w:r>
        <w:rPr>
          <w:rFonts w:ascii="arial" w:eastAsia="arial" w:hAnsi="arial" w:cs="arial"/>
          <w:color w:val="000000"/>
          <w:sz w:val="20"/>
          <w:lang w:val="en-US" w:eastAsia="en-US" w:bidi="ar-SA"/>
        </w:rPr>
        <w:t xml:space="preserve"> (S.C.). The Court of Appeal upheld this decision in Okanagan-Similkameen (Regional District) v. Blackwell Stores Ltd., </w:t>
      </w:r>
      <w:hyperlink r:id="rId741" w:history="1">
        <w:r>
          <w:rPr>
            <w:rFonts w:ascii="arial" w:eastAsia="arial" w:hAnsi="arial" w:cs="arial"/>
            <w:i/>
            <w:color w:val="0077CC"/>
            <w:sz w:val="20"/>
            <w:u w:val="single"/>
            <w:shd w:val="clear" w:color="auto" w:fill="FFFFFF"/>
            <w:lang w:val="en-US" w:eastAsia="en-US" w:bidi="ar-SA"/>
          </w:rPr>
          <w:t>[2001] B.C.J. No. 1068</w:t>
        </w:r>
      </w:hyperlink>
      <w:r>
        <w:rPr>
          <w:rFonts w:ascii="arial" w:eastAsia="arial" w:hAnsi="arial" w:cs="arial"/>
          <w:color w:val="000000"/>
          <w:sz w:val="20"/>
          <w:lang w:val="en-US" w:eastAsia="en-US" w:bidi="ar-SA"/>
        </w:rPr>
        <w:t xml:space="preserve"> (C.A.) and held that res judicata was an additional basis for dismissal. Blackwell had sought to argue a form of deceit before the arbitrator who treated the case as a breach of contract. The Court of Appeal held that the effect of the settlement was that all the related claims were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January 18, 1999, there were further arbitration hearings to consider the market value of the subdivision lands. These hearings lasted for seven days. On January 26, 1999, Blackwell and the Regional District reached a settlement. Blackwell was paid $1.6 million plus costs to be assessed by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arbitrator awarded Blackwell $253,955.47 in costs for the period from July 15, 1994 to January 31, 1996; $607,193.20 in costs for the period from February 1, 1996 to December 31, 1997; and $195,088.94 in costs for the period from January 1, 1998 to February 28, 1999, together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Regional District had to pay for this litigation. It took many steps to raise the necessary funds.</w:t>
      </w:r>
      <w:r>
        <w:rPr>
          <w:rFonts w:ascii="arial" w:eastAsia="arial" w:hAnsi="arial" w:cs="arial"/>
          <w:sz w:val="20"/>
          <w:lang w:val="en-US" w:eastAsia="en-US" w:bidi="ar-SA"/>
        </w:rPr>
        <w:cr/>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borrowed $520,000 under NID Borrowing Bylaw No. 456.</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raised $175,000 through a 1996 user levy.</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borrowed as much as $365,000 under its own Borrowing Bylaw No. 1699.</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borrowed $2.9 million under its own Borrowing Bylaw No. 1806.</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borrowed under its own Borrowing Bylaw No. 1960 in order to pay the $1.6 million settlement to Blackwell.</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relied on a 2000 tax requisition against Naramata properties in the amount of $360,000.</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relied on a 2001 tax requisition of $281,000.</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adopted Bylaw No. 2093 on December 20, 2001, adding a service called the Naramata special debt financing service.</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21, 2001, it adopted Bylaw No. 2109 imposing a parcel tax of $413 per annum for the next 20 years on Naramata ratepayers.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levied a tax on Naramata ratepayers to pay for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challenges all of these bylaws and levies in these proceedings with the exception of the NID Borrowing Bylaw No. 456 and the user levy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case raises the issue of the meaning and application of the phrase "real and contingent liabilities" of NID found in s. 4 of Order-in-Council 1219. Whether or not the Regional District's litigation expenses fall within that category determines whether they should be borne by ratepayers in the entire Regional District or by ratepayers who reside in the area formerly known as NID.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the Regional District treats all of these expenses as coming within this phrase, the plaintiff disagrees. She claims that the damages occasioned by the delay in developing the subdivision can properly be construed as real or contingent liabilities of NID; however, the much more substantial damages arose from Blackwell's decision to cancel the subdivision on February 26, 1996. These damages postdate the dissolution of NID and she claims they belong to the Regional District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no dispute that Blackwell's damages arise from breach of the obligation to cooperate contained in the Minutes of Settlement. NID failed to meet this obligation. However, the plaintiff says this was a continuing obligation and that the Regional District continued to breach it when it took over in September 1995. The plaintiff's position is that Blackwell could have accepted the breach and repudiated the contract at any time but it did not do so until after NID was dissolved. The plaintiff argues that, as a result, the Regional District is responsible for a part of Blackwell's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Even if the court finds that the litigation expenses in general are rightfully borne by Naramata ratepayers, the plaintiff disputes in any event the inclusion by the Regional District of its own legal costs of $1.3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Further, there are a number of persons within the boundaries of what used to be NID who have their own wells and do not and have never used water from the Regional District. The plaintiff argues that such ratepayers should not be subject to pay any costs apportioned to NID ratepayers. Section 803.1(2)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(the "LGA") deems the costs of satisfying a judgment or the award of an arbitrator to be a part of the service out of which the action arose, which allows the Regional District to recoup costs from a specific group of taxpayers. If the ratepayers did not enjoy "the service out of which the action arose", the plaintiff argues, why should they pay for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plaintiff's alternative position is that the Regional District is liable because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that of its directors. Section 803.1(3) of the LGA indicates that costs of legal proceedings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board are general administrative costs and rightly borne by all ratepayers in the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Regional District eventually obtained an easement in respect of one water intake. It incurred expense in doing so. The plaintiff disputes that this expense was a real or contingent liability of NID.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Finally, the plaintiff claims the Regional District refunded capital expenditure charges to Blackwell which should not have been collected. The plaintiff says that these amounts should not have been recovered as taxes but should have been taken from funds NID transferred to the Regional District when NID was dissolved.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Regional District maintains that it never agreed to accept liability for this litigation. In June 1995, the trustees of NID passed a resolution asking the Regional District to accept the transfer of the water utility. Vanessa Sutton, the administrator of the Regional District, testified that the Regional District was willing to accede to NID's request for compassionate reasons. As well, as a result of the Regional District taking on the water service, it became eligible for funding from the provincial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Regional District's principal concern in 1995 was that complex legal proceedings were underway with Blackwell. It wanted it clearly understood from the outset that any costs arising from these proceedings would be attributable to NID ratepayers and not to the Regional District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NID board recognized these concerns. It advised the Regional District that its ratepayers clearly understood that it was they and not the other ratepayers in the Regional District who were to be liable for the litigation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Section 4 of Order-in-Council 1219 is at the heart of the Regional District's defence in this action. I repeat it here for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assets and liabilities of the Naramata Irrigation District, whether real or contingent, be transferred to the Regional District of Okanagan-Similkameen, and the amount required by the Regional District of Okanagan-Similkameen to settle any real or contingent liability of the Naramata Irrigation District shall be apportioned in the same manner as described in section 820.1(3) of the Municipal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Section 4 refers to s. 820.1(3) of the Municipal Act 1979,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required by a board for a payment authorized under section 262 or to meet a writ of execution against the regional district shall be apportioned among the participating areas on the same basis as the service out of which the action arose, except where the action arose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board, its agents or servants, the amount shall be apportioned in the same manner as that set out in section 808(3).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Regional District takes the position that the effect of this section is that its expenses related to litigation with Blackwell are to be apportioned among the ratepayers in what used to be NID. It concedes that liability arising from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its part is the responsibility of Regional District taxpayers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alternative position is that even if there is a finding that some litigation expenses are not real or contingent liabilities of NID, they must still be apportioned solely to ratepayers in what used to be NID because they were incurred to "satisfy the award or other order of an arbitrator" within the meaning of s. 803.1(2)(c) of the LGA.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PRELIMINARY ISSUES: ISSUE ESTOPPEL, RES JUDICATA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her statement of claim, the plaintiff included a plea that the defendant is bound by certain of the arbitrator's findings of fact, relying on the doctrine of issue estoppel. Perhaps in anticipation of the argument that the doctrine requires that the parties to the previous proceeding are the same as the parties to the ongoing proceedings, the plaintiff expanded this argument to include claims of res judicata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making final submissions, however, counsel for the plaintiff stated that these issues had become less significant because the parties had reached agreement on a number of formerly contentious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fact these issues are moot because I have not made any findings inconsistent with the arbitrator's. After all, the arbitrator did not have before him any issue of apportioning blame or liability between NID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During the course of this litigation, the governing legislation has been amended many times. The principal statute is the LGA, formerly called the Municipal Act. While there have been extensive amendments and changes in numbering, the statute has remained the same in substance for the purpose of the issues in this case. I have referred to the statutes and section numbers as counsel for both sides presented them to me in the particular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interpreting the LGA one must have regard to s.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powers conferred on local governments by this Act are to be interpreted broadly in accordance with the purposes of this Act and the purposes of local government, subject to the specific limitations and conditions established by or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Although s. 3(1) appears to direct a broad interpretation of local government powers, one must be mindful as well of the Supreme Court of Canada's decision in Kirkpatrick v. Maple Ridge (District), </w:t>
      </w:r>
      <w:hyperlink r:id="rId742" w:history="1">
        <w:r>
          <w:rPr>
            <w:rFonts w:ascii="arial" w:eastAsia="arial" w:hAnsi="arial" w:cs="arial"/>
            <w:i/>
            <w:color w:val="0077CC"/>
            <w:sz w:val="20"/>
            <w:u w:val="single"/>
            <w:shd w:val="clear" w:color="auto" w:fill="FFFFFF"/>
            <w:lang w:val="en-US" w:eastAsia="en-US" w:bidi="ar-SA"/>
          </w:rPr>
          <w:t>[1986] 2 S.C.R. 124</w:t>
        </w:r>
      </w:hyperlink>
      <w:r>
        <w:rPr>
          <w:rFonts w:ascii="arial" w:eastAsia="arial" w:hAnsi="arial" w:cs="arial"/>
          <w:color w:val="000000"/>
          <w:sz w:val="20"/>
          <w:lang w:val="en-US" w:eastAsia="en-US" w:bidi="ar-SA"/>
        </w:rPr>
        <w:t>, where Mr. Justice La Forest, speaking for the court, said at p. 127: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Traditionally, there has been a strong tendency to confine powers of municipalities strictly within the limits granted by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Part 24 of the LGA applies to regional districts. A regional district is made up of municipalities and electoral areas. All land within a regional district is in one category or the other. The Regional District in this action consists of municipalities such as Summerland, Penticton and Oliver and eight electoral areas. The former NID lies entirely within, and is a subset of, Electoral Area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Regional districts provide "services" of three kinds: general, extended and local. "Service" was defined in s. 766 of the Municipal Act 1979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"service" means an extended service, local service and general service, or any of them, as the context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describing the payment for services, the legislation distinguishes between two concepts: cost recovery and apportionment. This distinction is illustrated by s. 794(1)(d) and (e) of the Municipal Act 1979:</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bylaw establishing a separate local service or separate extended service for a service area must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indicate the method of </w:t>
      </w:r>
      <w:r>
        <w:rPr>
          <w:rFonts w:ascii="arial" w:eastAsia="arial" w:hAnsi="arial" w:cs="arial"/>
          <w:color w:val="000000"/>
          <w:sz w:val="20"/>
          <w:u w:val="single"/>
          <w:lang w:val="en-US" w:eastAsia="en-US" w:bidi="ar-SA"/>
        </w:rPr>
        <w:t>cost recovery</w:t>
      </w:r>
      <w:r>
        <w:rPr>
          <w:rFonts w:ascii="arial" w:eastAsia="arial" w:hAnsi="arial" w:cs="arial"/>
          <w:color w:val="000000"/>
          <w:sz w:val="20"/>
          <w:lang w:val="en-US" w:eastAsia="en-US" w:bidi="ar-SA"/>
        </w:rPr>
        <w:t xml:space="preserve"> provided for in section 804 or 805, as the case may be, and</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set out the method of </w:t>
      </w:r>
      <w:r>
        <w:rPr>
          <w:rFonts w:ascii="arial" w:eastAsia="arial" w:hAnsi="arial" w:cs="arial"/>
          <w:color w:val="000000"/>
          <w:sz w:val="20"/>
          <w:u w:val="single"/>
          <w:lang w:val="en-US" w:eastAsia="en-US" w:bidi="ar-SA"/>
        </w:rPr>
        <w:t>apportionment</w:t>
      </w:r>
      <w:r>
        <w:rPr>
          <w:rFonts w:ascii="arial" w:eastAsia="arial" w:hAnsi="arial" w:cs="arial"/>
          <w:color w:val="000000"/>
          <w:sz w:val="20"/>
          <w:lang w:val="en-US" w:eastAsia="en-US" w:bidi="ar-SA"/>
        </w:rPr>
        <w:t xml:space="preserve"> of costs between the municipalities and electoral areas in the service area, if different from the method set out in section 808(2).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Those sections make clear that the cost of a local service is to be apportioned to the local area. It is not an expense to be borne by the entire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Section 794(1) refers to s. 804 of the Municipal Act 1979. Section 804(1) refers to different methods of cost recovery:</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board establishes a local service, the annual costs for that service may be recovered by one or more of the following:</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requisition of money under sections 809 and 809.1 to be collected by a property value tax to be levied and collected under sections 810(1) and 810.1(1);</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requisition of money under sections 809 and 809.1 to be collected by a frontage tax or </w:t>
      </w:r>
      <w:r>
        <w:rPr>
          <w:rFonts w:ascii="arial" w:eastAsia="arial" w:hAnsi="arial" w:cs="arial"/>
          <w:color w:val="000000"/>
          <w:sz w:val="20"/>
          <w:u w:val="single"/>
          <w:lang w:val="en-US" w:eastAsia="en-US" w:bidi="ar-SA"/>
        </w:rPr>
        <w:t>parcel tax</w:t>
      </w:r>
      <w:r>
        <w:rPr>
          <w:rFonts w:ascii="arial" w:eastAsia="arial" w:hAnsi="arial" w:cs="arial"/>
          <w:color w:val="000000"/>
          <w:sz w:val="20"/>
          <w:lang w:val="en-US" w:eastAsia="en-US" w:bidi="ar-SA"/>
        </w:rPr>
        <w:t xml:space="preserve"> to be imposed in the manner provided by sections 810(2) and 810.1(2);</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fees and other charges that may be fixed by separate bylaw for the purpose of recovering these costs.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OR CONTINGENT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is no dispute that part of the cost attributable to the Blackwell litigation is a real or contingent liability of NID as that phrase is used in Order-in-Council 1219. There is also no dispute that that part is properly levied from Naramata ratepayers as the Order-in-Council contemplates.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However, the plaintiff maintains that the Naramata ratepayers should only be responsible for a portion of the total costs. After NID was dissolved, says the plaintiff, the obligation to cooperate became the Regional District's and it should pay for its breach of that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argues that this distinction is significant because until NID was dissolved, Blackwell only had a claim for delay of the subdivision project. It was the Regional District's continuing breach that led to the eventual cancellation of the project and the consequently much higher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issue of what comes within the concept of real or contingent liability of NID is one which arises in almost all parts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Regional District breach the Minutes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accept that an obligation such as the one at issue here is rightly characterized as a continuing one. Cooperation is too nebulous a concept to be attributable to a particular action or two unless such limits are specified in the agreement that creates the obligation. However, even if the obligation is continuing, the Regional District cannot attract liability based on the Minutes of Settlement unless it breached an obligation contained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faults the Regional District for its actions from the time NID was dissolved until the time Blackwell accepted repudiation of the contract in February 1996. Paragraph 12 of the statement of claim states that "[a]fter September 28, 1995 the [Regional District] made many decisions, which had the effect of preventing [Blackwell's] residential subdivision from proceeding to completion" but it does not particularize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do not agree with the plaintiff's submissions on this point. In the six months between the time the Regional District assumed responsibility for NID and the time Blackwell cancelled the subdivision project, the Regional District took several positive steps. First, it organized a meeting with several key groups in order to facilitate moving the project forward. The evidence shows that Blackwell was a less than willing participant in this meeting and it was consequently not very productive; however, the Regional District's actions in and around that meeting cannot be blamed for its unsatisfactory result. Second, the Regional District asked a consultant to price the cost of connecting the subdivision to the Regional District's water supply; it delivered the estimate in early February 1996. Third, it explored the possibility of entering into a security agreement under s. 991 of the Municipal Act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All of those actions represent a willingness to cooperate. The fact that the Regional District may have been motivated to cooperate in order to contain any damages Blackwell could claim does not taint its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emphasized the fact that the Regional District did not take a position on Blackwell's existing application for a CPCN. The Regional District did not explain why it took this stance; but, while it did not actively support the application, it did not oppose it either. This factor alone is not sufficient to support the claim that the Regional District was refusing to cooperate in breach of the Minutes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conclude that the Regional District did not breach the Minutes of Settlement, making the Naramata ratepayers wholly liable for the damages resulting from NID's failure to cooperate.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claim go from one for delay to one for cancellation after September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Even if I am wrong and the Regional District did breach the continuing obligation to cooperate I cannot find that any such breach contributed to the damages that Blackwell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is of the view that until Blackwell accepted repudiation of the contract in February 1996 its claim was for delay and not for cancellation. Although the plaintiff led no evidence on this point, the cost of making Blackwell whole after it cancelled the subdivision project is likely higher than the cost of remedying any delay would have been and I am willing to assume that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do not accept that the timing of the repudiation should affect which persons are responsible for the increased damages in this case. The fact that repudiation did not come until after NID was dissolved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evidence does not indicate that any breach of the Minutes of Settlement by the Regional District increased Blackwell's damages. While it is true that Blackwell did not formally announce its plan to cancel the subdivision project until its letter of February 26, 1996, this announcement could not have been a surprise. Blackwell had been battling with NID since 1989 and the project was still in infancy by the end of 1995. Mr. James Bence, on behalf of Blackwell, testified in front of the arbitrator on July 12, 1995 that it was virtually impossible to complete the 95 lots by the time Blackwell's 1995 PLA expired in February 1996 even if water service were no longer an issue. Further, even though the 1995 PLA was extended to April 1996, the zoning changes were due to come into effect in April 1996 and Blackwell expressed a concern that it would not be able to comply with the new zoning bylaws as its plan 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At the meeting in January 1996, Mr. Burke indicated that Blackwell considered NID's breach of the Minutes of Settlement a repudiation of the agreement and that Blackwell now doubted that the project remained economically viable. He also raised potential difficulties such as the development being inconsistent with the official community plan and the possibility that building permits may not be issued. This is not the attitude of a developer pursuing a subdivision and the decision to abandon the project is not the kind of decision made hastily.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All of these factors point to the conclusion that by the time NID was dissolved, the project's future was in deep peril at best; the plaintiff's attempt to characterize post-September 1995 as the turning point where a delay claim became a cancellation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Cause of action arising from a local service/contribution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Regional District claims that even if it did breach a continuing obligation to cooperate and consequently increased Blackwell's damages, it can rightfully seek repayment from the Naramata ratepayers because the cause of action arose from a local service as contemplated in s. 820.1(3) of the Municipal Act 1979. Because of the view I take of the plaintiff's real and contingent liability arguments I need not address this aspect of the Regional District's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also dismiss the plaintiff's argument on contribution and indemnity principles. Since I do not find that the Regional District is responsible for any of the Blackwell litigation costs, those issues do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plaintiff's alternative position is that some or all expenses arose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board" and are thus attributable to the Regional District as a whole. Sections 847(3) and (4) of the Municipal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(the "Municipal Act 1996") set out this scheme:</w:t>
      </w:r>
      <w:r>
        <w:rPr>
          <w:rFonts w:ascii="arial" w:eastAsia="arial" w:hAnsi="arial" w:cs="arial"/>
          <w:sz w:val="20"/>
          <w:lang w:val="en-US" w:eastAsia="en-US" w:bidi="ar-SA"/>
        </w:rPr>
        <w:cr/>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required by a board for a payment authorized under section 236 or to meet a writ of execution against the regional district must be apportioned among the participating areas on the same basis as the service out of which the action arose.</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an exception to subsection (3), </w:t>
      </w:r>
      <w:r>
        <w:rPr>
          <w:rFonts w:ascii="arial" w:eastAsia="arial" w:hAnsi="arial" w:cs="arial"/>
          <w:color w:val="000000"/>
          <w:sz w:val="20"/>
          <w:u w:val="single"/>
          <w:lang w:val="en-US" w:eastAsia="en-US" w:bidi="ar-SA"/>
        </w:rPr>
        <w:t xml:space="preserve">if the action arose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a board</w:t>
      </w:r>
      <w:r>
        <w:rPr>
          <w:rFonts w:ascii="arial" w:eastAsia="arial" w:hAnsi="arial" w:cs="arial"/>
          <w:color w:val="000000"/>
          <w:sz w:val="20"/>
          <w:lang w:val="en-US" w:eastAsia="en-US" w:bidi="ar-SA"/>
        </w:rPr>
        <w:t>, its agents or employees, the amount is to be apportioned in the same manner as that set out in section 820(3).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bases this claim on what occurred between September 29, 1995 and February 26, 1996, when Blackwell decided not to proceed with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Section 820(3) of the Municipal Act 1996 provides that the costs of general services are to be apportioned among the municipalities and electoral areas that comprise the regional district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plaintiff argues that the Regional District's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comptroller of water rights whether it was prepared to provide water service to the development and, if so, at what cost;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 position on Blackwell's application for a CPCN;</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commit to providing water to the subdivision at a fixed cost; and</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an estimate that was substantially in error and included superfluous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a finding of a duty of care owed by one party to another, a breach of the standard of care and foreseeable damage resulting from the breach. There is no doubt that the defendant owed a duty of care to the plaintiff in the circumstances but I am not persuaded that any of the first three allegations represented a failure to take reasonable care. The fourth is slightly more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first two allegations essentially allege that it was negligent of the Regional District to not have taken any steps to facilitate the development from the date of NID's dissolution until the release of the arbitration award on December 22, 1995. In order to assess the reasonableness of the Regional District's inaction one must consider the position in which the Regional District found itself. Blackwell and NID were involved in long and hotly contested arbitration proceedings. The hearings had come to an end two months earlier and the parties were waiting for a decision. They had not received a ruling on NID's preliminary objection that the Minutes of Settlement were void or unenforceable, let alone a ruling on the breach of contract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was no specific application before the Regional District in the fall of 1995. It is noteworthy in this context that Mr. Bence of Blackwell wrote to NID on August 1, 1995 to advise that Blackwell was no longer seeking to be included in NID's boundaries for water service purposes. NID advised Mr. Bence to contact the Regional District about its remaining application to be included in NID's boundaries for fire protection purposes. Blackwell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Blackwell wrote to the Regional District on October 2, 1995 about the Regional District having taken over NID's responsibilities. Mr. Williamson's response indicated a readiness to meet. The Regional District followed up on this correspondence on December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not persuaded that the Regional District was required to take more steps in the circumstances. Consequently, I am not persuaded it breached the standard of care with respect to the first two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plaintiff's third allegation is that the Regional District was negligent in failing to provide an exact cost of supplying water. I do not accept that this constitutes a breach of the standard of care. The Regional District provided an estimate of the cost. In my view, that is the most a developer can expect in such circumstances. Mr. Burke testified in cross-examination that public agencies usually respond to developers by providing an estimate. He also agreed it was standard to include a contingency in cases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fact, the provision of an estimate is the prudent course of action one would expect of a regional district, given the alternatives. If a regional district provides a fixed quote which turns out to be higher than the actual cost, it could be accused of failing to cooperate by overcharging for providing water. If the fixed quote turns out to be too low, the regional district would be acting to the detriment of its taxpayers. The only satisfactory fixed quote is one which turns out to be the exact cost of providing water. That kind of precision is extremely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fourth allegation concerns the error in the estimate. It is common ground that the estimate the Regional District provided to Blackwell on February 6, 1996 was in error. In estimating the pumping and supply costs it added a 25% contingency, or $53,000. That was a mistake because the contingency cost was already included. Therefore, the overall estimate of $816,000 was inaccurate and overstated the real estimated cost by $53,000. I have no trouble concluding that this error constituted a lack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issue then is whether Blackwell suffered damage as a result. The evidence does not establish that this is the case. Blackwell cancelled the subdivision for several reasons, which it listed in its letter of February 26, 1996: timing problems, zoning problems, changes in circumstances and the Regional District's attitude towards the project. None of these reasons refers to the estimated cost of connecting to the water service. In fact, Mr. Burke stated in his letter of February 21, 1996 that his client considered the cost of providing water to the development "to be reasonable" and he merely asked how the figure was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light of that statement and the fact that there is no evidence that this cost played any role in the decision to cancel, I conclude that the calculation error had no effect on Blackwell's decision not to proceed with the subdivision. Therefore, the Regional District is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ACTION 47304 -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claims that the costs of defending Blackwell's counterclaim should be attributed to the ratepayers of the Regional District as a whole. She argues there was no award made in favour of Blackwell so there was no judgment to satisfy and no NID liability. She also argues that the vast majority of the claim relates to actions by the Regional District after the dissolution of NID.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These matters were addressed in the course of the arbitration. The attempt by Blackwell to relitigate issues from the arbitration arose from the original failure to cooperate; therefore, the costs are a real or contingent liability of NID.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ACTION 22512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Blackwell commenced action 22512 on May 15, 1995. It challenged the validity of two NID bylaws: Bylaw 426 -Comprehensive Capital Expenditure Charge (Water) Bylaw 1993, and Bylaw 433 - Subdivision Regulations Bylaw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argues that where, as here, there is no claim for compensation or damages, the expense of defending the bylaw cannot be considered a "liability". I do not agree with that assertion. The defence costs are properly considered a real or contingent liability of NID. An action to set aside a bylaw is not a claim for damages, but an action to set aside a bylaw which entails a claim for costs and, inevitably, litigation expense, represents a real or contingent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BYLAW NO. 1699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August 15, 1996, the Regional District adopted Bylaw No. 1699, authorizing the borrowing of $390,000. It actually borrowed $374,446: $143,366 to satisfy Blackwell's arbitration costs, $243,320 for its own legal costs, and $7,860 for its own administrative and miscellaneous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Regional District relied in this regard on Order-in-Council 0961. It is common ground that this Order-in-Council was necessary to authorize the borrowings. Order-in-Council 0961 provides, in relevant part:</w:t>
      </w:r>
      <w:r>
        <w:rPr>
          <w:rFonts w:ascii="arial" w:eastAsia="arial" w:hAnsi="arial" w:cs="arial"/>
          <w:sz w:val="20"/>
          <w:lang w:val="en-US" w:eastAsia="en-US" w:bidi="ar-SA"/>
        </w:rPr>
        <w:cr/>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borrowing an amount to satisfy an order of the arbitrator, section 820.1(2) is modified so that the money borrowed for that purpose does not have to be paid into Court as security and may be paid directly to Blackwell Stores Ltd; and</w:t>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borrowing money for its own legal costs, section 820.1 is modified to permit the Regional District to borrow up to $300,000 to meet debts incurred for payment of its own legal costs without the necessity of an order of a Court to pay money into Court as security and to pay such money directly to the Regional District's solicitor.</w:t>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820.1(3) applies to any monies borrowed for the purposes referred to in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takes issue with Bylaw No. 1699 in two respects. First, she says the expenses of defending it are not real or contingent liabilities of NID and should not be apportioned to the Naramata ratepayers. Second, and in any event, Order-in-Council 0961 authorizes borrowing for legal expenses only, which does not include the $7,860 the Regional District borrowed to cover its own administrative and miscellaneous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dismiss the first argument, based on my analysis of real or contingent liabilities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for the second argument, the Regional District concedes that this borrowing was unauthorized because it is neither part of the award of costs nor part of the Regional District's own legal costs. It argues, however, that as a matter of discretion, the court should deny any declaratory relief. That is because all borrowings under the bylaw were repaid using part of the provincial government grant, not the parcel tax which was imposed on Naramata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$7,860 is a relatively small sum compared to the overall cost of the Blackwell proceedings. Nonetheless, the fact that the Regional District repaid the funds it borrowed does not change the fact that it borrowed these funds without lawful authority. If the Regional District had not borrowed this money, it could have used that portion of the grant to reduce other amounts for which Naramata ratepayers are responsible. The declaration the plaintiff seeks with regard to money borrowed under Bylaw No. 1699 to cover administrative and miscellaneous expenses is entirely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BYLAWS NO. 1806 AND NO. 1960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Regional District adopted Bylaw No. 1806 and Bylaw No. 1960, which authorize further borrowing, on December 17, 1998 and November 18, 1999,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MEVA No. 2 1997 expressly authorizes such bylaws. Section 36(6) reads,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regional district may, by bylaw ... borrow ... amounts required to satisfy all real and contingent liabilities of the irrigation district, including amounts required to settle legal claims, amounts required to satisfy awards made by a court or an arbitrator and amounts required to pay related legal and administrative expenses and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section is broader than Order-in-Council 0961; it refers not only to arbitration awards and costs but also to "administrative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argues that much of the expense should be apportioned to Regional District ratepayers for the same reasons she put forward regarding Bylaw No. 1699. I have already considered and dismissed that argument. The vast majority of the expenses are properly apportioned to Naramata ratepayers as real or contingent liabilities of NID.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An exception to this general description of the expenditures is the use of some of the funds borrowed under Bylaw No. 1806 to acquire easements in respect of the intake.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the plaintiff argues, an easement is an asset, an interest in land. There was nothing improper in the Regional District having acquired an asset in this case. However, the acquisition costs are not a real or contingent liability of NID.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Regional District argues declaratory relief is inappropriate because, if any borrowing under Bylaw No. 1806 was unlawful, the money has been repaid, largely with the provincial government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This argument is in much the same vein as the Regional District's approach to the unlawful borrowing for administrative expenses under Bylaw No. 1699 and my response is the same. If the Regional District had not borrowed these funds, the provincial government grant would have stretched further. The plaintiff is entitled to a declaration that the borrowings to acquire easements were not authorized by Bylaw No. 1806.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CAPITAL EXPENSE CHARGES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1992, NID required Blackwell to pay capital expense charges of approximately $135,000 in connection with the proposed development. NID placed these funds in its capital development fund. When NID was dissolved it turned the funds over to the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1998, Blackwell sued for the return of these funds claiming they were wrongfully collected. The Regional District and Blackwell settled this claim for $105,000. The Regional District recovered the settlement funds with the 2001 tax requisition.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concedes that this amount was a real or contingent liability of NID. However, she takes issue with the 2001 tax requisition. She argues these funds should have come out of the very funds that Blackwell claimed were wrongfully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Regional District argues that there has been no finding that the funds were wrongfully collected. Parties settle litigation for many reasons and the settlement cannot be interpreted as an admission of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also notes that s. 504(2) of the LGA restricts the Regional District's use of money held in a trust or reserve: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Money held by a municipality subject to a trust or reserve must not be used for a purpose other than under the terms of the trust or of the bylaw creating the reserve or the special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Regional District claims that because the bylaw creating the capital expenses fund does not contemplate the refund of this money, it cannot use it to refund Blackwell due to s. 504(2).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While it is true that one cannot determine the reasons for the settlement, one must not lose sight of common sense. NID, and then the Regional District, held $135,000 received from Blackwell for capital expense charges. The development did not proceed. The developer sued for return of those funds and recovered more than 70% of them through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evidence establishes that the Regional District repaid funds to Blackwell that the Regional District had already collected. There was no need to raise money from Naramata ratepayers for this purpose. I do not accept that the Regional District is precluded from paying the money out of the $135,000 fund because of s. 504(2) of the LGA. While a municipality may not "use" the funds for something other than the purpose for which they were collected, that language is not so broad as to prevent a refund to the entity that paid the money in the first place. Such a refund is not a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For these reasons I agree with the plaintiff that the $105,000 in settlement funds should have been paid out of the capital development fund. This amount should not have been charged to Naramata ratepayers in the 2001 tax requisition.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2000 AND 2001 TAX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2000 and 2001 assessments raised $683,800. The Regional District used these funds to pay interest charges and costs related to the supply of water in Naramata. As such, these were real or contingent liabilities of NID and were properly apportioned to Naramata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exception, as I discussed in the preceding section, is the $105,000 used to repay Blackwell's capital expenses charges. I have held that these funds should not have been assessed against Naramata ratepayers but should have been paid out of funds originally received and placed in NID's capital development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WELL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Some Naramata ratepayers are well owners who have never used the NID water system. The plaintiff argues that these persons should not have to pay for the Blackwell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Before NID's dissolution, it recovered the cost of its service through tolls and charges, that is, a system of fees rather than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Order-in-Council 1219 required that NID's real and contingent liabilities be apportioned in the same manner as s. 820.1(3) of the Municipal Act 1979: "apportioned among the participating areas on the same basis as the service out of which the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plaintiff says that well owners are not part of the "participating area" because they did not receive water from NID. Therefore, the litigation costs should be recovered by imposing fees rather than a tax which does not distinguish between users and non-users. The plaintiff relies on Paul's Restaurant Ltd. v. Victoria (City), </w:t>
      </w:r>
      <w:hyperlink r:id="rId743" w:history="1">
        <w:r>
          <w:rPr>
            <w:rFonts w:ascii="arial" w:eastAsia="arial" w:hAnsi="arial" w:cs="arial"/>
            <w:i/>
            <w:color w:val="0077CC"/>
            <w:sz w:val="20"/>
            <w:u w:val="single"/>
            <w:shd w:val="clear" w:color="auto" w:fill="FFFFFF"/>
            <w:lang w:val="en-US" w:eastAsia="en-US" w:bidi="ar-SA"/>
          </w:rPr>
          <w:t>[1991] B.C.J. No. 373</w:t>
        </w:r>
      </w:hyperlink>
      <w:r>
        <w:rPr>
          <w:rFonts w:ascii="arial" w:eastAsia="arial" w:hAnsi="arial" w:cs="arial"/>
          <w:color w:val="000000"/>
          <w:sz w:val="20"/>
          <w:lang w:val="en-US" w:eastAsia="en-US" w:bidi="ar-SA"/>
        </w:rPr>
        <w:t xml:space="preserve"> (S.C.)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disagree with the plaintiff's position on this point. Order-in-Council 1219 requires local apportionment of costs related to NID's real or contingent liabilities. It is silent about cost recovery. Therefore, whether the Regional District can recover its costs through property taxes, user fees, a parcel tax or some other mechanism has to be determined outside the framework of the Order-in-Council.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cited Paul's Restaurant Ltd., supra, in an effort to bridge the gap between Order-in-Council 1219 and her argument on this point. In that case the City of Victoria sought to increase taxes to fund the Commonwealth Games. Mr. Justice Murphy held that the city could not impose taxes based on budgeting for future expenditures. However, he did not hold that persons cannot be taxed in respect of services which they do not use. Ratepayers commonly pay for libraries, for example, whether they use them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Consequently, the plaintiff's argument on this point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BYLAW NO. 2093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Before discussing Bylaw No. 2093 itself, some background is helpful. The Regional District retained a consultant to work with Naramata residents in order to determine the most appropriate way to recover the amounts it was paying out in respect of NID liabilities. These ratepayers elected a group called the Naramata Water Advisory Committee. Sixty-one percent of this committee favoured the "equal pay" system, a modified form of parcel tax. A parcel tax is a fixed amount which is imposed on each parcel of land. The committee recommended that the Regional District recover the same amount from each ratepayer regardless of the number of parcels owned by the ratepayer.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Regional District agreed with the committee's recommendation but concluded that the LGA did not permit it to impose such a tax. Therefore, the Regional District asked the provincial government for the power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response to this request the legislature enacted the Municipalities Enabling and Validating Act (No. 3), S.B.C. 2001, s. 44 ("MEVA No. 3"). It came into force October 12,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MEVA No. 3 makes express reference to a "Naramata special debt financing service". It was defined in s. 1(1)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service of the [Regional District of Okanagan-Similkameen] under Part 24 of the Local Government Act</w:t>
      </w:r>
    </w:p>
    <w:p>
      <w:pPr>
        <w:numPr>
          <w:numId w:val="2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established to recover the costs of authorized borrowing, and</w:t>
      </w:r>
    </w:p>
    <w:p>
      <w:pPr>
        <w:numPr>
          <w:numId w:val="2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which the service area is the Naramata service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definition of "service" in the LGA in force at the time the Regional District enacted Bylaw No. 2093 was that amended by the Local Government Statutes Amendment Act, S.B.C. 2000, c. 7, s. 2(j). It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"service" in relation to a municipality or regional district means</w:t>
      </w:r>
    </w:p>
    <w:p>
      <w:pPr>
        <w:numPr>
          <w:numId w:val="2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works or facilities undertaken or provided by or on behalf of the municipality or regional district, and</w:t>
      </w:r>
    </w:p>
    <w:p>
      <w:pPr>
        <w:numPr>
          <w:numId w:val="2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exercise of regulatory authority under Part 15 [Municipal Services], section 796.2 [general authorities in relation to services] or section 797 [Part 15 powers equivalent to municipalities][.]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MEVA No. 3 also authorizes parcel taxes of the variety the committee favoured. Section 1(4)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all or part of the costs of the Naramata special debt financing service are to be recovered by means of a parcel tax under the Local Government Act, the assessment roll bylaw under section 360.1 of that Act may provide that, if the same person or persons own more than one parcel in the Naramata service area,</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circumstances referred to in paragraph (b) or (c) apply, the parcel tax is imposed only in relation to one of those parcels,</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circumstances specified in the bylaw, the parcel tax is imposed in relation to some but not all of those parcels, and</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circumstances specified in the bylaw, no parcel tax is imposed in relation to any of those parcels.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Regional District enacted Bylaw No. 2093 on December 11, 2001. The bylaw establishes the Naramata special debt financing service in s. 2. Section 3 of the bylaw describes the service: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Service is to provide for the levying of parcel taxes to meet the costs of repaying the debts which have been incurred by the Regional District, and repaying amounts authorized to be borrowed by loan authorization bylaws adopted before October 12, 2001 in connection with payment of liabilities of the former Naramata Irrigation District. The Service also includes the administration of the parcel taxation system and management of the funds collected through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Section 6 then provides that the costs of the service shall be recovered by parcel taxes imposed in accordance with Division 4.3 of Part 24 of the LGA and s. 1 of MEVA No. 3. Division 4.3 addresses tax collection and the requisition by the Regional District of funds from municipalities.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argues that Bylaw No. 2093 does not establish a "service" such that the Regional District can apportion costs relating to that service to Naramata ratepayers under s. 804 of the LGA. She concedes that MEVA No. 3 permits the Regional District to create a service but, she says, the Naramata special debt financing service is nothing but a disguised taxing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respectfully disagree with the plaintiff on this point. When one examines the context, it becomes clear that Bylaw No. 2093 created more than just a parcel tax. The Regional District engaged in public consultation about how to recover the substantial costs of the Blackwell litigation. Instead of imposing the entire burden on the ratepayers in one year, it developed a method of borrowing and repayment which was consistent with what Naramata ratepayers supported. The Naramata special debt financing service encompassed several aspects of financing and administering the debt the Blackwell litigation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Section 796(1) of the LGA authorizes a regional district to "operate any service that the board considers necessary or desirable for all or part of the regional district". The Naramata special debt financing service is such a service. Therefore, I agree with the defendant that Bylaw No. 2093 is a valid exercise by the Regional District of its powers under MEVA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BYLAW NO. 2109 AND THE PARCEL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purpose of Bylaw No. 2109 was to impose the kind of tax the Naramata Water Advisory Committee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argues the bylaw is flawed in two respects. First, it is incompatible with Order-in-Council 1219 and MEVA No. 2 1997. Second, it depends on the validity of previous borrowing bylaws. If those bylaws fail, so must this one. I will consider these arguments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First, the plaintiff argues that Order-in-Council 1219 specified the manner in which the Regional District could recover funds to pay for NID's liabilities: they "shall be apportioned in the same manner as described in s. 820.1(3) of the Municipal Act". I repeat s. 820.1(3) here for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required by a board for a payment authorized under section 262 or to meet a writ of execution against the regional district shall be apportioned among the participating areas on the same basis as the service out of which the action arose, except where the action arose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board, its agents or servants, the amount shall be apportioned in the same manner as that set out in section 808(3).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argues that s. 36(7) of MEVA No. 2 1997 provides that amounts borrowed must be apportioned in an accordance with ss. 847(3) and (4) of the Municipal Act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argues that neither Order-in-Council 1219 nor MEVA No. 2 1997 contemplates a parcel tax. However, this argument fails to account for the distinction between the two separate concepts of apportionment and cost recovery I discussed earlier. Order-in-Council 1219 addresses apportionment, or the portion of the Regional District's taxpayers who are liable to pay for the service. Costs were to be allocated or shared on the same basis as the costs of the service out of which the liabilities arose: the Naramata Water Service. MEVA No. 2 1997 also addresses apportionment. The parcel tax, on the other hand, addresses recovery, or the manner in which particular ratepayers are to pay. This is a separate matter, dealt with, for example, in s. 804 of the Municipal Act 1979 and in Bylaw No. 1620.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Bylaw No. 2093 created the parcel tax imposed in respect of the Naramata special debt financing service. That bylaw clearly sets out that the Regional District intends to recover the costs associated with the Blackwell litigation using parcel taxes. MEVA No. 3 specifically deems all the borrowings underlying the parcel tax Bylaw No. 2109 imposes as being borrowings in respect of the Naramata special debt financing service. Thus, those borrowings can no longer be said to be related to the Naramata Water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This approach is consistent with MEVA No. 3. In s. 1(3) the legislature specifically anticipated the possibility that "all or part of the costs of the Naramata special debt financing service [were] to be recovered by means of a parcel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Second, the plaintiff argues that the equal pay parcel tax is not supportable because MEVA No. 3 specifically refers to "authorized borrowings", i.e., borrowings in respect of NID's real or contingent liabilities. The plaintiff's position is that the liabilities are not real or contingent liabilities of NID so the borrowings cannot be "authorized borrowings".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have already ruled that the expenses in question are real or contingent liabilities of NID. Therefore, this argument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Regional District has imposed a local service tax to cover the cost of defending this action. It is referred to in the 2002 Tax Notice as "Bence/NRA Litigation" and in the 2003 Tax Notice as "Naramata Water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argues that this litigation is for the purpose of challenging certain Regional District bylaws. The defence of a regional district bylaw must be attributed to the ratepayers of the regional district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have already considered this argument in several different contexts. The whole of this litigation arises from NID's trouble with Blackwell. The plaintiff has not demonstrated any basis for imposing liability for the defence of the action on the Regional District as a whole and the costs are properly attributed to Naramata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reached the following conclusions:</w:t>
      </w:r>
      <w:r>
        <w:rPr>
          <w:rFonts w:ascii="arial" w:eastAsia="arial" w:hAnsi="arial" w:cs="arial"/>
          <w:sz w:val="20"/>
          <w:lang w:val="en-US" w:eastAsia="en-US" w:bidi="ar-SA"/>
        </w:rPr>
        <w:cr/>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some of the Blackwell litigation expenses are Regional District expenses for which all Regional District ratepayers are liable is dismissed.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that the Regional District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expenses of defending the counterclaim in action 47304 are properly attributable to the Naramata ratepayers.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expenses of defending Blackwell's challenge to NID bylaws were properly apportioned to Naramata ratepayers.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Regional District was not entitled to borrow $7,860 under Bylaw No. 1699 to pay for administrative and miscellaneous expenses. Therefore it was not entitled to recover this amount from Naramata ratepayers.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money the Regional District used to acquire easements to the intake on Blackwell's property was not authorized by Bylaw No. 1806.</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expense charges should have been refunded from the existing fund. The ratepayers are entitled to a refund of the portion of the 2001 tax requisition purporting to recover this cost.</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well owners are not exempted from paying their share of the costs properly assessed against Naramata ratepayers.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parcel tax is a valid method of recovery. Bylaw No. 2093 and Bylaw No. 2109 are valid.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Regional District's expenses in defending this action are attributable to Naramata ratepayers.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has succeeded on some relatively minor aspects of this action. In all the circumstances, it is appropriate that the parties should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4"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Boiselle v. McKenna, [2002] B.C.J. No. 1779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13 - 17,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B972587, B981501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1779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1150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115 A.C.W.S. (3d) 616</w:t>
      </w:r>
    </w:p>
    <w:p>
      <w:pPr>
        <w:spacing w:before="120" w:line="260" w:lineRule="atLeast"/>
        <w:rPr>
          <w:lang w:val="en-US" w:eastAsia="en-US" w:bidi="ar-SA"/>
        </w:rPr>
      </w:pPr>
      <w:r>
        <w:rPr>
          <w:rFonts w:ascii="arial" w:eastAsia="arial" w:hAnsi="arial" w:cs="arial"/>
          <w:color w:val="000000"/>
          <w:sz w:val="20"/>
          <w:lang w:val="en-US" w:eastAsia="en-US" w:bidi="ar-SA"/>
        </w:rPr>
        <w:t>Between Ray Boiselle, plaintiff, and James Alexander McKenna, defendant (Vancouver Registry No. B972587) And between Ray Boiselle, plaintiff, and Shui Ho So, Subhas Chand and Jasma Chand, defendants (Vancouver Registry No. B981501)</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5" style="position:absolute;z-index:2517053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0" w:name="Keywords_42"/>
      <w:bookmarkEnd w:id="290"/>
      <w:r>
        <w:rPr>
          <w:rFonts w:ascii="arial" w:eastAsia="arial" w:hAnsi="arial" w:cs="arial"/>
          <w:b/>
          <w:color w:val="000000"/>
          <w:sz w:val="20"/>
          <w:lang w:val="en-US" w:eastAsia="en-US" w:bidi="ar-SA"/>
        </w:rPr>
        <w:t xml:space="preserve">Motor vehicles — Regulation of vehicles and traffic — Insurance — Driving without insurance — Torts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fault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particular cases — Motor vehicle accidents — Damages — Assessment — Overlapping damages from separate causes — General damages — Elements of general damages — Loss of opportunity — General damages for personal injury — Aggravation of pre-existing condition — Prospective loss of wages or earnings — Future care and treatment.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1" w:name="Case Summary_40"/>
            <w:bookmarkEnd w:id="29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Boiselle against McKenna and Chand for damages arising from three separate motor vehicle accidents. The defendants admitted liability for the accidents but claimed that Boiselle's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injuries suffered. Prior to the accidents, Boiselle was diagnosed with a degenerative disease of the neck and lower back. Work accidents prior to the three motor vehicle accidents had caused him to suffer pain in his back, legs and neck. As a result, he had been forced to curtail his work, recreational and domestic activities. McKenna caused the first accident by hitting Boiselle's van with his motorcycle. A heavy roll of carpet loaded in the van under Boiselle's supervision was pushed into Boiselle's shoulder and left arm. The carpet had not been properly secured. Boiselle was off work for four days and complained of pain in his back, neck and shoulder for 11 months. He reported that a second accident had left him with pain for less than a week. His testimony regarding the effects of these accidents on his lifestyle were contradicted by the contemporaneous accounts by medical professionals. His third accident occurred when he collided with Chand. As a result, he suffered abrasions and pain to his head, neck, lower back, hips and ribs. He continued to work until his employer went out of business two months later. At that point, he was advised by a doctor to take time off work due to his recurring neck and back pain. After seven months of therapy, Boiselle began to look for work. He found a new job 14 months after the third accident. During that period, Boiselle was examined by a doctor, who concluded that his on-going complaints were due to a pre-existing degenerative condition which had been aggravated by his previous work and motor vehicle accidents. The defendants hired an engineer to assist the court in reconstructing Boiselle's accidents. The engineer concluded that Boiselle was not wearing his seatbelt during the third accident. The Insurance Corporation of British Columbia (ICBC) was defending the claim on behalf of McKenna pursuant to section 20(7) of the Insurance (Motor Vehicles) Regulations because he was uninsured at the time of the accident. </w:t>
            </w:r>
            <w:r>
              <w:rPr>
                <w:lang w:val="en-US" w:eastAsia="en-US" w:bidi="ar-SA"/>
              </w:rPr>
              <w:cr/>
            </w:r>
          </w:p>
          <w:p>
            <w:pPr>
              <w:spacing w:before="120" w:line="260" w:lineRule="atLeast"/>
              <w:ind w:left="240"/>
              <w:jc w:val="both"/>
              <w:rPr>
                <w:lang w:val="en-US" w:eastAsia="en-US" w:bidi="ar-SA"/>
              </w:rPr>
            </w:pPr>
            <w:bookmarkStart w:id="292" w:name="Holdings of Court_35"/>
            <w:bookmarkEnd w:id="292"/>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Boiselle was entitled to $31,077 in damages plus costs. There was no doubt that McKenna's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first accident. However, the carpet would not have come forward had it not been properly secured by Boiselle. McKenna and Boiselle were each 50 per cent responsible. No evidence was presented to support the opinion that Boiselle was not wearing his seatbelt at the time of the third accident. Chand was 100 per cent liable for that accident. Due to the many contradictions, Boiselle's testimony was discounted where it was not supported by contemporaneous documentation. Boiselle was entitled to non-pecuniary damages to the extent that the motor vehicle accidents aggravated his pre-existing condition. The aggravation lasted for one year following the first accident and was valued at $14,000. $7,000 of this was McKenna's responsibility. The aggravation following the second and third accidents lasted 14 months and was valued at $16,000. Given Boiselle's work history and the fact that he was unemployed soon after the third accident, damages resulting from the lost opportunity to seek employment were assessed at $8,000. Despite the Insurance (Motor Vehicles) Regulations, ICBC could not deduct any benefits received by Boiselle under the Employment Insurance Act from the damages due for loss of past earnings, as those benefits were paid following the second and third accidents and were unrelated to the accident caused by McKenna. Special damages in the amount of $577 were awarded. That figure was reduced to take into account worker's compensation benefits paid to Boiselle. Any losses of future earning capacity or costs for future care were due to Boiselle's pre-existing condition and not the motor vehicle accidents. Costs were assessed tentatively. </w:t>
            </w:r>
            <w:r>
              <w:rPr>
                <w:lang w:val="en-US" w:eastAsia="en-US" w:bidi="ar-SA"/>
              </w:rPr>
              <w:cr/>
            </w:r>
          </w:p>
          <w:p>
            <w:pPr>
              <w:rPr>
                <w:lang w:val="en-US" w:eastAsia="en-US" w:bidi="ar-SA"/>
              </w:rPr>
            </w:pPr>
          </w:p>
        </w:tc>
      </w:tr>
    </w:tbl>
    <w:p>
      <w:pPr>
        <w:jc w:val="both"/>
        <w:rPr>
          <w:lang w:val="en-US" w:eastAsia="en-US" w:bidi="ar-SA"/>
        </w:rPr>
      </w:pPr>
      <w:bookmarkStart w:id="293" w:name="Legislation Cited_33"/>
      <w:bookmarkEnd w:id="29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46" style="position:absolute;z-index:2517565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Insurance (Motor Vehicle) Act, </w:t>
      </w:r>
      <w:hyperlink r:id="rId751" w:history="1">
        <w:r>
          <w:rPr>
            <w:rFonts w:ascii="arial" w:eastAsia="arial" w:hAnsi="arial" w:cs="arial"/>
            <w:i/>
            <w:color w:val="0077CC"/>
            <w:sz w:val="20"/>
            <w:u w:val="single"/>
            <w:shd w:val="clear" w:color="auto" w:fill="FFFFFF"/>
            <w:lang w:val="en-US" w:eastAsia="en-US" w:bidi="ar-SA"/>
          </w:rPr>
          <w:t>R.S.B.C. 1996, c.231, s.20</w:t>
        </w:r>
      </w:hyperlink>
      <w:r>
        <w:rPr>
          <w:rFonts w:ascii="arial" w:eastAsia="arial" w:hAnsi="arial" w:cs="arial"/>
          <w:color w:val="000000"/>
          <w:sz w:val="20"/>
          <w:lang w:val="en-US" w:eastAsia="en-US" w:bidi="ar-SA"/>
        </w:rPr>
        <w:t>(7).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Insurance (Motor Vehicle) Regulations (Revised Regulation (1984), </w:t>
      </w:r>
      <w:hyperlink r:id="rId314"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Employment Insurance Act R.S.C. 1996, C. 23.</w:t>
      </w:r>
      <w:r>
        <w:rPr>
          <w:lang w:val="en-US" w:eastAsia="en-US" w:bidi="ar-SA"/>
        </w:rPr>
        <w:cr/>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p>
          <w:p>
            <w:pPr>
              <w:spacing w:before="120" w:line="260" w:lineRule="atLeast"/>
              <w:ind w:left="240"/>
              <w:jc w:val="both"/>
              <w:rPr>
                <w:lang w:val="en-US" w:eastAsia="en-US" w:bidi="ar-SA"/>
              </w:rPr>
            </w:pPr>
            <w:r>
              <w:rPr>
                <w:rFonts w:ascii="arial" w:eastAsia="arial" w:hAnsi="arial" w:cs="arial"/>
                <w:color w:val="000000"/>
                <w:sz w:val="18"/>
                <w:lang w:val="en-US" w:eastAsia="en-US" w:bidi="ar-SA"/>
              </w:rPr>
              <w:t xml:space="preserve">[Quicklaw note: Supplementary reasons for judgment were released September and October 2, 2002. See </w:t>
            </w:r>
            <w:hyperlink r:id="rId752" w:history="1">
              <w:r>
                <w:rPr>
                  <w:rFonts w:ascii="arial" w:eastAsia="arial" w:hAnsi="arial" w:cs="arial"/>
                  <w:i/>
                  <w:color w:val="0077CC"/>
                  <w:sz w:val="18"/>
                  <w:u w:val="single"/>
                  <w:shd w:val="clear" w:color="auto" w:fill="FFFFFF"/>
                  <w:lang w:val="en-US" w:eastAsia="en-US" w:bidi="ar-SA"/>
                </w:rPr>
                <w:t>[2002] B.C.J. No. 2147</w:t>
              </w:r>
            </w:hyperlink>
            <w:r>
              <w:rPr>
                <w:rFonts w:ascii="arial" w:eastAsia="arial" w:hAnsi="arial" w:cs="arial"/>
                <w:color w:val="000000"/>
                <w:sz w:val="18"/>
                <w:lang w:val="en-US" w:eastAsia="en-US" w:bidi="ar-SA"/>
              </w:rPr>
              <w:t xml:space="preserve"> and </w:t>
            </w:r>
            <w:hyperlink r:id="rId753" w:history="1">
              <w:r>
                <w:rPr>
                  <w:rFonts w:ascii="arial" w:eastAsia="arial" w:hAnsi="arial" w:cs="arial"/>
                  <w:i/>
                  <w:color w:val="0077CC"/>
                  <w:sz w:val="18"/>
                  <w:u w:val="single"/>
                  <w:shd w:val="clear" w:color="auto" w:fill="FFFFFF"/>
                  <w:lang w:val="en-US" w:eastAsia="en-US" w:bidi="ar-SA"/>
                </w:rPr>
                <w:t>[2002] B.C.J. No. 2222</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lang w:val="en-US" w:eastAsia="en-US" w:bidi="ar-SA"/>
              </w:rPr>
              <w:cr/>
            </w:r>
          </w:p>
          <w:p>
            <w:pPr>
              <w:rPr>
                <w:lang w:val="en-US" w:eastAsia="en-US" w:bidi="ar-SA"/>
              </w:rPr>
            </w:pPr>
          </w:p>
        </w:tc>
      </w:tr>
    </w:tbl>
    <w:p>
      <w:pPr>
        <w:jc w:val="both"/>
        <w:rPr>
          <w:lang w:val="en-US" w:eastAsia="en-US" w:bidi="ar-SA"/>
        </w:rPr>
      </w:pPr>
      <w:bookmarkStart w:id="294" w:name="Counsel_44"/>
      <w:bookmarkEnd w:id="29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7" style="position:absolute;z-index:2518067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William H. Bucci, for the plaintiff. Perry J. Armitage, for the defendants.</w:t>
      </w:r>
      <w:r>
        <w:rPr>
          <w:lang w:val="en-US" w:eastAsia="en-US" w:bidi="ar-SA"/>
        </w:rPr>
        <w:cr/>
      </w:r>
    </w:p>
    <w:p>
      <w:pPr>
        <w:spacing w:after="240"/>
        <w:rPr>
          <w:lang w:val="en-US" w:eastAsia="en-US" w:bidi="ar-SA"/>
        </w:rPr>
      </w:pPr>
      <w:bookmarkStart w:id="295" w:name="Judgment_43"/>
      <w:bookmarkEnd w:id="295"/>
      <w:r>
        <w:pict>
          <v:line id="_x0000_s1248" style="position:absolute;z-index:25185280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6" w:name="GOEPEL J._0"/>
            <w:bookmarkEnd w:id="296"/>
            <w:r>
              <w:rPr>
                <w:rFonts w:ascii="arial" w:eastAsia="arial" w:hAnsi="arial" w:cs="arial"/>
                <w:b/>
                <w:color w:val="000000"/>
                <w:sz w:val="30"/>
                <w:lang w:val="en-US" w:eastAsia="en-US" w:bidi="ar-SA"/>
              </w:rPr>
              <w:t>GOEPEL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Boiselle claims damages arising out of three motor vehicle accidents which took place on May 20, 1995, May 17, 1996 and October 13, 1996 respectively. The actions have been tried together. The defendants admit liability for all three accidents, but say that Mr. Boiselle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injuries he suffered in the first and third accidents. The assessment of damages is complicated because prior to the first accident Mr. Boiselle was suffering from a pre-existing symptomatic degenerative condition in his neck and low back areas and he had suffered a significant work related injury in 1993.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Boiselle is presently 53 years of age. He left the public school system in grade 6 or 7. He completed an apprenticeship program in flooring in 1970. For the next 27 years he worked in the flooring industry. Prior to a serious work related accident, which took place on May 19, 1993, his work was of a physically demanding nature. A medical assessment done in June 1994, some 13 months after that accident, concluded that Mr. Boiselle did not have the functional capacity to return to work as a floor layer. He was off work from May 1993 until November 1994 when he commenced employment as a dispatcher at Mainland Floors. This position was arranged for him through the Workers' Compensation Board Vocational Rehabilitation Department. The work consisted of lighter duties and was believed to better match his existing 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Medical examinations subsequent to the injury of May 19, 1993 established that Mr. Boiselle had a pre-existing degenerative disc disease. On February 9, 1995 he was examined by Dr. Kanji. He advised Dr. Kanji that as a result of his injuries he had curtailed undertaking household chores and yard maintenance and his wife now mowed the lawn. He also indicated he had reduced his long distance driving time to two-hour segments and in relation to recreational activities he had ceased curling and curtailed golfing, five-pin bowling and car maintenance.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his examination by Dr. Kanji he was complaining of constant toothache like pain across his lower back, and he found that straightening his back from forward flexion led to even more pain. He complained of numbness and tingling affecting his entire right leg to the groin and acknowledged restrictive movements of the lumbar spine with stiffness within the range of movement. He complained of aching in his right groin and also complained of right leg weakness. Sitting or standing for more than ten minutes, bending at the waist or lifting more than twenty pounds and walking more than two hours enhanced his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15, 1995, approximately one month before the first accident, the Mr. Boiselle suffered another work-related injury to his neck, middle and low back areas while lifting something that weighed but thirty pounds. He submitted a further WCB claim for compensation.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FIRST ACCIDENT - MAY 20,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first accident took place on May 20, 1995. Mr. Boiselle was driving a 1992 Ford Econovan. The back of the van was loaded with three rolls of carpet, each of which was approximately 12 feet long and wrapped in plastic. The carpets had been loaded into the van by way of a forklift. Two rolls lay on the floor of the van while the third roll, which weighed approximately 300 pounds, was loaded on top of the other two. The carpet was secured so as to prevent it from rolling from side to side or going out the rear door. There was however nothing done to prevent the carpet from going forward. Mr. Boiselle was responsible for loading and securing the carpet.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Boiselle was driving on Norland Avenue heading north. He stopped at a red light at Canada Way. When the light changed to green he commenced acceleration. He had barely cleared the crosswalk when a motorcycle travelling on Canada Way and driven by the defendant James McKenna proceeded through the red light and struck his vehicle. He hit his brakes at the moment of impact. The vehicle stopped but the top carpet loaded in the van did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carpet struck Mr. Boiselle in the right shoulder and upper arm. He was pushed forward with sufficient force that he broke the shift handle off the steering column of his vehicle. Although he was shaken up by the accident he was able to drive his vehicle and he proceeded to deliver the carpets to their intended location.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was feeling sore and shaken after the accident. After going to the police station to fill out an accident report he attended Royal Columbia Hospital for x-rays. He did not sleep well the first night. The following day he was sore all over. His major complaints were his stomach, low back and right shoulder. His wrist was sore from hitting the gearshift. He took four days off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Ng, his family physician, in a report dated May 17, 1996 reviewed the course of his recovery.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Boiselle returned to work on May 24, 1995. By October 1995, Mr. Boiselle had continued to suffer neck, right shoulder and lower back pain. He felt tired with aching all over at the end of a workday and was unable to do any housework. Because of poor response to physiotherapy, he was treated with massage therapy starting at the end of October 1995. By January 1996, Mr. Boiselle still had sharp pain on posterior neck with movement of his neck. There was a moderate decrease in the range of motion of his cervical spine. He also complained of severe headache due to his neck pain and muscle spasm, even though he continued his massage therapy.</w:t>
      </w:r>
    </w:p>
    <w:p>
      <w:pPr>
        <w:spacing w:before="120" w:line="260" w:lineRule="atLeast"/>
        <w:ind w:left="720"/>
        <w:rPr>
          <w:lang w:val="en-US" w:eastAsia="en-US" w:bidi="ar-SA"/>
        </w:rPr>
      </w:pPr>
      <w:r>
        <w:rPr>
          <w:rFonts w:ascii="arial" w:eastAsia="arial" w:hAnsi="arial" w:cs="arial"/>
          <w:color w:val="000000"/>
          <w:sz w:val="20"/>
          <w:lang w:val="en-US" w:eastAsia="en-US" w:bidi="ar-SA"/>
        </w:rPr>
        <w:t>Mr. Boiselle recently came to my office on April 19, 1996 for assessment of his MVA injuries and felt that his neck symptoms have improved substantially. His last massage therapy was on April 2, 1996. But he still has lower back pain especially at the end of a workday.</w:t>
      </w:r>
    </w:p>
    <w:p>
      <w:pPr>
        <w:spacing w:before="120" w:line="260" w:lineRule="atLeast"/>
        <w:ind w:left="720"/>
        <w:rPr>
          <w:lang w:val="en-US" w:eastAsia="en-US" w:bidi="ar-SA"/>
        </w:rPr>
      </w:pPr>
      <w:r>
        <w:rPr>
          <w:rFonts w:ascii="arial" w:eastAsia="arial" w:hAnsi="arial" w:cs="arial"/>
          <w:color w:val="000000"/>
          <w:sz w:val="20"/>
          <w:lang w:val="en-US" w:eastAsia="en-US" w:bidi="ar-SA"/>
        </w:rPr>
        <w:t>In summary, Mr. Raymond Boiselle has sustained neck, right shoulder and lower back sprain due to his MVA on May 20, 1995. The MVA injuries have aggravated his pre-existing WCB injuries of his neck and lower back. The duration of his total disability is about four days and duration of his partial disability about eleven months. It is likely that Mr. Boiselle will continue to have intermittent neck and lower back pain in near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evidence in chief Mr. Boiselle testified that prior to the first accident he would play golf two or three times a month. He testified he curled on a regular basis and also participated in bowling. He said he had no problems with his back or neck. This evidence of his pre-accident condition is directly contradicted by Dr. Kanji's report of February 9, 1995.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SECOND ACCIDENT - MAY 17,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relation to the second accident Mr. Boiselle was rear ended while stopped at the intersection of Canada Way and Royal Oak. There was minimum damage to the vehicles. He felt some muscle soreness the next day but he testified it had cleared up within four or five days. He had no present recollection of seeing a doctor in relation to this accident and he did not take any time off as a result of the accident. He says that any symptoms from the second accident cleared up in no more than a week. This evidence is contradicted by medical documentation, which indicate that he was still suffering from the effects of the second accident in October 1996 when the third accident took place.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THIRD ACCIDENT - OCTOBER 13,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Boiselle was proceeding east on Prairie Avenue in Port Coquitlam. He says he was wearing a seatbelt. A vehicle driven by the defendant Subhas Chand was exiting from an Overwaitea parking lot when it collided with Mr. Boiselle's vehicle. Mr. Boiselle says as a result of the accident his head went forward and probably hit the mirror. The right side and top of his head was sore and the scalp was bleeding. His hips and ribs on the right side were fairly sore and his neck was extremely sore. His right toe was cut. The next day his neck was extremely sore as were his hip area, lower back and ribs. In spite of his injuries, the plaintiff continued his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or about December 13, 1996 his employer went out of business. On December 23, 1996 he attended on Dr. Ng who recommended he take time off work as he was incapable of working due to recurrent neck and back sprain due to the motor vehicle accidents. It is not clear from his notes whether Dr. Ng was aware that Mr. Boiselle's employer had, by that time, gone out of business. Mr. Boiselle applied for unemployment benefits based on a medical certificate provided by Dr. 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submitted that the medical certificate, which was dated January 3, 1997, arose as a result of a snow-shovelling incident that had taken place in late December. A review of Dr. Ng's clinical notes indicates that the snow-shovelling incident was not reported to Dr. Ng until January 3, 1997. Dr. Ng's clinical notes for December 23, 1996, however, indicate that he discussed with Mr. Boiselle on that day the necessity of taking time off work. I am satisfied that the medical certificate prepared by Dr. Ng and his opinion that Mr. Boiselle was not capable of work relate to the motor vehicle accidents and not the snow shovelling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Throughout the winter and spring of 1997 Mr. Boiselle attended physiotherapy. During this time he was also treated by OT Consulting Treatment Services Ltd. Their file was on hold from December 17, 1996 until March 1997 as a result of Dr. Ng's recommendation that Mr. Boiselle was to remain off work and avoid any strenuous exercise until the report of a neurologist was available. He began an active exercise program on March 19,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21, 1997 Mr. Boiselle commenced a six-week conditioning program at Drake Medox Health Services. It was reported by the physiotherapist on June 23, 1997 that Mr. Boiselle would be able to return to work with no limitations. Commencing in early July with the assistance of JK Woodward and Associates, Mr. Boiselle began to actively seek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did not find employment until February 16, 1998 when the Fraser Academy School hired him as the building manager. His initial salary was $28,000 per year. He was responsible for maintaining of the school. His duties include gardening, painting, plumbing and electrical work as required. Although he says that he has pain while carrying out these functions, he has been able to carry them out successfully since 1998. He remains employed in this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gave evidence that he continues to suffer from increasing pain. He takes extra strength Tylenol and muscle relaxants. He says that he has pain in his neck, left arm and lower back. He says his neck is numb and that he has pain into the shoulder area and lower back. He says that his recreational activities remain curtailed. He does appear, however, still to be able to work on cars, which has long been one of his hobbies, as well as maintain his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October 1997 he was seen by an orthopaedic surgeon, Dr. Kenneth Hill. Dr. Hill in his report of September 18, 1997 notes that Mr. Boiselle has had significant structural changes in his back and neck of a degenerative nature. He opines that "spondyloarthropathy in my view is the main factor which is causing the ongoing complaints which at this point in time have remained unresolved."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Later in his report Dr. Hill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believe that in view of the structural changes which have been observed in his neck and lower spine that the prognosis is guarded as far as ongoing symptoms are concerned and I believe the cause of the ongoing complaints is secondary to structural changes in the back and neck which have been evident for a significant period of time and which have been aggravated by the variety of injuries both motor vehicle and work-related that he has been exposed to.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 - FIRST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doubt that Mr. McKenna's negligent operation of his motorcycle was the cause of the first motor vehicle accident. The defendants, however, submit that the injuries Mr. Boiselle suffered from that accident arose from his failure to properly secure the carpet that he was transporting. The defendants filed a collision reconstruction report prepared by Mr. King, a registered professional engineer. The report sets out how braking alone could have caused the carpet roll to slide forward in the manner in which it did. Mr. Boiselle admitted that on previous occasions he had experienced situations where carpet had not been securely tied down and had come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If the carpet in the vehicle had been properly secured it is unlikely that Mr. Boiselle would have suffered any injuries from the first accident. The accident itself would not have happened absent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McKenna. In my opinion the conduct of both Mr. McKenna and Mr. Boiselle was a marked departure from their respective standards of care. I would apportion 50% of the fault to Mr. McKenna and 50% to Mr. Boiselle. See Cempel v. Harrison Hot Springs Hotel Ltd. </w:t>
      </w:r>
      <w:hyperlink r:id="rId754"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 - THIRD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regards to the third accident the defendants again claim that the injuries suffered by Mr. Boiselle were contributed to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regards to this accident they claim that Mr. Boiselle was not wearing a seatbelt. Mr. Boiselle denies that is so. The defendant again relies upon a report filed by Mr. King. In this report Mr. King opines, having viewed the damage to the vehicles, that the injuries allegedly suffered by Mr. Boiselle would not have occurred if he was wearing a seatbelt. In coming to his opinion Mr. King relies on an assumption he has made concerning the speed of the Chand vehicle. No evidence was called to support that assumption. Mr. King agreed that if the Chand vehicle was travelling at a greater rate of speed, it would influence his opinion whether the injuries suffered by Mr. Boiselle could have occurred while he was wearing his seatbelt.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concluded that the defendants have failed to prove a fundamental underlying assumption upon which Mr. King's opinion was based. In those circumstances I am not prepared to accept Mr. King's opinion. In the result I hold that the defendant Chand is 100% at fault for the third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award of damages in this case must take into account Mr. Boiselle's pre-accident health, the impact of the various accidents, and determine whether the accidents are the cause of his present difficulties. This task is made more difficult as I find I can place little, if any, reliance on Mr. Boiselle's testimony. In this regard I note the contradictions between his evidence at trial and Dr. Kanji's report, his evidence that the impact of the second accident cleared up within days when the contemporaneous medical records indicate otherwise and his testimony that he did not actively seek employment in 1997 which evidence is contradicted by documents placed in evidence. I do not intend to convey that Mr. Boiselle was intentionally attempting to mislead the court. Indeed, some of his inaccuracies work to his detriment. Generally speaking I have discounted Mr. Boisielle's evidence when it is not otherwise supported by contemporaneous documents and I have relied on the contemporaneous documents to track Mr. Boiselle's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regards to non-pecuniary damages I find that prior to the first accident the plaintiff was suffering from a serious and longstanding back problem. He had already been diagnosed with a degenerative disc disease. The combination of his work related accident and the degenerative disease had already curtailed many of his recreational activities. It also forced him to abandon his occupation as a carpet layer.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His existing condition was aggravated by the three motor vehicle accidents. I am satisfied that the impact of the motor vehicle accidents were largely resolved by July 1997 when he was cleared to look for work. I accept Dr. Hill's opinion that his ongoing problems are due not to the motor vehicle accidents but to the structural changes in his back and neck caused by his degenerative disc disease.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is entitled to compensation to the extent that his existing condition was aggravated by the motor vehicle accidents. I find that the aggravation caused by the first motor vehicle accident lasted approximately one year and was mostly resolved by the date of the second accident. I find that the impact of the second and third motor vehicle accidents lasted approximately 14 months and was largely resolved by July 1997 when Mr. Boiselle was cleared to again seek employment. I award him the sum of $30,000 in general damages which sum is divided $14,000 in regards to the first accident and $16,000 in relation to the second and third accidents. As I have found that Mr. Boiselle is 50% at fault by the damages suffered in the first accident he will recover for the first accident the sum of $7,000, which will reduce his general damages to $23,000.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PAST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previously noted, Mr. Boiselle lost his employment with Mainland Carpets in December 1996 when that company ceased operations. On December 23, 1996 Dr. Ng advised that he should take time off work because of the aggravations to his condition caused by the motor vehicle accidents. By July 1997 he was actively seeking employment. During that period, given his previous job history, he could have been expected to earn approximately $14,000. Because of his injuries he lost the opportunity to seek employment during that time. In considering this award I must also take into account that Mr. Boiselle was without employment on December 23,1996 and given his limitations there was no guarantee that he would have found employment during that period if he was able to work. I would award $8,000 for the loss of opportunity to seek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submissions, defendants' counsel advised that James McKenna was uninsured at the time of the May 20, 1995 accident and that ICBC was defending the claim on behalf of and in the name of McKenna pursuant to s. 20(7)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An uninsured claim under s. 20 activates s. 106 of the Insurance (Motor Vehicle) Act Regulations (Revised Regulation (1984), </w:t>
      </w:r>
      <w:hyperlink r:id="rId314"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Pursuant to that regulation ICBC is permitted to deduct any benefits received by the plaintiff under either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or the Employment Insurance Act R.S.C. 1996, C. 23. The defendants submit that from the amount awarded for past wage loss their should be deducted the employment insurance benefits paid to Mr. Boiselle. I would agree with that position if I accepted the premise that employment insurance payments arose from the accident caused by Mr. McKenna. I do not accept that premise. I am satisfied on the medical evidence that the aggravation caused by the McKenna accident was largely resolved by the date of the second accident and was no longer a contributing factor in December 1996 when Mr. Boiselle applied for employment insurance. It was the second and third accidents that made Mr. Boiselle unable to seek work for a period of six months. Accordingly, the defendants are not entitled to deduct the employment insurance payments from the award of loss of past earning.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claims a loss of future earning capacity. Although the plaintiff is presently employed, it is submitted that he continues to suffer physically and his future employment is not guaranteed. That may well be, but in my opinion any loss of future employment will not be as a result of the motor vehicle accident, but the pre-existing medical condition. Accordingly, I make no award for loss of future earning capacity.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claims the sum of $1,279.31. This sum includes Workers' Compensation benefits in the amount of $702.31 paid in regards to the first accident. Pursuant to the aforementioned Regulation s. 106, the defendants are entitled to deduct that sum from the award. Accordingly, special damages are reduced to the sum of $577.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was no specific evidence led in relation to the cost of future care. The plaintiff seeks an award of $5,000. Given my finding that the plaintiff's present medical problems are a result of the pre-existing condition I will not make any award for cost of future care.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summary, therefore, the plaintiff is entitled to the following awards: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1464"/>
        <w:gridCol w:w="58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Damages</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$23,000</w:t>
            </w:r>
          </w:p>
        </w:tc>
        <w:tc>
          <w:tcPr>
            <w:tcW w:w="573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Past Earnings</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$ 8,000</w:t>
            </w:r>
          </w:p>
        </w:tc>
        <w:tc>
          <w:tcPr>
            <w:tcW w:w="573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 Damages</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$ 577</w:t>
            </w:r>
          </w:p>
        </w:tc>
        <w:tc>
          <w:tcPr>
            <w:tcW w:w="573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$31,077</w:t>
            </w:r>
          </w:p>
        </w:tc>
        <w:tc>
          <w:tcPr>
            <w:tcW w:w="573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No submissions were made on costs. My tentative view is that unless there are matters of which I am not aware, the plaintiff is entitled to costs on scale 3. To take into account the defendants success on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in regards to the first accident, costs shall be taxed as if the trial lasted four days. Further, the defendants will be entitled to recover the costs of Mr. King's report in regards to the first accident and one-half of witness fees paid to Mr. King to attend at trial. Those amounts are to be set off against the costs otherwise payable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either party seeks a different disposition of costs they are at liberty to make written submissions which should be filed within 21 days of the release of this judgment. Any responses to those submissions should be made within 7 days.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GOEPEL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Carrillo v. Deschutter, [2018] B.C.J. No. 6788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19-23, 26-27 and March 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M156427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6788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2018 BCSC 2134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Oscar Orlando Carrillo, Plaintiff, and David Joseph Deschutter,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(171 paras.)</w:t>
      </w:r>
    </w:p>
    <w:p>
      <w:pPr>
        <w:jc w:val="both"/>
        <w:rPr>
          <w:rFonts w:ascii="arial" w:eastAsia="arial" w:hAnsi="arial" w:cs="arial"/>
          <w:sz w:val="20"/>
          <w:lang w:val="en-US" w:eastAsia="en-US" w:bidi="ar-SA"/>
        </w:rPr>
      </w:pPr>
      <w:bookmarkStart w:id="297" w:name="Counsel_45"/>
      <w:bookmarkEnd w:id="2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Antifay, R. Gantzert.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 Tsang.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8" w:name="Judgment_44"/>
      <w:bookmarkEnd w:id="298"/>
      <w:r>
        <w:pict>
          <v:line id="_x0000_s1251" style="position:absolute;z-index:2517575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9" w:name="D.J. DARDI J."/>
            <w:bookmarkEnd w:id="299"/>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17, 2011, the vehicle driven by the plaintiff, Oscar Carrillo, was struck in the rear while stopped at a red light (the "Accident"). Liability for the Accident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no dispute that Mr. Carrillo sustained soft tissue injuries to his neck, low back, and left arm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primary issues of contention are the quantum of damages to be awarded for the cost of future care and whether Mr. Carrillo should be awarded any damages for the loss of past and future earning capacity. The quantum of non-pecuniary and special damages is also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Carrillo's pre-existing mental health issues compounds the complexity of the assessment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addressing the damages analysis, I turn to the facts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summary reflects facts that were either not in dispute or, where they were in dispute, the factual findings I have made based on a consideration of the evidence as a whole. I have explained the reasoning underlying my findings where the evidence conflicted in a significant way on material points or where a party asserts that particular inference be drawn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defence did not raise any issues regarding Mr. Carrillo's credibility. In any case, and in evaluating the totality of his evidence, I found him to be a credible witness. Overall, Mr. Carrillo left the Court with the impression that he was genuinely attempting to answer questions truthfully and was endeavouring to provide an accurate account of pertinent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Carrillo, whose first language is Spanish, was born and raised in Colombia. As of trial, he was 55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Carrillo has a Grade 10 education. In Colombia, he operated an automobile window tinting business for approximately 12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Carrillo has two children from a former relationship. His daughter is now 26 years old and his son 24 years old. He separated from his former partner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Carrillo, at the age of 42, was forced to flee Colombia after he was targeted by Colombian paramilitary organizations. He and his two children arrived in Quebec as refugees to Canada on October 31, 2005. In September 2006, they moved to Campbell River. They eventually settled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their arrival in Canada, Mr. Carrillo was the sole caregiver for his children during their minority. His daughter returned to Colombia approximately one year prior to trial. Mr. Carrillo's son resided with him until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Carrillo, as a single parent, managed the household and performed the majority of the housekeeping and meal preparation duties while his children resided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Since Mr. Carrillo's English was very limited, after his arrival in Canada, he enrolled in English language classes. He first undertook English language training in Campbell River in 2006. He continued to attend various English language courses in Abbotsford and Surrey. The last course he took was in 2015. While these courses improved his English, his English language proficiency remains limited. He testified at trial with the assistance of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a result of his experiences in Colombia and some four months after his arrival to Canada, Mr. Carrillo, began to experience insomnia, nightmares, anxiety, and panic attacks. He developed, and was diagnosed with a major depression and post traumatic stress disorder ("PTSD'). He saw a psychiatrist, Dr. Van den Berg, on two occasions, in November 2009 and then again in February 2010. After taking a comprehensive history, Dr. Van den Berg prescribed medication for Mr. Carrillo that included an anti-depressant, sleeping pills, and a mood stabilizer. After his last appointment with Dr. Van den Berg, he continued to see a nurse clinician for his mental health issues. The time frame for those visits was not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January 2010, Mr. Carrillo became a patient at the Primary Care Clinic in Surrey. This clinic serves as a primary care clinic for patients with mental health or addiction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Accident, Mr. Carrillo did not suffer from any significant physical problems or disability and was not restricted in any of his recreational activities. He described one episode of back pain in 2008 which had been precipitated by lifting some planks. He was prescribed pain medication and attended one physiotherapy treatment. The preponderance of the evidence supports a finding that after this treatment, his back pain resolved. In July 2008, Mr. Carrillo fractured his left hand. There is no evidence that this contributed in any way to his current condition. He did not suffer from any other problems with his back, neck, arms, shoulders or legs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Carrillo's social and recreational activities primarily involved his children and his church prior to the Accident. He regularly attended social events organized by his church which included barbecues and sporting events such as baseball. Prior to the Accident, he was reasonably physically active. Mr. Carrillo's son, Oscar, credibly described to the Court the physical activities he and his father participated in prior to the Accident. Mr. Carrillo regularly played basketball and played soccer with his son. He also attended the local community recreation centre approximately three times per week to work out at the gym. Mr. Carrillo regularly swam at the recreation centre as well as at a local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Carrillo's efforts to improve his English skills did not result in him obtaining any significant gainful employment prior to the Accident. His only employment prior to the Accident was one week of blueberry picking. After his arrival in Canada and prior to the Accident, Mr. Carrillo's only source of income, other than the $400 he earned berry picking, was social assistance. There was no evidence of any efforts he made to search for employment or any attempts he made to pursue occupational training.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17, 2011, Mr. Carrillo was driving a 2004 Dodge minivan when he was struck from behind by a large pickup truck. His friend Wilson Mejia was sitting in the front passenger seat of the minivan. They were stopped at a red light at the time of the impact. Both Mr. Carrillo and Mr. Mejia testified that the sudden impact sounded like an explosion. Mr. Mejia described the impact as a "hard heavy hit". I accept their evidence regarding the severity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Carrillo, described his body being pushed forward and being restrained by his shoulder belt. The initial symptoms he experienced were a headache, dizziness, and back and neck pain. He also vomited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Carrillo was picked up at the scene of the collision by his son who took him to the emergency room at Surrey Memorial Hospital where X-rays of his lumbar spine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Carrillo's symptoms worsened over the next several days. A week after the Accident, he attended the Primary Care Centre where he saw nurse practitioner, Kulvinder Ghuman. He reported to her that he was suffering from headaches, neck and back pain, left leg pain and limited movement in his left shoulder. As a consequence of his constant pain, he experienced difficulties walking, sitting, standing, and with his personal care. Ms. Ghuman prescribed pain medication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Ms. Ghuman's recommendation, he attended chiropractic and physiotherapy sessions as well as massage therapy sessions. The medical reports indicate that he had an x-ray of his cervical spine on January 9, 2012, an MRI scan on January 25, 2012, and a CT scan for his left shoulder and lumbar spine on February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Unfortunately, Mr. Carrillo did not experience any notable improvement in his symptoms. This led to a number of referrals which I summarize in the next section of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Post Accident Circumstances and Circumstances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a period of six months in 2012, Mr. Carrillo self-medicated with cocaine. He found it alleviated his chronic pain. Since cocaine was very expensive, he decided to become involved in selling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April 2013, Mr. Carrillo was charged with possession of cocaine for purpose of trafficking. He pleaded guilty in February 2014. Given his circumstances, a non-custodial sentence was imposed. He received a suspended sentence and two years probation. As part of his sentence, Mr. Carrillo performed community service by working 125 hours at a soup kitchen. His shifts were four hours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Between approximately October 2013 and April 2014, Mr. Carrillo operated a drywalling enterprise with a family friend, Rudolfo Gomez. Mr. Carrillo, in a supervisory role performed the less physical aspects of the operation such as re-parking vehicles and getting lunches for the crew. He earned approximately $23,000.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Carrillo worked again for some months in 2015 with his son and Mr. Gomez in a furniture delivery business. Again, Mr. Carrillo assisted with the less physically demanding aspects of the job such as driving and carrying light items such as pillows.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Since the Accident, Mr. Carrillo has been unable to attend the gym with his son. He no longer is able to play soccer, baseball or basketball. He is limited to sitting in the sauna and hot tub and gentle swimming exercises in the pool. Mr. Carrillo watches his son's sporting events but is no longer able to participate in those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Mr. Gomez and Oscar Carrillo recounted to the Court the physical limitations they have observed in Mr. Carrillo since the Accident. They described him as being unable to functionally use his left arm and shoulder. He is constantly shifting positions. Mr. Carrillo's son and Mr. Gomez, assist him with grocery shopping, laundry and other heavier household chores that he is no longer able to perform on his own. I found both Oscar Carrillo and Mr. Gomez to be credible and their evidence reliable. I accept their evidence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Mr. Carrillo continues to engage in some social and recreational activities, such as taking car rides with friends, his church and sporting activities are now considerably restricted on account of his physical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summarize below the expert medical evidence tendered at trial. Unless otherwise noted, all of these experts prepared medical-legal reports and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Notably, there is a general consensus among the medical experts that Mr. Carrillo sustained injuries in the Accident. These injuries include soft tissue injuries to his neck and low back, and left shoulder adhesive capsulitis or frozen shoulder.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Kulwinder Ghuman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Ghuman is a nurse practitioner who treated Mr. Carrillo at the Primary Care Clinic from April 2011 to October 2013. Prior to the Accident, her diagnoses of his symptoms included major depression and insomnia. She saw Mr. Carrillo on November 23, 2011, six days after the Accident. He had 16 subsequent attendances with her. Her report is dated May 10,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November 23, 2011, on physical examination, she noted that Mr. Carrillo was walking with a limp, and that he was unable to lie down on the examination table. In his lumbar, trapezius and cervical spine, she noted muscle tenderness on palpation and limited range of motion. He experienced pain in his lower back when his legs were lifted. Her diagnosis was musculoskeletal and whiplash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Ghuman prescribed a muscle relaxant and anti-inflammatory medication. According to her report she also recommended increasing his anti-depressant medication. In her opinion, Mr. Carrillo sustained the following injuries as a result of the Accident:</w:t>
      </w:r>
      <w:r>
        <w:rPr>
          <w:rFonts w:ascii="arial" w:eastAsia="arial" w:hAnsi="arial" w:cs="arial"/>
          <w:sz w:val="20"/>
          <w:lang w:val="en-US" w:eastAsia="en-US" w:bidi="ar-SA"/>
        </w:rPr>
        <w:cr/>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strain/sprain of his lumbar spine and neck;</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sprain to the left shoulder which resulted in subacromial bursitis and acromioclavicular arthropathy;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exacerbation of his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of October 17, 2013, her prognosis for Mr. Carrillo was that he would continue to experience chronic pain for the foreseeable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Patrick Chin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Chin is an orthopaedic surgeon with a subspecialty in disorders of the upper extremity and knees. He assessed Mr. Carrillo on June 14, 2012. His diagnoses were:</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left shoulder pain and stiffness secondary to post-traumatic adhesive capsulitis and subacromial impingement/bursitis;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low back pain secondary to discogenic back pain without focal neurologic dysfunction (mechanical back pain); and</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neck pain secondary to mild multi-level spondylosis with musculoligamentous sprain (without neurologic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Chin also opined that Mr. Carrillo's pre-existing mental health issues likely predisposed him to poor coping skills in managing his pain. He recommended a multi-disciplinary approach to pain management including an active exercise program. With respect to his frozen shoulder, Dr. Chin recommended that Mr. Carrillo undergo a guided injection.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Datinder Banwait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Banwait is a chiropractor who treated Mr. Carrillo for left shoulder and lumbar pain from June 20 to August 26, 2012. His report was admitted by consent and the defence did not require him to appear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Carrillo attended nine treatment sessions with Dr. Banwait. As a result of the treatments, Mr. Carrillo's range of motion in his left shoulder improved approximately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Banwait opined that Mr. Carrillo's left shoulder and lumbar pain was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Kai Kwee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Kwee who, at trial, testified by video deposition, is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Kwee treated Mr. Carrillo's left shoulder from October 3, 2012 to April 10, 2013. He described Mr. Carrillo as having developed a "full blown frozen shoulder". He performed three non-guided injections that provided Mr. Carrillo with some increase in the mobility and mild improvement in the pain of his left shoulder for a period of time. On April 10, 2013, Mr. Carrillo, through his interpreter, informed Dr. Kwee that he was not happy with his progress and would be seeking another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Kwee recommended a program of gradual stretching exercises together with analgesic or anti-inflammatory medications. In cross-examination, he stated that it would be preferable that range of motion and stretching exercises for the frozen shoulder be performed daily.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Robert Schweigel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Schweigel is an orthopaedic surgeon who assessed Mr. Carrillo on April 2, 2013. He diagnosed Mr. Carrillo with mechanical back pain caused by the Accident. He noted that Mr. Carrillo had degenerative disc disease at multiple levels in his lower lumbar spine. It was his view that the Accident aggravated an asymptomatic pre-existing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recommended that Mr. Carrillo be as active as possible with low impact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Charles Telfer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Telfer is an orthopaedic surgeon with a subspecialty in shoulder pathology and surgery. He assessed Mr. Carrillo on May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medical-legal report, he stated that his physical findings regarding Mr. Carrillo's left shoulder were predominated by stiffness. The external and internal rotation and flexion and abduction of the left shoulder were significantly restricted. Dr. Telfer was unable to provide a clear diagnosis. He recommended a range of motion exercise program that involved performing simple exercises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recommendation of his primary care provider, Mr. Carrillo saw Dr. Telfer again in November 2017. Dr. Telfer observed that Mr. Carrillo's shoulder was even more stiff than in 2013. Dr. Telfer recommended that Mr. Carrillo have an MRI arthrogram for which the typical wait time is approximately one year. Depending on the results of the MRI, surgery may be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However, Dr. Telfer could not provide any further recommendations or prognosis pending this further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Aaron MacInnes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MacInnes is a well-qualified pain management specialist and anesthesiologist. Mr. Carrillo was seen by a registered nurse for an initial intake assessment at the Fraser Health Pain Management Clinic on August 17, 2013 ('the Pain Clinic"). Dr. MacInnes assessed Mr. Carrillo on October 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MacInnes administered a series of guided medial branch block injections in the cervical and lumbar spine but unfortunately none of these interventions resulted in any significant improvement in Mr. Carrillo's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MacInnes opined that as a result of the Accident, Mr. Carrillo suffers from "chronic whiplash-associated disorder, chronic mechanical spine pain, chronic soft tissue injuries to the left shoulder and chronic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His prognosis is that Mr. Carrillo's symptoms will persist indefinitely. He also observed that patients with depression and post-traumatic stress symptoms in addition to chronic pain are known to have "poorer functional outcomes and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Mr. Carrillo's evidence that Dr. MacInnes recommended that he attend the swimming pool and hot tub to assist with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cross-examination, Dr. MacInnes explained that, although an increase in physical activity may assist in managing chronic pain, at the same time that activity may exacerbate the patient's symptoms. He explained that sometimes with chronic pain, despite best efforts on the part of the medical profession and the patient undertaking every recommended treatment, the pain persists.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MacInnes also recommended Mr. Carrillo see a psychologist and attend group classes for pain management at the Pain Clinic. These classes are conducted in English.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Lisa Sennewald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Sennewald has been Mr. Carrillo's primary care provider at the Primary Care Clinic since December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her medical-legal report dated March 15, 2017, Dr. Sennewald noted significant spasm of the lower back muscles and limited range of motion in Mr. Carrillo's lower back. She opined that as a result of the Accident Mr. Carrillo suffered soft tissue injuries in his back, neck, and left shoulder and that he had developed a frozen shoulder with severely restricted range of motion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Sennewald concludes that Mr. Carrillo suffers from chronic pain and despite undertaking many modalities of treatment he has experienced minimal improvement. He continues to be severely limited in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I mentioned, Dr. Sennewald, in addition to gabapentin, prescribed small amounts of oxycodone for Mr. Carrillo for episodic exacerbations of his chronic pain. In November 2016, she also prescribed Seroquel for his sleep, anxiety and depression issues. She reports that she prescribed hydromorphone for pain relief but Mr. Carrillo did not tolerate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her report, Dr. Sennewald notes that Mr. Carrillo's depression and anxiety may exacerbate his chronic pain, and that the pain, in turn, "naturally exacerbates depression and anxiety".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Sukh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Mann is a chiropractor who treated Mr. Carrillo from July 23 to November 1, 2016. His report was tendered without any requirement for attendance at trial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Mann's report details the history of their 20 office visits. This series of chiropractic treatments did not result in any significant improvement in Mr. Carrillo's symptoms. Dr. Mann states that the objective findings of his examination were consistent with Mr. Carrillo's reporting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Mann opined that the injuries from the Accident have caused chronic pain and limitation of Mr. Carrillo's low back and shoulder functions that have affected his activities of daily living. He states that the impact of his injuries "may bother him for a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recommended a guided active rehabilitation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Cecil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Hershler who is a very experienced physical medicine and rehabilitation doctor, assessed Mr. Carrillo on February 8, 2017. Mr. Gomez acted as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Carrillo presented with pain in his neck, left shoulder and low back that had persisted for over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Hershler's diagnosis was that Mr. Carrillo was suffering from chronic pain associated with significant muscle spasm down both sides of the spine including his neck and back. He also found evidence of a frozen left shoulder. Dr. Hershler's opinion is that these conditions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Based on his clinical experience, Dr. Hershler's prognosis is that it is more likely than not that Mr. Carrillo will remain symptomatic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Hershler opined that it is unlikely that physical treatment such as physiotherapy and massage therapy, chiropractic treatments or injections would be beneficial to Mr. Carrillo.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will return to Dr. Hershler's recommendations for medical cannabis in the section of these Reasons on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Arthur, a retired orthopaedic surgeon, examined Mr. Carrillo on November 21, 2016 at the request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his medical-legal report dated January 5, 2017, Dr. Arthur noted some reduced range of motion in Mr. Carrillo's lower back and some flattening of the lumbar lordosis, with tenderness across the entire lower back. He also diagnosed an ongoing left shoulder issue which had developed into a frozen shoulder with significant loss of active range of motion. He recommended further examination of the left shoulder under general anaesthesia to confirm a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Arthur endorses an active rehabilitation program after Mr. Carrillo has undergone a psychiatric assessment and reassessment of the left shoulder by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 AND SUMMARY OF MR. CARRILLO'S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order for the plaintiff to recover damages, there must be a causal link between the motor vehicle accident and his injuries. The primary test used in determining causation is known as the "but for" test. The plaintiff bears the burden of showing on a balance of probabilities that but for the defendant's negligent act or omission his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466-468 [Athey].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am satisfied that Mr. Carrillo has discharged this burden. I find on a balance of probabilities that he was injured and that his injury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preponderance of the medical evidence overwhelmingly establishes that Mr. Carrillo sustained injuries as a result of the Accident. These are soft tissue injuries to his neck and low back, left arm and shoulder, and left leg. The Accident also caused left shoulder adhesive capsulitis, otherwise known as a frozen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Carrillo's current symptoms include intermittent headaches, which he experiences every two or three days. He described experiencing a sensation of heaviness and throbbing with the headaches. He also experiences persistent and significant chronic neck and low back pain. His pain varies in intensity; he suffers from episodic severe exacerbations. With respect to his left shoulder, he experiences "stabbing pain" on an intermittent basis. Moreover, his range of motion is restricted. The totality of the evidence supports a finding that the abduction, forward flexion, and internal and external rotation of his left shoulder are all restricted. He also experiences some numbness in his left hand. The issues with his left leg resolved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was no suggestion by the defence that Mr. Carrillo was a malingerer or that he was exaggerating his symptoms. He answered questions in a responsive manner and did not embellish his evidence or exaggerate his injuries. I am satisfied that he has experienced the pain, discomfort, and restriction in movement 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accept Mr. Carrillo's evidence that he has not experienced any real improvement from the various treatments he has received including physiotherapy, chiropractic, and massage therapy, as well as multiple injections from orthopaedic surgeons. Despite these treatments, he continues to have a limited range of motion in his left shoulder, and limitations with the functional use of his left arm. He continues to experience discomfort standing, sitting, and walking for any extended duration. His limitations have resulted in difficulties with activities of daily living and personal care, such as showering.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preponderance of the evidence supports a finding that Mr. Carrillo's mental health condition makes it more challenging for him to manage his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Carrillo requires daily medication to manage the pain. He takes gabapentin, a non-narcotic medication four times per day for his chronic pain. When he has reported episodes of severe exacerbation of his lower back pain, Dr. Sennewald has prescribed small amounts of oxycodone, which provided him with some relief. He has continued to take prescription medication for his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Sennewald was a careful and professional witness. I accept her opinion as to Mr. Carrillo's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so far as prognosis, I accept Dr. MacInnes' and Dr. Hershler's respective opinions that Mr. Carrillo will continue to suffer from chronic pain symptoms indefinitely. I note that neither this aspect of Dr. Hershler's opinion nor his diagnosis were challenged on cross-examination. In any case, I found him to be objective and fair-minded in his testimony. Dr. MacInnes was an impressive witness whose opinion was not shaken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sum, it is more likely than not that Mr. Carrillo's constellation of symptoms will persist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purpose of damages is theoretically to restore, as nearly as is possible with a monetary award, an injured plaintiff to the same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Carrillo seeks non-pecuniary damages in the range of $125,000. The defendant submits that the more appropriate award is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Non-pecuniary damages are intended to compensate the plaintiff for the pain, suffering and loss of enjoyment of life and of amenities experienced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award should compensate a plaintiff for such damages suffered to the date of trial and those that the plaintiff will suffer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award should be fair and reasonable for both parties, as those concepts are measured against the adverse impact of the particular injuries on an individual plaintiff: While fairness is assessed by reference to awards made in comparable cases, because each case is decided on its own unique facts and calls for an individualized assessment, it is neither possible nor desirable to develop a "tariff":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(No. 2), </w:t>
      </w:r>
      <w:hyperlink r:id="rId763"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 176-177;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xml:space="preserve"> at para. 116 [</w:t>
      </w:r>
      <w:r>
        <w:rPr>
          <w:rFonts w:ascii="arial" w:eastAsia="arial" w:hAnsi="arial" w:cs="arial"/>
          <w:i/>
          <w:color w:val="000000"/>
          <w:sz w:val="20"/>
          <w:lang w:val="en-US" w:eastAsia="en-US" w:bidi="ar-SA"/>
        </w:rPr>
        <w:t>Suthakar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set out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Carrillo sustained soft tissue injuries in the Accident that have resulted in him enduring significant chronic pain, suffering, and loss of enjoyment of life for over six years. Earlier in these Reasons, I have set out my findings on the progression of his symptoms and the limitations on his activities that his injuries have caused. It is more likely than not that his back, neck, and headache symptoms will persist indefinitely. As of trial, it was not certain whether Mr. Carrillo would have surgery to repair his frozen shoulder. If he has surgery, the likelihood of any improvement is uncertain. Without surgery, it is unlikely that he will regain mobility in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Carrillo suffered from depression, anxiety and post traumatic stress disorder prior to the Accident. However, he had no physical limitations prior to the Accident and his mental health issues did not prevent him from participating in social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It is important to recognize that people have different physical and psychological susceptibility to injuries. It is the impact of the accident on the actual plaintiff that is relevant for compensatory purposes. Mr. Carrillo's pre-existing mental health issues likely negatively impacted his ability to manage his chronic pain. However, it is fundamental principle in assessing damages that a defendant must take the plaintiff as he is, even where, because of his unique susceptibility or vulnerability, the injury was more dramatic or unexpectedly severe than one would expect an average person to sustain. Accordingly, a defendant who injures a plaintiff with a particular susceptibility or vulnerability to injury is responsible for the results of the accident on that particular plaintiff: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473;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at para.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His injuries have had a dramatic impact on Mr. Carrillo. His chronic pain and frozen shoulder adversely impact his daily activities. He no longer is able to participate in his sporting and recreational activities that he enjoyed with his friends and family. He is required to rely on the assistance of his son and Mr. Gomez with respect to laundry, grocery shopping, and heavier house cleaning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have reviewed and considered all of the authorities relied on by counsel to establish a range of an appropriate award for non-pecuniary damages. Mr. Carrillo relies on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Kam v. Van Keith</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2015 BCSC 1519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Scelsa v. Taylor</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2016 BCSC 1122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Taba v. North Shore Taxi (1966) Ltd.</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2016 BCSC 1989</w:t>
        </w:r>
      </w:hyperlink>
      <w:r>
        <w:rPr>
          <w:rFonts w:ascii="arial" w:eastAsia="arial" w:hAnsi="arial" w:cs="arial"/>
          <w:color w:val="000000"/>
          <w:sz w:val="20"/>
          <w:lang w:val="en-US" w:eastAsia="en-US" w:bidi="ar-SA"/>
        </w:rPr>
        <w:t xml:space="preserve">. The defence relies on </w:t>
      </w:r>
      <w:r>
        <w:rPr>
          <w:rFonts w:ascii="arial" w:eastAsia="arial" w:hAnsi="arial" w:cs="arial"/>
          <w:i/>
          <w:color w:val="000000"/>
          <w:sz w:val="20"/>
          <w:lang w:val="en-US" w:eastAsia="en-US" w:bidi="ar-SA"/>
        </w:rPr>
        <w:t>Wepryk v. Juraschka</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2012 BCSC 974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Peake v. Higo</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2009 BCSC 265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Latuszek v. Bel-Air Taxi (1992) Limited</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2009 BCSC 798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the authorities are instructive, I do not propose to review them in any detail as they provide general guidelines only. No two individual plaintiffs' personal experiences, in dealing with their injuries and the adverse consequences of those injuries, are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Having considered the evidence as a whole and the application of the governing principles, it is my opinion that a fair and reasonable award for the plaintiff's non-pecuniary damages is $115,000.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 submits that Mr. Carrillo's non-pecuniary damages should be reduced by 10% because of his failure to mitigate in his losses. The defendant's primary contention is that Mr. Carrillo failed to perform daily range of motion exercises to improve the range of motion in his left shoulder, as recommended by Dr. Kwee and Dr. Telfer. Further, the defendant points out that Dr. Telfer recommended that ideally the exercises should be performed several times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It is well-settled on the authorities that a plaintiff in a personal injury action has a positive duty to mitigate by taking all reasonable measures to limit his or her loss. In order to succeed, the defendant must prove that the plaintiff acted unreasonably in eschewing the recommended treatment for his or her injuries and the extent, if any, to which the plaintiff's damages would have been reduced, had he or she acted reasonably: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law does not hold the plaintiff to a high standard of conduct in mitigation: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Rizzardo</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2015 BCSC 2349</w:t>
        </w:r>
      </w:hyperlink>
      <w:r>
        <w:rPr>
          <w:rFonts w:ascii="arial" w:eastAsia="arial" w:hAnsi="arial" w:cs="arial"/>
          <w:color w:val="000000"/>
          <w:sz w:val="20"/>
          <w:lang w:val="en-US" w:eastAsia="en-US" w:bidi="ar-SA"/>
        </w:rPr>
        <w:t xml:space="preserve"> at para. 234. The threshold is satisfied if a plaintiff makes "contextually reasonable and sincere efforts" to avoid all or a portion of his or her loss: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The Court's assessment of whether a particular plaintiff acted reasonably turns on all of the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burden of proof to show that the plaintiff could reasonably have avoided some parts of the loss rests on the defendant. It is not sufficient for the defendant to merely suggest some other course of conduct that the plaintiff might have followed. The Court of Appeal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underscored at para. 53, that the defendant must prove "the extent, if any, to which the plaintiff's damages would have been reduced" by the recommended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the Court of Appeal articulated the mitigation test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 would describe the mitigation test as a subjective/ 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xml:space="preserve">" by that treatment. The </w:t>
      </w:r>
      <w:r>
        <w:rPr>
          <w:rFonts w:ascii="arial" w:eastAsia="arial" w:hAnsi="arial" w:cs="arial"/>
          <w:i/>
          <w:color w:val="000000"/>
          <w:sz w:val="20"/>
          <w:lang w:val="en-US" w:eastAsia="en-US" w:bidi="ar-SA"/>
        </w:rPr>
        <w:t>Turner</w:t>
      </w:r>
      <w:r>
        <w:rPr>
          <w:rFonts w:ascii="arial" w:eastAsia="arial" w:hAnsi="arial" w:cs="arial"/>
          <w:color w:val="000000"/>
          <w:sz w:val="20"/>
          <w:lang w:val="en-US" w:eastAsia="en-US" w:bidi="ar-SA"/>
        </w:rPr>
        <w:t xml:space="preserve"> case, on which the trial judge relies, uses slightly different language than this Court's judgment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"there is some likelihood that he or she </w:t>
      </w:r>
      <w:r>
        <w:rPr>
          <w:rFonts w:ascii="arial" w:eastAsia="arial" w:hAnsi="arial" w:cs="arial"/>
          <w:color w:val="000000"/>
          <w:sz w:val="20"/>
          <w:u w:val="single"/>
          <w:lang w:val="en-US" w:eastAsia="en-US" w:bidi="ar-SA"/>
        </w:rPr>
        <w:t>would have received substantial benefit from it</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Having reviewed the legal principles, I now turn to the consideration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his examination for discovery, Mr. Carrillo candidly admitted that he did the recommended exercises for his left shoulder two or three times per week and that in each session he did 10 repetitions of the exercises. As of trial, he was performing the exercises four to six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For the reasons that follow, I am not persuaded that the defendant has proved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First, Mr. Carrillo has pursued several modalities of treatment for the injuries he sustained in the Accident. He consistently followed the recommendations of his primary care provider. He attended chiropractic, physiotherapy and massage treatments and he took the prescription medication as recommended. He underwent a series of injections from a pain specialist and an orthopaedic surgeon. He has performed exercises in the swimming pool to the best of his ability. While he did not do the shoulder exercises daily, he did perform those exercises several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Court must apply a contextual analysis in addressing the reasonableness standard, taking into account the particular personal circumstances of the plaintiff. The defendant must take the plaintiff as he finds him. I am not persuaded that a reasonable plaintiff in Mr. Carrillo's shoes, with his particular mental health issues and pre-accident history ought reasonably to be expected to have done more. Any shortcomings in his motivation to perform shoulder exercises as frequently as may have been recommended is likely a product of his pre-existing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Moreover, and crucially, the medical evidence falls short of establishing on a balance of probabilities that performing the stretching exercises more frequently would have appreciably altered or improved Mr. Carrillo's shoulder injury, or reduced or eliminated the effects of that injury. The evidence does not establish the extent to which Mr. Carrillo's damages would have been reduced if he had performed the shoulder exercises daily. Put another way and to the same effect, I am not persuaded that the defence has met the threshold mandated in the authorities for reducing Mr. Carrillo's damage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and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An award of damages for loss of earning capacity, whether past or future, is compensation for a pecuniary loss: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175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The purpose of such an award is to restore, as best as possible with a monetary award, an injured plaintiff to the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appellate authorities establish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earnings approach is more appropriate when the loss is more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Under either approach, the plaintiff always must prove that there is a real and substantial possibility of hypothetical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133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Rousta v. MacKay</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2018 BCCA 29</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786"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provided an instructive distillation of the principles which inform the assessment of loss of earning:</w:t>
      </w:r>
      <w:r>
        <w:rPr>
          <w:rFonts w:ascii="arial" w:eastAsia="arial" w:hAnsi="arial" w:cs="arial"/>
          <w:sz w:val="20"/>
          <w:lang w:val="en-US" w:eastAsia="en-US" w:bidi="ar-SA"/>
        </w:rPr>
        <w:cr/>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is not the balance of probabilities. A plaintiff is entitled to compensation for real and substantial possibilities of loss,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78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based on the evidence, taking into account all positive and negative contingencies. The task of the court is to assess the losses, not to calculate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To this list, I would add that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 claim for "past loss of income"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subject to the same legal test as a claim for loss of future earning capacity.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While the burden of proof relating to actual past events is a balance of probabilities, a past hypothetical event will be considered in a damages assessment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rejected the proposition that a claim for past loss of opportunity had to be established on a balance of probabilities. She clarified that the same test applies regardless of whether the court is considering hypothetical events in the assessment of past or future loss of earning capacity. She expounded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sum, the assessment of past or future loss of earning capacity requires the court to estimate a pecuniary loss by weighing possibilities and probabilities of hypothetical events: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2017 BCCA 178</w:t>
        </w:r>
      </w:hyperlink>
      <w:r>
        <w:rPr>
          <w:rFonts w:ascii="arial" w:eastAsia="arial" w:hAnsi="arial" w:cs="arial"/>
          <w:color w:val="000000"/>
          <w:sz w:val="20"/>
          <w:lang w:val="en-US" w:eastAsia="en-US" w:bidi="ar-SA"/>
        </w:rPr>
        <w:t xml:space="preserve"> at para. 49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The test to be applied to hypothetical events, past and future, is whether there is a real and substantial possibility that the events in question would occur or would have occurred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 xml:space="preserve"> at para. 14. In advancing a claim for the loss of income-earning capacity, whether past or future, the plaintiff must always prove a real and substantial possibility of an income loss, as opposed to a theoretical one. In other words, the award cannot be based on mere speculation;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 xml:space="preserve"> at para. 17. While the onus on the plaintiff is not a heavy one, it must nonetheless be met in order to justify a pecuniary award.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Carrillo asserts that absent the Accident he would have had an opportunity to earn an income before trial. For past loss of earning capacity, he submits that a modest sum of $4,000 per year represents a conservative assessment of what he could have earned to the time of trial. Given the six years since the Accident, he seeks a total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so far as future loss of earning capacity, Mr. Carrillo seeks $50,000 or approximately $5,000 a year until he reaches age 66. He again maintains that this is a conservative estimate that takes into account his limited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 asserts that Mr. Carrillo is not entitled to any compensation for loss of earning capacity. The defence's overarching submission is that the evidence does not establish that there was a real and substantial possibility of any pecuniary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turn first to the claim for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authorities establish that compensation for past loss of earning capacity is based on what the plaintiff would have, not could have, earned but for the Accident-related injuries: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 175;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paras. 49-50;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at para.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After his arrival in Canada and for the six years prior to the Accident, Mr. Carrillo's work history was minimal, consisting of one week's work as a berry picker.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After the Accident, aside from relatively brief stints as a supervisor in the dry-walling business and performing light tasks in furniture delivery business, Mr. Carrillo has been unable to obtain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the totality of the evidence I find that the potential barriers to Mr. Carrillo's gainful employment prior to trial were his mental health issues, his lack of proficiency in English, and lack of any significant training or a skill set. According to Ms. Ghuman, in September 2011, a few months prior to the Accident Mr. Carrillo's major depression and PTSD were the major issues that were impacting his ability to work. I accept her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is no question that Mr. Carrillo has clearly been rendered less capable of earning income because of and the chronic pain in his shoulder, neck, and back and the limitations in the functional use of his left arm However, I am not persuaded that the second element in the test has been satisfied. Importantly, the evidence does not establish there is a real and substantial possibility that the diminishment in Mr. Carrillo's earning capacity would have resulted in a pecuniary loss prior to trial. Put another way, the evidence does not establish a real and substantial possibility that, from the date of the Accident to the date of trial, and absent the Accident, Mr. Carrillo would have earned any employment income other than what he actually did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so far as future loss of earning capacity, Mr. Carrillo is only entitled to be restored to his original pre-accident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is currently 55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same factors inform the analysis on Mr. Carrillo's claim for future loss of earning capacity as informed his claim for past loss of earning capacity. There is no cogent evidence establishing a real and substantial possibility that the potential barriers to his gainful employment that I referred to earlier would be ameliorated or eliminated in the future. On the totality of the evidence, Mr. Carrillo has not proved that,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there is a real and substantial possibility that he would have nonetheless participated in the workforce in the future. Therefore, I cannot conclude that there is a real and substantial possibility that he will suffer a future pecuniary loss because of the Accident. All things considered, Mr. Carrillo's claim for future loss of earning capacity is at best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the result, Mr. Carrillo is not entitled to any compensation for either past or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approach to be taken in assessing future care costs is well-established.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When full restoration to the plaintiff's pre-accident condition cannot be achieved, the court should strive to provide the compensation necessary to achieve the provision of adequate future care: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172. The purpose of an award for future care is to compensate a plaintiff for costs which reasonably may be expected to be incurred to preserve and promote the plaintiff's mental and physical health: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Gigmac v. Insurance Corporation of British Columbia</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test for determining the appropriate award is an objective one based on the medical evidence. The items or services claimed must be medically justified and the claim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184. The Court of Appeal clarified,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that determining whether an item or service is medically justified is not limited to what medical doctors recommend, rather it can include recommendations from a variety of healthcare professionals such as a rehabilitation expert. The Court of Appeal in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also observed that a "little common sense should inform claims under this head, however much they may be recommended by experts in the field":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assessing what is reasonably necessary to promote the plaintiff's health, the court should also consider whether the plaintiff would likely avail themselves of the items or services in the future: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xml:space="preserve"> at paras. 12-14. The authorities distinguish between those circumstances in which a plaintiff's evidence is that he or she would not follow a recommended treatment, and those cases in which no evidence has been led one way or the other: </w:t>
      </w:r>
      <w:r>
        <w:rPr>
          <w:rFonts w:ascii="arial" w:eastAsia="arial" w:hAnsi="arial" w:cs="arial"/>
          <w:i/>
          <w:color w:val="000000"/>
          <w:sz w:val="20"/>
          <w:lang w:val="en-US" w:eastAsia="en-US" w:bidi="ar-SA"/>
        </w:rPr>
        <w:t>Lo v. Matsumoto</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2015 BCCA 84</w:t>
        </w:r>
      </w:hyperlink>
      <w:r>
        <w:rPr>
          <w:rFonts w:ascii="arial" w:eastAsia="arial" w:hAnsi="arial" w:cs="arial"/>
          <w:color w:val="000000"/>
          <w:sz w:val="20"/>
          <w:lang w:val="en-US" w:eastAsia="en-US" w:bidi="ar-SA"/>
        </w:rPr>
        <w:t xml:space="preserve"> at paras. 20-21. As Madam Justice Ballance aptly observed in </w:t>
      </w:r>
      <w:r>
        <w:rPr>
          <w:rFonts w:ascii="arial" w:eastAsia="arial" w:hAnsi="arial" w:cs="arial"/>
          <w:i/>
          <w:color w:val="000000"/>
          <w:sz w:val="20"/>
          <w:lang w:val="en-US" w:eastAsia="en-US" w:bidi="ar-SA"/>
        </w:rPr>
        <w:t>Suthakar</w:t>
      </w:r>
      <w:r>
        <w:rPr>
          <w:rFonts w:ascii="arial" w:eastAsia="arial" w:hAnsi="arial" w:cs="arial"/>
          <w:color w:val="000000"/>
          <w:sz w:val="20"/>
          <w:lang w:val="en-US" w:eastAsia="en-US" w:bidi="ar-SA"/>
        </w:rPr>
        <w:t xml:space="preserve"> at para. 129, the Court should be cautious about reducing or eliminating the cost for an item of future care simply on the basis that the plaintiff has not confirmed a willingness to participate in the course of care. The Court must be mindful that a plaintiff may not have had the means or ability to follow certain courses of treatment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courts have long recognized that an assessment for future care costs is not a precise accounting exercise. Adjustments may be made for "the contingency that the future may differ from what the evidence at trial indicates": </w:t>
      </w:r>
      <w:r>
        <w:rPr>
          <w:rFonts w:ascii="arial" w:eastAsia="arial" w:hAnsi="arial" w:cs="arial"/>
          <w:i/>
          <w:color w:val="000000"/>
          <w:sz w:val="20"/>
          <w:lang w:val="en-US" w:eastAsia="en-US" w:bidi="ar-SA"/>
        </w:rPr>
        <w:t>Krangle (Guardian ad litem of) Brisco</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267. The extent, if any, to which a future care costs award should be adjusted for contingencies depends on the consideration of the specific care needs of the plaintiff. The assessment of the expenditures that reasonably may be required must take into account the prospect of any improvement in the plaintiff's condition, or conversely, the prospect that additional care will be required: </w:t>
      </w:r>
      <w:r>
        <w:rPr>
          <w:rFonts w:ascii="arial" w:eastAsia="arial" w:hAnsi="arial" w:cs="arial"/>
          <w:i/>
          <w:color w:val="000000"/>
          <w:sz w:val="20"/>
          <w:lang w:val="en-US" w:eastAsia="en-US" w:bidi="ar-SA"/>
        </w:rPr>
        <w:t>O'Connell v. Young</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67-68;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Kevin Turnbull, an economist and chartered accountant, prepared a report in which he assessed the costs of Mr. Carrillo's future care based on the recommendations of the physicians. His report was tendered without any requirement that he attend for cross-examination. In his report, he calculated, based on Mr. Carrillo's survival probability, the present value multiplier for the discount rates to be applied. The multiplier for items that were required annually is 20.346.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Carrillo claims for the cost of medical cannabis in the amount of $96,753.00 and gabapentin in the amount of $23,265 for a total of $120,018. I note that these calculations used a slightly different multiplier than that of Mr. Turnbull's report. I have relied upon Mr. Turnbull's multiplier for the damages calculations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central controversy is the plaintiff's claim for the cost of medical cannabis. I will address the non-contentious future care items before addressing the claim for medical cannabis.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Gabapentin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is not in dispute that Mr. Carrillo takes eight gabapentin tablets per day in order to assist him with managing his chronic pain. The uncontradicted evidence is that gabapentin costs $0.40 per capsule. The annual cost is $1,168. Applying Mr. Turnbull's multipliers, the projection for current cost of the gabapentin annually for life is $23,764.00.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 agrees that there should be some award for the future cost of gabapentin. The defence, however, submits that Mr. Carrillo should be awarded $3,000 to take into account various contingencies, including that he may discontinue or reduce the amount of gabapentin he uses, the price may change, or future subsidies may become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It is uncontroversial and I accept that gabapentin continues to provide Mr. Carrillo with some symptomatic relief. There is a real and substantial possibility that he will continue to use gabapentin over his lifetime. Accordingly, I conclude that it is reasonable and justifiable to make an award for costs of gabapentin for Mr. Carrillo's overall future pain management. The defendant admitted that the cost of gabapentin will not be covered by Pharmacare. On the evidence, there is no principled basis to apply a negative contingency because of the availability of Pharmacare benefits: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Sangha</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xml:space="preserve"> at paras. 157-162.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Applying the applicable principles and taking into account the various contingencies identified by the defence, I assess $16,000 as a fair and reasonable award for gabapentin.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 maintains that Mr. Carrillo would benefit from an active rehabilitation program to address his chronic pain and frozen shoulder. Dr. Chin, Dr. Mann, and Dr. Arthur all recommended an exercise program for Mr. Carrillo.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Such an award is medically justified and I find the claim to be reasonable. Accordingly, I assess the award of $5,000, as suggested by the defendant, for the costs of an active rehabilitation program.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Although there was no evidence of any difficulties with miscommunication with Mr. Carrillo's treatment providers, the defendant suggested that Mr. Carrillo receive $2,000 for the purposes of hiring an interpreter to assist him with an active rehabilitation program in the event a Spanish-speaking physiotherapist or kinesiologist could not be retained. In all the circumstances, I find this to be reasonable and justifiable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Accordingly, I award $2,000 for interpretive services.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Medical Cannabis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Hershler recommended that Mr. Carrillo be put on a medical cannabis program. He explained the medical justification for his recommendation and his views on the efficiency and benefits of the treatment. He confirmed that the program should be supervised by a medical practitioner and the product purchased through Health Canada dispensaries. He emphasized in his testimony that the strain of cannabis he recommended was high in Cannabidiol (CBD), a non-psychoactive cannabinoid, and low in Tetrahydrocannabinol (THC), a psychoactive cannabinoid. He recommended that Mr. Carrillo take the cannabis in three forms:</w:t>
      </w:r>
      <w:r>
        <w:rPr>
          <w:rFonts w:ascii="arial" w:eastAsia="arial" w:hAnsi="arial" w:cs="arial"/>
          <w:sz w:val="20"/>
          <w:lang w:val="en-US" w:eastAsia="en-US" w:bidi="ar-SA"/>
        </w:rPr>
        <w:cr/>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topical cream to be rubbed into the muscle spasm at least three times a day;</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tincture of oil to be taken with liquid drink (1 to 2 drops at night); and</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oral capsule to be taken twice daily (one in the morning and one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According to Dr. Hershler, the objective is for the medical cannabis to assist Mr. Carrillo with pain management, mood and sleep. Dr. Hershler also states in his report the goal would be to have Mr. Carrillo gradually weaned off his current pain medication, which he testified has its own side effects. In his report, Dr. Hershler did not indicate the duration of the medical cannabis program he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evidence regarding the dispensaries from which Mr. Carrillo purchased the cannabis products was thin. However, he has produced receipts for his purchases. Below, I summarize Mr. Carrillo's claim based on the costs he has actually incurred for the cannabis products. His calculations are based upon him using medical cannabis for his lifetime. I note that there is no evidence that he has reduced his gabapentin consumption or that he intends to reduce it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With respect to the cannabis balm, Mr. Carrillo currently uses 30 grams per week. He says his use is limited because of affordability. He calculates an annual cost of $1,092. Applying the multiplier results in a cost of $22,218. Mr. Carrillo seeks $44,000 because he says that accords with the frequency of application Dr. Hershler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annual cost for the cannabis tincture oil would be $121. Applying the multiplier, the cost would be $2,475.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Insofar as the capsules, Dr. Hershler recommends that Mr. Carrillo take two per day. According to Mr. Carrillo the cost of each capsule is $3 for an annual cost of $2,190. Applying the multiplier results in the future cost of $44,557.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sum, Mr. Carrillo seeks $91,032 as the total of his future care cost claim for medical cannabis.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 opposes any award for medical cannabis because he maintains that:</w:t>
      </w:r>
      <w:r>
        <w:rPr>
          <w:rFonts w:ascii="arial" w:eastAsia="arial" w:hAnsi="arial" w:cs="arial"/>
          <w:sz w:val="20"/>
          <w:lang w:val="en-US" w:eastAsia="en-US" w:bidi="ar-SA"/>
        </w:rPr>
        <w:cr/>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Carrillo has suffered from psychological illnesses which specifically preclude his consideration for medical cannabis, in accordance with the Standards of the B.C. College of Physicians and Surgeons;</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Carrillo has used illegal substance and involved in criminal activities related to cocaine use for a period of time, which should be considered as a "red flag" because of his vulnerability to illegal drugs and criminal elements;</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Carrillo's own treating physicians have not recommended medical cannabis for him;</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surrounding the efficacy of medical cannabis as a treatment of the plaintiff's pain is not robust and none of the alleged evidence supporting its use is in evidence before this Court;</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Carrillo's chronic pain appears to be controlled by conventional prescription drugs; and</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Carrillo has failed to follow Dr. Hershler's own guidelines and has not purchased medical cannabis from licenced producers or in a program supervised by a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considering the objections and criticisms raised by the defence it is important to appreciate that Dr. Hershler was not, and is not, Mr. Carrillo's treating physician supervising the medical cannabis program. He is the physiatrist who was retained to provide his medical opinion on Mr. Carrillo's diagnosis, prognosis and recommended treatment. Dr. Sennewald, Mr. Carrillo's primary care provider, was not asked any questions regarding a medical cannabis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Carrillo was forthright in acknowledging that he purchased medical cannabis products at various dispensaries without an authorization. He was able to purchase the products by showing the dispensaries Dr. Hershler's report. Although his actions were misguided, I find on balance that there was no deliberate intention to breach Health Canada rules and regulations. I accept that Mr. Carrillo genuinely did not appreciate that he needed an authorization from a treating physician to obtain the medical cannabis products. In my view, his actions demonstrate his genuine resolve about pursuing an effective treatment for his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On the totality of the evidence I am satisfied that, Mr. Carrillo, now appreciating the necessity of being supervised by a medical practitioner, will take the appropriate steps to have his medical cannabis treatment supervised by his primary care physician or another appropriate medical practitioner and that he will purchase the medical cannabis products through a Health Canada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 have reviewed all the authorities on medical cannabis relied on by both parties. The authorities establish that, in some cases, medical cannabis is compensable in a personal injury case: </w:t>
      </w:r>
      <w:r>
        <w:rPr>
          <w:rFonts w:ascii="arial" w:eastAsia="arial" w:hAnsi="arial" w:cs="arial"/>
          <w:i/>
          <w:color w:val="000000"/>
          <w:sz w:val="20"/>
          <w:lang w:val="en-US" w:eastAsia="en-US" w:bidi="ar-SA"/>
        </w:rPr>
        <w:t>Wright v. Mistry</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2017 BCSC 239</w:t>
        </w:r>
      </w:hyperlink>
      <w:r>
        <w:rPr>
          <w:rFonts w:ascii="arial" w:eastAsia="arial" w:hAnsi="arial" w:cs="arial"/>
          <w:color w:val="000000"/>
          <w:sz w:val="20"/>
          <w:lang w:val="en-US" w:eastAsia="en-US" w:bidi="ar-SA"/>
        </w:rPr>
        <w:t xml:space="preserve"> at para. 84; </w:t>
      </w:r>
      <w:r>
        <w:rPr>
          <w:rFonts w:ascii="arial" w:eastAsia="arial" w:hAnsi="arial" w:cs="arial"/>
          <w:i/>
          <w:color w:val="000000"/>
          <w:sz w:val="20"/>
          <w:lang w:val="en-US" w:eastAsia="en-US" w:bidi="ar-SA"/>
        </w:rPr>
        <w:t>Amini v. Mondragon</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2014 BCSC 1590</w:t>
        </w:r>
      </w:hyperlink>
      <w:r>
        <w:rPr>
          <w:rFonts w:ascii="arial" w:eastAsia="arial" w:hAnsi="arial" w:cs="arial"/>
          <w:color w:val="000000"/>
          <w:sz w:val="20"/>
          <w:lang w:val="en-US" w:eastAsia="en-US" w:bidi="ar-SA"/>
        </w:rPr>
        <w:t xml:space="preserve"> at paras. 133-136; </w:t>
      </w:r>
      <w:r>
        <w:rPr>
          <w:rFonts w:ascii="arial" w:eastAsia="arial" w:hAnsi="arial" w:cs="arial"/>
          <w:i/>
          <w:color w:val="000000"/>
          <w:sz w:val="20"/>
          <w:lang w:val="en-US" w:eastAsia="en-US" w:bidi="ar-SA"/>
        </w:rPr>
        <w:t>Chavez-Salinas v. Tower</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2017 BCSC 2068</w:t>
        </w:r>
      </w:hyperlink>
      <w:r>
        <w:rPr>
          <w:rFonts w:ascii="arial" w:eastAsia="arial" w:hAnsi="arial" w:cs="arial"/>
          <w:color w:val="000000"/>
          <w:sz w:val="20"/>
          <w:lang w:val="en-US" w:eastAsia="en-US" w:bidi="ar-SA"/>
        </w:rPr>
        <w:t xml:space="preserve"> at para. 539.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An important fact in this case, and one that distinguished this case from many of the cases relied on by the defence, is that Mr. Carrillo, after receiving Dr. Hershler's recommendations, has been using cannabis balm, tincture oil and capsules. I accept his evidence, that he has found the cannabis products effective and, as a result of using the cannabis products, he has experienced some pain relief. There was no evidence that the consumption has produced any negative side effects. Notably, since the Accident, Mr. Carrillo has pursued the more traditional modalities of physiotherapy, chiropractic treatments, massage and injections without any significant benefit. Mr. Carrillo's prescription pain medication provides him with some symptomatic relief but I do not accept that it controls his pain as is asserted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With respect to the defence submissions on Mr. Carrillo's mental health issues, I note that Mr. Carrillo's medical condition is currently being monitored by his primary care provider, Dr. Sennewald. The six-month's use of cocaine for pain was some six years ago and there is no evidence of any issue arising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All things considered, I conclude that the medical cannabis program recommended by Dr. Hershler is medically justified within the meaning contemplated by the authorities and that it is reasonable to make an award for the costs of the cannabis as part of Mr. Carrillo's future pain management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evidence on the costs of the medical cannabis was thin but not so thin as to justify not making any award for Mr. Carrillo. There was no evidence as to what the cost would be through a Health Canada supplier. Those costs may be different from the costs Mr. Carrillo actually incurred purchasing them through other dispensaries. This is a significant shortcoming that I have taken into account in my assessment. I have also factored into my assessment that in his report Dr. Hershler did not say how long Mr. Carrillo should be on the medical cannabis program. It is uncertain how long he may continue using medical cannabis.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the result, and on the totality of the evidence and taking into account the relevant contingencies, I assess an award for medical cannabis in the amount of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sum, I award Mr. Carrillo $35,000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It is well-established that an injured person is entitled to recover the reasonable out-of-pocket expenses they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at para. 281.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defence agrees that Mr. Carrillo is entitled to special damages of $3,547.21 itemized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109"/>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Prescriptions (Gabapentin)</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TENS Pads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$76.13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Ice Pack (Primary Rehab Clinic)</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Therapy (Primary Rehab Clinic)</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$514.08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Chiropractic Fees (Performance Health Group)</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Fees (Optimal Recovery Physiotherapy)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Fees (Surrey Central Physio &amp; Wellness)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Fees (OrionHealth - Surrey)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Therapy Fees (Injury Resource Centre)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$1,023.75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Canadian Diagnostic CT Guided Injection</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Gym pass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$3,547.21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 disputes the following expenses for medical cannabis: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378"/>
        <w:gridCol w:w="125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Cannabis Tincture (Eggs Canna Inc.)</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$157.50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Cannabis Balm (Eggs Canna Inc.)</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Cannabis Capsules (B.C. Pain Society)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Cannabis Balm (WestCanna Dispensary)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Cannabis Tincture, Balm, Capsules (Divine Vent.)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$666.50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Carrillo purchased the medical cannabis products that he believed had been recommended by Dr. Hershler. Although misguided, I cannot say he acted unreasonably. The costs in the amount of $666.50 were incurred, as a result of the Accident, for pain management. All things considered, Mr. Carrillo is entitled to be restored to the position he would have been in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the result, Mr. Carrillo has proved special damages of $4,213.71.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summary, as a result of the injuries sustained in the Accident which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Mr. Carrillo's damages are assessed at $154,213.71, consisting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1882"/>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$115,000.00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$4,213.71</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$154,213.71</w:t>
            </w:r>
          </w:p>
        </w:tc>
        <w:tc>
          <w:tcPr>
            <w:tcW w:w="553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Carrillo is entitled to his costs at Scale B unless there are any pertinent circumstances that should be brought to the Court's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DagenaisIn Bankruptcy In the Matter of the Bankruptcy of David SimonDagenais, 2016 DTC 5089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Dominion Tax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2016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DTC 5089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 xml:space="preserve">Neutral Citation: </w:t>
      </w:r>
      <w:hyperlink r:id="rId816" w:history="1">
        <w:r>
          <w:rPr>
            <w:rFonts w:ascii="arial" w:eastAsia="arial" w:hAnsi="arial" w:cs="arial"/>
            <w:i/>
            <w:color w:val="0077CC"/>
            <w:sz w:val="20"/>
            <w:u w:val="single"/>
            <w:shd w:val="clear" w:color="auto" w:fill="FFFFFF"/>
            <w:lang w:val="en-US" w:eastAsia="en-US" w:bidi="ar-SA"/>
          </w:rPr>
          <w:t>2016 BCSC 1389</w:t>
        </w:r>
      </w:hyperlink>
    </w:p>
    <w:p>
      <w:pPr>
        <w:spacing w:line="240" w:lineRule="atLeast"/>
        <w:jc w:val="both"/>
        <w:rPr>
          <w:lang w:val="en-US" w:eastAsia="en-US" w:bidi="ar-SA"/>
        </w:rPr>
      </w:pPr>
      <w:r>
        <w:rPr>
          <w:lang w:val="en-US" w:eastAsia="en-US" w:bidi="ar-SA"/>
        </w:rPr>
        <w:br/>
      </w:r>
      <w:r>
        <w:rPr>
          <w:rFonts w:ascii="arial" w:eastAsia="arial" w:hAnsi="arial" w:cs="arial"/>
          <w:color w:val="000000"/>
          <w:sz w:val="18"/>
          <w:lang w:val="en-US" w:eastAsia="en-US" w:bidi="ar-SA"/>
        </w:rPr>
        <w:t>Before:  Master McDiarmid</w:t>
      </w:r>
      <w:r>
        <w:rPr>
          <w:lang w:val="en-US" w:eastAsia="en-US" w:bidi="ar-SA"/>
        </w:rPr>
        <w:cr/>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53" style="position:absolute;z-index:2517073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00" w:name="Keywords_43"/>
      <w:bookmarkEnd w:id="300"/>
      <w:r>
        <w:rPr>
          <w:rFonts w:ascii="arial" w:eastAsia="arial" w:hAnsi="arial" w:cs="arial"/>
          <w:b/>
          <w:color w:val="000000"/>
          <w:sz w:val="20"/>
          <w:lang w:val="en-US" w:eastAsia="en-US" w:bidi="ar-SA"/>
        </w:rPr>
        <w:t>Federal Income Tax and GST/HST — Bankruptcy — Bankrupt taxpayer owed tax, interest, and penalties equal to 88.4% of his total unsecured proven claims — Significant portion of penalties owing related to taxpayer's attempt, through tax consulting firm, to obtain tax deductions based on misrepresenting, as tax deductions, personal living expenses — Taxpayer otherwise having filed his returns, paid the major portion of tax owing, and complied with all of his duties as a bankrupt — Taxpayer received no benefit from work done by consulting firm, since losses claimed disallowed, and one member of firm sentenced to imprisonment — Whether taxpayer entitled to absolute discharge — Bankruptcy and Insolvency Act, RSC 1985, c. B-3, s. 172.1.</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01" w:name="Case Summary_41"/>
            <w:bookmarkEnd w:id="30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taxpayer, who was 60 years of age, made an assignment into bankruptcy on May 20, 2014. He owed income tax, interest, and penalties for 2006 through 2011 of $530,428, and GST of $5,713, including interest and penalties, for the reporting periods ending December 31, 2008, December 31, 2009, and October 6, 2010. His tax liabilities comprised 88.4% of his total unsecured proven claims. Prior to his assignment into bankruptcy, the taxpayer had engaged a consulting firm ('DeMara') which prepared an application for reassessment of his 2006 to 2010 taxation years, based on a series of net business loss claims generated through an elaborate scheme of turning personal living expenses and debts into tax deductions. On reassessment, these business loss deductions were disallowed, but significant penalties were imposed for negligent misrepresentation, and one of DeMara's principals was subsequently sentenced to imprisonment for 33 months for engaging in what was essentially a criminal activity. The taxpayer applied to the Supreme Court of British Columbia for a discharge.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Held: The taxpayer was granted a conditional discharge. </w:t>
            </w:r>
            <w:r>
              <w:rPr>
                <w:lang w:val="en-US" w:eastAsia="en-US" w:bidi="ar-SA"/>
              </w:rPr>
              <w:cr/>
            </w:r>
          </w:p>
          <w:p>
            <w:pPr>
              <w:rPr>
                <w:lang w:val="en-US" w:eastAsia="en-US" w:bidi="ar-SA"/>
              </w:rPr>
            </w:pPr>
          </w:p>
        </w:tc>
      </w:tr>
    </w:tbl>
    <w:p>
      <w:pPr>
        <w:spacing w:line="260" w:lineRule="atLeast"/>
        <w:jc w:val="both"/>
        <w:rPr>
          <w:lang w:val="en-US" w:eastAsia="en-US" w:bidi="ar-SA"/>
        </w:rPr>
      </w:pPr>
      <w:bookmarkStart w:id="302" w:name="Counsel_46"/>
      <w:bookmarkEnd w:id="302"/>
      <w:r>
        <w:rPr>
          <w:lang w:val="en-US" w:eastAsia="en-US" w:bidi="ar-SA"/>
        </w:rPr>
        <w:br/>
      </w:r>
      <w:r>
        <w:rPr>
          <w:rFonts w:ascii="arial" w:eastAsia="arial" w:hAnsi="arial" w:cs="arial"/>
          <w:color w:val="000000"/>
          <w:sz w:val="20"/>
          <w:lang w:val="en-US" w:eastAsia="en-US" w:bidi="ar-SA"/>
        </w:rPr>
        <w:t>Counsel: M. Chirkoski for Her Majesty the Queen, Minister of National Revenue; D. Dagenais appearing on his own behalf; B. Lukin Company Representative appearing on behalf of Abakhan &amp; Associates, Trustee in Bankruptcy</w:t>
      </w:r>
      <w:r>
        <w:rPr>
          <w:lang w:val="en-US" w:eastAsia="en-US" w:bidi="ar-SA"/>
        </w:rPr>
        <w:cr/>
      </w:r>
    </w:p>
    <w:p>
      <w:pPr>
        <w:spacing w:after="240"/>
        <w:rPr>
          <w:lang w:val="en-US" w:eastAsia="en-US" w:bidi="ar-SA"/>
        </w:rPr>
      </w:pPr>
      <w:bookmarkStart w:id="303" w:name="Judgment_45"/>
      <w:bookmarkEnd w:id="303"/>
      <w:r>
        <w:pict>
          <v:line id="_x0000_s1254" style="position:absolute;z-index:251758592" from="0,12pt" to="512pt,12pt" strokecolor="#009ddb" strokeweight="1.5pt">
            <v:stroke linestyle="single"/>
          </v:line>
        </w:pict>
      </w:r>
    </w:p>
    <w:p>
      <w:pPr>
        <w:spacing w:before="120" w:line="260" w:lineRule="atLeast"/>
        <w:jc w:val="both"/>
        <w:rPr>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bankrupt seeking an absolute order of discharge. The application is opposed by a notice of opposition filed on behalf of Her Majesty the Queen in Right of Canada. It is opposed on the basis that the assets of the bankrupt are not of a value equal to 50 cents on the dollar and the bankrupt is justly responsible for the shortfall, the bankrupt has omitted to keep books of account as are usual, the bankrupt has brought on or contributed to the bankruptcy by ration, hazardous speculation, unjustifiable extravagance and then, most importantly, that this is a tax-drive bankruptcy and the tax liabilities are $530,428.04 for personal income tax and related penalties and interest in respect of taxation years 2006 through 2011 inclusive, and $5,713.02 for Goods and Services Tax and related penalties and interest in respect of $1,446.94 in penalty and interest for reporting periods ending December 31, 2008, December 31, 2009 and, October 6, 2010. It is pointed out that the tax liability is 88.4 percent of the total unsecured proven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date of the bankruptcy was May 20, 2014. On April 29, 2014, there was an order in a foreclosure proceeding approving a sale of the bankrupt's home. That order was made by Master Young, as she then was. Paragraph 5 of the order deals with distribution of the sale proceeds. After arrears of taxes, water and sewer rates, interest, penalties and real estate commission, the next amount to be paid was the amount due to Her Majesty under the GST/HST statutory deemed trust. That deemed trust had priority to the monies owed to the mortgagee in the foreclosure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Exhibit I to the Dagenais affidavit is a letter from Human Resources and Skills Development Canada dated April 4, 2013. It sets out that the statutory set of amount under the Income Tax Act/Excise Tax Act is $6,347.41, some of all of which would have had priority and been paid out had the foreclosure sale closed before the bankruptcy.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bankruptcy has resulted in the loss of that priority, and the consequent non-payment of the GST debt. I am satisfied that the GST debt has not been 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of Gail McNamara sets out that the bankrupt filed tax returns as set out in paragraphs 10 through 15 and that those tax returns were assessed as filed. The bankrupt's income appears to be set out accurately by Ms. McNamara in paragraph 40. His income for the years 2003 to 2009 can be characterized as modest to middling, from a low of $23,406 in 2009 to a high of $53,262 in 2006. In 2010, he was an employee earning $21,267, for which he was T4'd. There were source deductions made based on some of the materials that he has provided.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2011, Mr. Dagenais engaged the services of DeMara Consulting ('DeMara'). On behalf of Mr. Dagenais, DeMara filed for reassessment for Mr. Dagenais' 2006, 2007, 2008, 2009 and 2010 taxation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a client summary prepared by Canada Revenue Agency ('CRA'), exhibit E to the Dagenais affidavit, exhibit pages 121-124, Mr. Dagenais was initially assessed the following amounts: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3"/>
        <w:gridCol w:w="3764"/>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2002 - Assessed July 2, 2003</w:t>
            </w:r>
          </w:p>
        </w:tc>
        <w:tc>
          <w:tcPr>
            <w:tcW w:w="368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$5,880.48</w:t>
            </w:r>
          </w:p>
        </w:tc>
        <w:tc>
          <w:tcPr>
            <w:tcW w:w="4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691"/>
        <w:gridCol w:w="3346"/>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55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2002 - Reassessed October 14, 2003</w:t>
            </w:r>
          </w:p>
        </w:tc>
        <w:tc>
          <w:tcPr>
            <w:tcW w:w="3277"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($270.37)</w:t>
            </w:r>
          </w:p>
        </w:tc>
        <w:tc>
          <w:tcPr>
            <w:tcW w:w="4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3"/>
        <w:gridCol w:w="3764"/>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2003 - Assessed July 26, 2004</w:t>
            </w:r>
          </w:p>
        </w:tc>
        <w:tc>
          <w:tcPr>
            <w:tcW w:w="3686"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$10,795.08</w:t>
            </w:r>
          </w:p>
        </w:tc>
        <w:tc>
          <w:tcPr>
            <w:tcW w:w="410"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2004 - Assessed July 21, 2005</w:t>
            </w:r>
          </w:p>
        </w:tc>
        <w:tc>
          <w:tcPr>
            <w:tcW w:w="3686"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$14,548.67</w:t>
            </w:r>
          </w:p>
        </w:tc>
        <w:tc>
          <w:tcPr>
            <w:tcW w:w="410"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2005 - Assessed July 27, 2006</w:t>
            </w:r>
          </w:p>
        </w:tc>
        <w:tc>
          <w:tcPr>
            <w:tcW w:w="368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$10,629.72</w:t>
            </w:r>
          </w:p>
        </w:tc>
        <w:tc>
          <w:tcPr>
            <w:tcW w:w="4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68"/>
        <w:gridCol w:w="3869"/>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04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2006 - Assessed July 6, 2007</w:t>
            </w:r>
          </w:p>
        </w:tc>
        <w:tc>
          <w:tcPr>
            <w:tcW w:w="378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$13,316.73</w:t>
            </w:r>
          </w:p>
        </w:tc>
        <w:tc>
          <w:tcPr>
            <w:tcW w:w="4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3"/>
        <w:gridCol w:w="3764"/>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2007 - Assessed July 2, 2008</w:t>
            </w:r>
          </w:p>
        </w:tc>
        <w:tc>
          <w:tcPr>
            <w:tcW w:w="368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$8,269.43</w:t>
            </w:r>
          </w:p>
        </w:tc>
        <w:tc>
          <w:tcPr>
            <w:tcW w:w="4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377"/>
        <w:gridCol w:w="3660"/>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2008 - Assessed January 31, 2011</w:t>
            </w:r>
          </w:p>
        </w:tc>
        <w:tc>
          <w:tcPr>
            <w:tcW w:w="358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$20,999.96</w:t>
            </w:r>
          </w:p>
        </w:tc>
        <w:tc>
          <w:tcPr>
            <w:tcW w:w="410"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24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2009 - Assessed January 31, 2011</w:t>
            </w:r>
          </w:p>
        </w:tc>
        <w:tc>
          <w:tcPr>
            <w:tcW w:w="358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$18,662.80</w:t>
            </w:r>
          </w:p>
        </w:tc>
        <w:tc>
          <w:tcPr>
            <w:tcW w:w="4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68"/>
        <w:gridCol w:w="3869"/>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04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2010 - Assessed May 12, 2011</w:t>
            </w:r>
          </w:p>
        </w:tc>
        <w:tc>
          <w:tcPr>
            <w:tcW w:w="378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($5,958.86)</w:t>
            </w:r>
          </w:p>
        </w:tc>
        <w:tc>
          <w:tcPr>
            <w:tcW w:w="4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DeMara filed for reassessment, the returns were referred to CRA's audit department. Those net business loss claims were disallowed as essentially an unlawful tax avoidance scheme. As is pointed out in paragraph 33 of the McNamara affidavit: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large capital and business losses follow a pattern of tax avoidance that has been identified by CRA. In recent years CRA has encountered a tax avoidance scheme in which individuals use losses to generate a refund of taxes paid or to reduce taxes payable. This scheme involves elaborate ways of turning personal living expenses and debts into capital losses or various deductions to avoid paying taxes.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sentencing one of DeMara's principals, Mr. Stancer, Beames J. in paras. 3-5 sets out the circumstances of how DeMara operated. Paragraphs 3-5 are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 The circumstances of the offence can be briefly summarized. Ms. Stancer, through a company called Demara Consulting Inc. ('Demara'), offered tax preparation services. Some of the work performed for clients of that company was legitimate. However, over 200 selected and invited clients, in addition to Ms. Stancer and Ms. LaValley, had their income tax returns prepared using what Ms. Stancer called 'the Remedy.' The Remedy, based on something Ms. Stancer received instruction on at a conference in Alberta, involved obtaining business numbers for each taxpayer whether they were involved in a business or not. Then Demara's staff, as instructed by Ms. Stancer, would tally up the personal expenses and debts of each taxpayer including such things as utility bills, credit card bills, including both charges incurred and credit limits, mortgage payments plus mortgage principals, payments and amounts owing on lines of credit, amounts owed by the taxpayer to Canada Revenue Agency, grocery and household bills, vehicle operation, insurance and repair bills, and the like. Those sums were then set out on T5 Forms and shown as interest paid by the taxpayer to the institution or company that had provided the service or goods or to whom money was owed. The total amount of the T5s was then added up and deducted as a business expense, leading to claimed business losses on each taxpayer's statement of business income and ultimately deducted from each taxpayer's other income including employment income.</w:t>
      </w:r>
    </w:p>
    <w:p>
      <w:pPr>
        <w:spacing w:before="120" w:line="260" w:lineRule="atLeast"/>
        <w:ind w:left="720"/>
        <w:rPr>
          <w:lang w:val="en-US" w:eastAsia="en-US" w:bidi="ar-SA"/>
        </w:rPr>
      </w:pPr>
      <w:r>
        <w:rPr>
          <w:rFonts w:ascii="arial" w:eastAsia="arial" w:hAnsi="arial" w:cs="arial"/>
          <w:color w:val="000000"/>
          <w:sz w:val="20"/>
          <w:lang w:val="en-US" w:eastAsia="en-US" w:bidi="ar-SA"/>
        </w:rPr>
        <w:t>[4] T5008s were also prepared using the same totals of expenses and debts and claimed as capital losses. The aim of the Remedy was to reduce each taxpayer's taxable income to zero and then to carry back losses to previous years, filing revised income tax returns for those years, again, for the purpose of claiming refunds for taxes already paid, and to create capital losses to be carried back if there were capital gains that had previously been claimed and, if not, to be carried forward and used to reduce any future capital gains.</w:t>
      </w:r>
    </w:p>
    <w:p>
      <w:pPr>
        <w:spacing w:before="120" w:line="260" w:lineRule="atLeast"/>
        <w:ind w:left="720"/>
        <w:rPr>
          <w:lang w:val="en-US" w:eastAsia="en-US" w:bidi="ar-SA"/>
        </w:rPr>
      </w:pPr>
      <w:r>
        <w:rPr>
          <w:rFonts w:ascii="arial" w:eastAsia="arial" w:hAnsi="arial" w:cs="arial"/>
          <w:color w:val="000000"/>
          <w:sz w:val="20"/>
          <w:lang w:val="en-US" w:eastAsia="en-US" w:bidi="ar-SA"/>
        </w:rPr>
        <w:t>[5] As I said in my reasons on sentencing of Ms. LaValley, any thoughtful person would and should have seen the Remedy as an obviously illegal method of filing income tax returns.</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R. v. Stancer</w:t>
      </w:r>
      <w:r>
        <w:rPr>
          <w:rFonts w:ascii="arial" w:eastAsia="arial" w:hAnsi="arial" w:cs="arial"/>
          <w:color w:val="000000"/>
          <w:sz w:val="20"/>
          <w:lang w:val="en-US" w:eastAsia="en-US" w:bidi="ar-SA"/>
        </w:rPr>
        <w:t>, 2016 BCSC 192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November 5, 2012, CRA reassessed Mr. Dagenais. For the 2006 reassessment, the actual provincial and federal taxes were assessed at $643.07 for provincial tax, $1,546.16 for federal tax, $47,397.45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penalty, credit for installment interest and arrears interest of $18,653.02. On 2007 reassessment, provincial tax was assessed at $.28, federal tax at $.58,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penalty of $141,333.02 and arrears interest of $37,131.09. On the 2008 reassessment, provincial tax was reassessed at $2,020.45 credit, Canada Pension Plan credit of $1,014.44 was reassessed. Federal tax was assessed at $5,580.01 credit,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penalty was assessed at $45,806.19, a late-filing penalty credit of $1,464.70 was assessed, installment interest of $7.01 credit was reversed and arrears interest of $6,537.27 was charged. On the 2009 reassessment, provincial tax was reassessed at $2,661.21 credit, Canada Pension Plan at $2,177.90 credit, federal tax at $6,762.62 credit,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penalty of $56,386.76, a late-filing penalty (again a credit) of $1,102.86 credit, installment interest reversed of $293.41 credit and arrears interest charged of $5,427.72. The 2010 reassessment resulted in provincial tax of $188.32, federal tax of $1,276.05,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penalty of $67,830.35, arrears interest charged of $5,545.37 and a working income tax benefit charged of $1,157.00.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During submissions I was directed to the penalty section. It is apparent that the penalties were charged based on the fraudulent reassessment filings done by DeMara. The tax indebtedness which has constituted this bankruptcy a tax-driven bankruptcy, pursuant to s. 172.1, is based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penalties which total $358,753.77 and the arrears interest charges, the bulk of which are based on interest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penalties. The actual provincial and federal taxes owing, according to the statement of account attached to the bankrupt's affidavit at exhibit E, at page 122, appear to result in a credit, although a review of all of the materials shows that there is probably a small amount of actual tax (I am not using the word 'actual' in a technical sense, as I fully appreciate that all of what is assessed is tax) is small, less than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Obviously, the bankrupt received no benefit from this re-filing done by DeMara. DeMara was engaged in essentially criminal activity. One of the principals of DeMara, Donna Stancer was sentenced to penitentiary time by Madam Justice Beames on January 14, 2016. Paragraph 17 of Beames J.'s oral reasons are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[17] I will deal first with Counts 5 and 6. If it were not for Ms. Stancer's fragile personal state and the circumstances she has been under since the time of her arrest, I would have imposed a sentence of between three and four years on each of Counts 5 and 6. However, taking into account all of the circumstances of the offence and of the offender, I sentence you, Ms. Stancer, to 30 months on Count 5 and 30 months on Count 6. Those sentences will be concurrent. With respect to Count 2, I impose upon you, Ms. Stancer, a sentence of three months. That sentence will be consecutive to the sentences on Counts 5 and 6 for the reasons set out in </w:t>
      </w:r>
      <w:r>
        <w:rPr>
          <w:rFonts w:ascii="arial" w:eastAsia="arial" w:hAnsi="arial" w:cs="arial"/>
          <w:i/>
          <w:color w:val="000000"/>
          <w:sz w:val="20"/>
          <w:lang w:val="en-US" w:eastAsia="en-US" w:bidi="ar-SA"/>
        </w:rPr>
        <w:t>R. v. Porisky</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2012 BCSC 771</w:t>
        </w:r>
      </w:hyperlink>
      <w:r>
        <w:rPr>
          <w:rFonts w:ascii="arial" w:eastAsia="arial" w:hAnsi="arial" w:cs="arial"/>
          <w:color w:val="000000"/>
          <w:sz w:val="20"/>
          <w:lang w:val="en-US" w:eastAsia="en-US" w:bidi="ar-SA"/>
        </w:rPr>
        <w:t>, at paragraph 55. In other words, Ms. Stancer, I sentence you to a global sentence of 33 months. That sentence will be served in jail.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reviewing the materials, it is apparent that CRA, quite properly in the sense of investigating DeMara, seized documentation which included all of Mr. Dagenais' tax records. From his uncontradicted evidence he has not been able to get them back. As well, he has been unable to prosecute any appeals as I pointed out during submissions, I have no authority to question the reassessments, which must be done in the Tax Court of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Normally, participating in a tax avoidance scheme of this sort or indeed in doing anything to unlawfully avoid paying taxes will result in a conditional discharge with the condition being a requirement to pay an amount representing a sizeable portion of the unpaid taxes. For an example of that, one can see the decision of Master McCallum in </w:t>
      </w:r>
      <w:r>
        <w:rPr>
          <w:rFonts w:ascii="arial" w:eastAsia="arial" w:hAnsi="arial" w:cs="arial"/>
          <w:i/>
          <w:color w:val="000000"/>
          <w:sz w:val="20"/>
          <w:lang w:val="en-US" w:eastAsia="en-US" w:bidi="ar-SA"/>
        </w:rPr>
        <w:t>Re Gelpke</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2012 BCSC 1770</w:t>
        </w:r>
      </w:hyperlink>
      <w:r>
        <w:rPr>
          <w:rFonts w:ascii="arial" w:eastAsia="arial" w:hAnsi="arial" w:cs="arial"/>
          <w:color w:val="000000"/>
          <w:sz w:val="20"/>
          <w:lang w:val="en-US" w:eastAsia="en-US" w:bidi="ar-SA"/>
        </w:rPr>
        <w:t>, where the bankrupt withdrew half a million dollars out of her RRSP using a fraudulent strip scheme. Once of the conditions for her discharged was an order by Master McCallum that she was to pay $150,000.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cases submitted to me by the Crown show a pattern. They show firstly failure to file and, secondly, failure to pay taxes. This is not one of those cases. This is a substantially different case. Here we have somebody who appears to have been duped, based on the evidence I have seen, by a company that purported to be prepared to give some tax benefit. He received no tax benefit. He received nothing. He filed his returns and paid the bulk of his taxes when due. The problem arose when he retained DeMara and they refiled on his behalf.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consider this to be significantly different from any of the cases to which I have been 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amount of actual taxes owing (as opposed to penalties and interest on penalties) is relatively small, somewhere in the area of $10,000. The balance is for the penalties and interest, based on these fraudulent net business loss claims and capital loss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also reviewed the medical evidence here. The bankrupt is 60 years of age. He underwent a significant surgery approximately three and a half years ago, December 18, 2012. The prospects for his recovery I think are good. He may be able to earn monies in the future, but he is obviously somewhat limited in his ability to earn monies.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failure to repay the GST troubles me. GST that is to be remitted is monies that have been collected and they should have been remitted. The GST funds are, in effect, trust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Interestingly, these would have been repaid from the proceeds of sale of the bankrupt's home, had he not declared bankruptcy. Any deficiency owed to the mortgagee would have been un unsecured claim in the bankruptcy. By going bankrupt, the GST owing lost its priority status, to the benefit of the mortgagee.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also take into account here what I have been told by a representative of the trustee, Mr. Luckin, who advises that Mr. Dagenais has performed all of his duties as a bankrupt. It is now one year past when the bankrupt might have been able to apply for his discharge.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going to make a conditional order, based on the unremitted GST. The conditional order is this: Mr. Dagenais is to pay $1,500 and is to be discharged upon payment of that $1,500. He is to continue to file all tax returns and pay appropriate taxes for the period of time when he remains an undischarged bankrupt.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make no order as to when that $1,500 is to be paid.</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Copyright 2017 CCH Canadian Limited. All Rights Reserved.</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087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9"/>
          <w:headerReference w:type="default" r:id="rId820"/>
          <w:footerReference w:type="even" r:id="rId821"/>
          <w:footerReference w:type="default" r:id="rId822"/>
          <w:headerReference w:type="first" r:id="rId823"/>
          <w:footerReference w:type="first" r:id="rId8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5" w:history="1">
        <w:r>
          <w:rPr>
            <w:rFonts w:ascii="arial" w:eastAsia="arial" w:hAnsi="arial" w:cs="arial"/>
            <w:b/>
            <w:bCs/>
            <w:i/>
            <w:color w:val="0077CC"/>
            <w:kern w:val="32"/>
            <w:sz w:val="28"/>
            <w:szCs w:val="32"/>
            <w:u w:val="single"/>
            <w:shd w:val="clear" w:color="auto" w:fill="FFFFFF"/>
            <w:lang w:val="en-US" w:eastAsia="en-US" w:bidi="ar-SA"/>
          </w:rPr>
          <w:t>D.E. (Guardian ad litem of) v. British Columbia, [2003] B.C.J. No. 1563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17 - 21, 24 - 28,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S10341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1563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C.C.L.T. (3d) 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213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1013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 by her Guardian ad litem, The Public Guardian and Trustee, et al,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6"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44"/>
      <w:bookmarkEnd w:id="304"/>
      <w:r>
        <w:rPr>
          <w:rFonts w:ascii="arial" w:eastAsia="arial" w:hAnsi="arial" w:cs="arial"/>
          <w:b/>
          <w:color w:val="000000"/>
          <w:sz w:val="20"/>
          <w:lang w:val="en-US" w:eastAsia="en-US" w:bidi="ar-SA"/>
        </w:rPr>
        <w:t>Crown — Torts by and against Crown — Liability of Crown for acts of servants — Abuse of power — Actions against Crown, defences, bars or exclusions — Statutory authority — Officials and employees — Liability of officials in tort — Limitation of actions — For official acts in excess of authority — Torts — Trespass — Assault and battery — Sexual assault — Evidence — Documentary evidence — Ancient documents.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5" w:name="Case Summary_42"/>
            <w:bookmarkEnd w:id="3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against the Crown. The 18 plaintiffs were residents of the Essondale Provincial Mental Hospital who were surgically sexually sterilized between 1940 and 1968, under the Sexual Sterilization Act. The legislation provided for the sterilization of mentally ill and intellectually disabled persons. The persons who were operated on were chosen as a result of a recommendation by the Superintendent of Essondale to the Board of Eugenics. A patient's social and clinical history was included with the recommendation. The Board of Eugenics was made up of a judge, a psychiatrist and a social worker. The Act required that the superintendent consider whether the patient would be likely to have a child with mental illness or intellectual disability. There were three different Superintendents of Essondale in the relevant period, all of whom had died. All of the plaintiffs were diagnosed with schizophrenia or intellectual disability. The plaintiffs framed their case in abuse of public office, claiming that the Superintendent had considered social and clinical factors that were not properly considered under the Act. They sought to introduce a report, prepared in the early years of the legislation, which outlined the theories and attitudes behind the legislation and its implementation. The Crown argued that the report was not admissible. The plaintiffs also claimed against the Crown for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battery. The Crown adduced evidence that, at the relevant time, the prevailing view was that schizophrenia and intellectual disability were hereditary conditions, which could and would be passed on. Experts indicated that heredity was still considered a factor in both schizophrenia and intellectual disability. The Crown argued that the actions were statute-barred because they were brought outside the ultimate 30-year limitation period in the Limitation Act. The plaintiffs argued that the actions were based on sexual assault, and were therefore excluded from limitations under the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6" w:name="Holdings of Court_36"/>
            <w:bookmarkEnd w:id="30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report was admissible under the ancient documents rule, and was valuable as an indicator of the prevailing attitudes of the time. The claim in abuse of process had not been made out. The Superintendents had been acting within the scope of their authority in considering whether the plaintiffs would pass on schizophrenia or intellectual disability to any children they might have. The evidence supported the inference that the Superintendents would have believed that these conditions were hereditary, and indeed there was evidence that heredity was still considered a factor. The consideration of clinical and social factors was not improper. The Act did not preclude them, and the eugenics board included a psychiatrist and a social worker. Proof of the necessary element of knowledge that the plaintiffs would be harmed, or recklessness as to whether they were, was not made out, particularly in light of the deaths of all three Superintendents. The Superintendents had not knowingly exercised their authority for reasons foreign to the legislation.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and battery were dependant on finding an abuse of public office, and were therefore dismissed. The sterilizations did not constitute sexual assaults within the meaning of the Limitations Act, as there was no evidence of sexual or carnal context or intent in performing the surgeries. Therefore, the 30-year ultimate limitation period applied to bar the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7" w:name="Legislation Cited_34"/>
      <w:bookmarkEnd w:id="3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7"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ss. 3(2)(a), 3(4)(k), 3(4)(l), 8, 8(1)(a), 8(1)(b), 8(1)(c).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Patients Property Act, </w:t>
      </w:r>
      <w:r>
        <w:rPr>
          <w:rFonts w:ascii="arial" w:eastAsia="arial" w:hAnsi="arial" w:cs="arial"/>
          <w:i/>
          <w:color w:val="000000"/>
          <w:sz w:val="20"/>
          <w:lang w:val="en-US" w:eastAsia="en-US" w:bidi="ar-SA"/>
        </w:rPr>
        <w:t>R.S.B.C. 1996, c. 349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Quebec Alcohol Liquor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Sterilization Act, S.B.C. 1933, c. 59, ss. 3, 4, 4(1), 4(2), 4(3), 5(1), 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8" w:name="Counsel_47"/>
      <w:bookmarkEnd w:id="3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 Berger, Q.C., and M.A. Vanderkruyk, for the plaintiffs. E.F. Berger, J.E. Gouge, Q.C., and D.C. Prowse,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9" w:name="Judgment_46"/>
      <w:bookmarkEnd w:id="309"/>
      <w:r>
        <w:pict>
          <v:line id="_x0000_s1259"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Provincial Crown</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AND ANSWERS</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18A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Admissibility of Documents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THE STERILIZATION LEGISLATION AND ITS UNDERLYING EUGENIC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Origins of Eugenics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Legacy of Buck v. Bell</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Sexual Sterilization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Administration of the Act in its First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Dissenting Views regarding Eugenic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Repeal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Sterilization of Patients at Essondale</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Intellectual Disabilities (Mental Retardation)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McFarlane's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57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VII</w:t>
            </w:r>
          </w:p>
        </w:tc>
        <w:tc>
          <w:tcPr>
            <w:tcW w:w="839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SUPERINTENDENTS' RECOMMENDATIONS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VIII</w:t>
            </w:r>
          </w:p>
        </w:tc>
        <w:tc>
          <w:tcPr>
            <w:tcW w:w="839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Public Office: The 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The First Branch: Targeted Malice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Branch</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Argument of the Parties: The Second Branch</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Legislation: What factors could the Superintendent consider?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genetic transmission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of factors other than genetic transmission</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Superintendent knowingly exercise his powers for reasons foreign to the statute?</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the plaintiffs' capacity to consent</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in Muir v. Alberta</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 Causes of Action</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Battery</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DEFENCE: ARE THE ACTIONS "BASED ON SEXUAL ASSAULTS"?</w:t>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Act: General Principles</w:t>
      </w:r>
    </w:p>
    <w:p>
      <w:pPr>
        <w:numPr>
          <w:numId w:val="1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Sterilizations "Sexual Assaults"?</w:t>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Diagnosed With Schizophrenia</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C.B.</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E.D.</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B.J.</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E.F.</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J.K.</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E.G.</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S.C.</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J.W.</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Diagnosed With Intellectual Disabilities (Mental Retardation)</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C.M.</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G.H.</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M.A.K.</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P.K.</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P.H.</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L.C.</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R.D</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WEDGE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2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seventeen women and one man who brought these actions against the Provincial Crown were sexually sterilized while patients at Essondale Provincial Mental Hospital ("Essondale"), now Riverview Hospital, between 1940 and 1968. Their sterilizations occurred while the now-repealed Sexual Sterilization Act, S.B.C. 1933, c. 59 (the Act) was in force. Under the Act, the medical superintendents of various provincial mental health facilities could recommend the sterilization of patients, who, in the words of the Act, were likely to have children "with a tendency to mental disease or deficiency". The Act gave an independent committee known as the Board of Eugenics the power to authorize the sterilizations.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 was based on eugenics, a concept of improving human stock by controlled breeding to regulate the occurrence of characteristics thought to be hereditary. The legislation, and the concept that spawned it, is now widely discredited as morally repugnant and scientifically invalid. However, the plaintiffs did not attack the legislation or its proper implementation.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principal allegation was that although the eugenic principles underlying the Act were seriously flawed, the Medical Superintendent of Essondale (the "Superintendent") failed to adhere strictly to them, and abused his statutory powers by instead basing his recommendations primarily on social and clinical factors that he knew to be irrelevant to the statute's eugenics purpose. The plaintiffs also alleged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attacked only the Superintendent's recommendations, which they say resulted in their sterilizations. They did not claim the Province was responsible for the acts of the Board of Eugenics, the independent quasi-judicial body that authorized the sterilizations. The Board members have died or were too frail to testify, and any record of their deliberations has been lost or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also alleged that in each case the resulting sterilization was a violation of his or her sexual privacy or integrity, and, as such, was a sexual assault. Where a cause of action is based on sexual assault, it is not barred by the ultimate thirty-year limitation period under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Provincial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Attorney General argued that the Superintendent's recommendations were made in a manner consistent with the purposes of the statute, and, in any event, the Board of Eugenics authorized the sterilizations, not the Superintendent. The Attorney General also argued that the sterilizations were not sexual assaults and the plaintiffs' causes of action are accordingly time-barred.</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AND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issues are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the Superintendent abuse his public office by recommending to the Board of Eugenics the sterilization of the 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Superintendent engage in any other unlawful conduct alleged by the plaintiffs?</w:t>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plaintiffs' sterilizations sexual assaults within the meaning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concluded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While the legislation and its scientific and social underpinnings are now widely discredited, the Superintendent acted in accordance with the authority granted by his office and, accordingly, his recommendations were lawful;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did not commit any of the other unlawful acts alleged by the plaintiffs.</w:t>
      </w:r>
    </w:p>
    <w:p>
      <w:pPr>
        <w:numPr>
          <w:numId w:val="28"/>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sterilizations were not sexual assaults within the meaning of the Limitation Act. As a result, the plaintiffs' causes of action are barred by the ultimate thirty-year limitation period.</w:t>
      </w:r>
    </w:p>
    <w:p>
      <w:pPr>
        <w:numPr>
          <w:numId w:val="2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18A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eighteen plaintiffs brought separate actions, but all were heard at the same time by agreement of the parties. The actions proceeded, again by agreement, as a summary trial under Rule 18A of the Rules of Court. The evidence was given exclusively by affidavit. None of the deponents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Each of the eighteen actions rests on four causes of action: abuse of public office,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battery. The main cause of action advanced at trial was abuse of public office. The focus of the plaintiffs' case was that the three physicians who successively held the position of Superintendent of Essondale between 1940 and 1968 when the plaintiffs' sterilizations occurred, abused their statutory powers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eighteen actions were commenced by the committee of the estates of the plaintiffs, all of whom are patients under the Patients Property Act, </w:t>
      </w:r>
      <w:r>
        <w:rPr>
          <w:rFonts w:ascii="arial" w:eastAsia="arial" w:hAnsi="arial" w:cs="arial"/>
          <w:i/>
          <w:color w:val="000000"/>
          <w:sz w:val="20"/>
          <w:lang w:val="en-US" w:eastAsia="en-US" w:bidi="ar-SA"/>
        </w:rPr>
        <w:t>R.S.B.C. 1996 c. 349</w:t>
      </w:r>
      <w:r>
        <w:rPr>
          <w:rFonts w:ascii="arial" w:eastAsia="arial" w:hAnsi="arial" w:cs="arial"/>
          <w:color w:val="000000"/>
          <w:sz w:val="20"/>
          <w:lang w:val="en-US" w:eastAsia="en-US" w:bidi="ar-SA"/>
        </w:rPr>
        <w:t>. The Public Guardian and Trustee of the Province, Jay Chalke, is committee of the estates of seventeen of the plaintiffs. He was given leave by this Court on December 11, 2000 to commence the actions on behalf of seventeen of the plaintiffs, identifying them only by their initials. The son of one of the plaintiffs (J.W.) was given leave on March 22, 2001 to commence an action on her behalf, identifying her only by her initials. Significant portions of the plaintiffs' files are subject to the nondisclosure orders of Mr. Justice Bauman dated November 21,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actions proceeded by way of summary trial largely by necessity. First, it was the position of the committee of the plaintiffs' estates that none of the plaintiffs was capable of giving evidence. In each case, the committee provided an affidavit appending the hospitalization records of the plaintiff, including all existing documentation concerning the recommendation for sterilization by the Superintendent and the authorization by the Board of Eugenics.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Second, each of the three physicians who held the position of Superintendent during the time of the plaintiffs' sterilizations died before any of the actions were commenced, as did the physicians to whom the Superintendent delegated any responsibilities under the legislation. The individuals known to have held appointments to the Board of Eugenics have died or are too frail to give evidence. For the most part, the evidence consisted of the records of Essondale, produced from various sources, which have survived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Admissibility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Attorney General, on behalf of the Province, agreed that most of the hospitalization records of the plaintiffs, including the documentation forwarded by the Superintendent to the Board of Eugenics, were business records and therefore admissible for their truth. A compendium of those records was prepared and tendered by the Attorney General. Objection was taken only to entries in the records containing expressions of opinion, primarily those held by the families of certain plaintiffs, as to the cause of their mental illness or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Attorney General agreed to admit other documents produced from the possession of the Provincial Crown representing correspondence between the Deputy Minister of Health and various branches of Mental Health Services between 1969 and 1972, in which viewpoints were advanced concerning the Act and the merits of its repeal.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also tendered other documents of an historical nature. Most of these documents were produced on discovery from the Provincial Crown, and included documents in the possession of Essondale. A few were found in the Provincial Archives, having been catalogued as documents formerly in the possession of the Provincial Secretary. The plaintiffs tendered these documents for the purpose of demonstrating the prevailing views of the medical community, among others, concerning the concept of eugenics during the time the Act was in force, and as proof that the persons responsible for administering the Act were aware of these views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Attorney General objected to the reception of these historical documents on the basis that the plaintiffs had failed to prove the documents were found in the possession of the responsible officers of the Province, or that those officers were aware of, or acted upon,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on which these actions rest is of considerable vintage. Most of the documentary record was created at least forty years ago, some of it fifty to sixty years ago. Much of its admission was based on exceptions to the hearsay rule. I accepted the position of the plaintiffs that I ought not to make rulings as to the admissibility of documents at the outset of the trial. Where I have relied on documents to which objection was taken, I will indicate in the course of my reasons the basis on which they were admitted and the use to which they have been put.</w:t>
      </w:r>
      <w:r>
        <w:rPr>
          <w:rFonts w:ascii="arial" w:eastAsia="arial" w:hAnsi="arial" w:cs="arial"/>
          <w:sz w:val="20"/>
          <w:lang w:val="en-US" w:eastAsia="en-US" w:bidi="ar-SA"/>
        </w:rPr>
        <w:cr/>
      </w:r>
    </w:p>
    <w:p>
      <w:pPr>
        <w:numPr>
          <w:numId w:val="3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THE STERILIZATION LEGISLATION AND ITS UNDERLYING EUGENIC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Origins of Eugenics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To provide the Court with an understanding of the eugenic underpinnings of legislation authorizing the sterilization of institutionalized persons suffering from mental disorders, including the Act in question, counsel for the plaintiffs tendered historical documents, articles authored by legal scholars, Canadian and American case law dealing with issues of therapeutic and non-therapeutic sterilization, and the 1979 Law Reform Commission of Canada Working Paper entitled Sterilization: Implications for Mentally Retarded and Mentally Ill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evolution of sexual sterilization laws in Europe and North America is well documented. The laws had their origins in the theory of eugenics, a discipline devoted to controlling hereditary qualities and thereby improving the human race. The term "eugenics" is derived from the Greek word "eugenes", which, roughly translated, means "well born" or "good birth". A British nobleman, Sir Francis Galton, first coined the term toward the end of the 19th century as a result of his study of the pedigrees of various eminent persons of his time. Galton defined the term as "the study of agencies under social control that may improve or impair ... future generations either physically or mentally." He concluded that desirable mental traits and human abilities were in large part determined by ancestry. His theories were bolstered by the work of Gregor Mendel, whose studies in plant genetics demonstrated how simple hereditary characteristics were transmitted (Robert Burgdorf Jr. and Maria Burgdorf, "The Wicked Witch is Almost Dead: Buck v. Bell and the Sterilization of Handicapped Persons", (1977) 50 Temple Quarterly 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Investigators after Galton conducted other studies from a different point of view, tracing the pedigrees of notorious and undesirable families. They concluded that the descendants of these undesirables were, in significant numbers, defective, degenerate, and criminal in nature. These studies, based on negative eugenics, fuelled the belief that mental and physical disabilities were the root of almost all social problems, and that persons with such disabilities were propagating more rapidly than families with desirable 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Members of the eugenics movement generated various social engineering proposals to deal with this ostensible problem, including compulsory sterilization. At the turn of the 19th century, sterilization for eugenic purposes became practically feasible with the discovery that males could be sterilized by the relatively simple procedure of vasectomy, and females by the method of salpingectomy - the cutting or removal of the fallopian tubes. In the United States, that discovery was quickly followed by attempts in various state legislatures to pass laws permitting sterilization for eugenic purposes. In 1907, Indiana, the home state of the physician who developed the vasectomy, enacted the nation's first sterilization law. The Indiana statute applied to inmates of institutions who were "criminals, idiots, imbeciles or rapists". Other state legislatures followed suit (William R. Matoush, "Eugenic Sterilization - A Scientific Analysis" (1969) 46 Denver L.J. 631).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1922, eugenists in the United States published a "Model Eugenical Sterilization Law" which proposed to eliminate by sterilization a broad spectrum of social and medical problems. The proposed law provided for sterilization of persons who were "feeble-minded, insane, criminalistic, epileptic, inebriate, diseased, blind, deaf, deformed and dependent". In the years after 1922, laws were passed by many of the state legislatures incorporating provisions from this proposal. In total, 28 states passed sterilization laws based on the theory of eugenics (William R. Matoush,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Legacy of Buck v.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Initially, eugenic sterilization laws introduced in various American states did not survive the judicial intervention resulting from constitutional challenges brought at the state level by targeted persons or their guardians. Sadly, that intervention ended with the decision of the Supreme Court of the United States in Buck v. Bell, (1927) 274 U.S.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Carrie Buck had been committed to the Virginia State Colony for Epileptics and Feeble-Minded in January 1924, and an order was issued by the colony's board of directors that she be sterilized. Carrie was seventeen years old at the time of her commitment. Carrie's mother was thought to be mentally retarded, and had been a resident of the colony before her. Shortly before her commitment, Carrie had given birth to an illegitimate daughter described in nursing records (only days after her birth) as being "of defective mentality".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a result of her questionable pedigree, Carrie Buck met the statutory prerequisites for sterilization. Her state-appointed guardian appealed the order. Carrie lost her appeal in the Circuit Court and the Supreme Court of Appeals of Virginia. In the Supreme Court of the United States, it was argued that Carrie's involuntary sterilization would violate her constitutional right to bodily integrity. The Supreme Court rejected her argument and upheld the constitutional validity of the statue. On May 1, 1927, Justice Oliver Wendell Holmes delivered judgment for the majority, using language that has become both famous and infamous in legal history. The passage most often quoted from his judgement 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seen more than once that the public welfare may call upon the best citizens for their lives. It would be strange if it could not call upon those who already sap the strength of the State for these lesser sacrifices, often not felt to be such by those concerned, in order to prevent our being swamped with incompetence. It is better for all the world if, instead of waiting to execute degenerate offspring for crime, or to let them starve for their imbecility, society can prevent those who are manifestly unfit from continuing their kind. The principle that sustains compulsory vaccination is broad enough to cover cutting the Fallopian tubes... Three generations of imbeciles are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Much less frequently cited is the final paragraph of Justice Holmes' judgement, but it contained, as much as the passage preceding it, the seeds of future legislation that would compromise the human rights of many thousands of persons who, like Carrie Buck, were thought to be mentally ill or disabled and therefore socially undesirable. He concluded with the following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it is said, ... [t]his reasoning ... fails when it is confined to the small number who are in the institutions named and is not applied to the multitudes outside.... But the answer is that the law does all that is needed when it does all that it can, indicates a policy, applies it to all within the lines, and seeks to bring within the lines all similarly situated so far and so fast as its means allow.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language is eloquent, but the message sinister. At the time, the message was embraced by many. It became the underpinning of the sexual sterilization legislation enacted in Alberta the following year, and in British Columbia six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Law Reform Commission of Canada described Buck v. Bell as having validated "the foundation of the eugenists' argument - the belief that mental illness, mental retardation and criminality are inherited" (Law Reform Commission of Canada, 1979 (supra) at 26). In the opinion of the Alberta Institute of Law Research and Reform (1988), Buck v. Bell unquestionably influenced the enactment of the Alberta and British Columbia sterilization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Many prominent citizens in Western Canada were supporters of eugenics. When the National Council of Women passed a resolution in 1925 calling for the sterilization of "mental defectives", the greatest support came from its members in Alberta and British Columbia, including women such as Emily Murphy, Louise McKinney and Nellie McClung, who accepted the eugenic premise concerning the preservation of bloodlines thought to be desirable (Muir v. Alberta </w:t>
      </w:r>
      <w:hyperlink r:id="rId826" w:history="1">
        <w:r>
          <w:rPr>
            <w:rFonts w:ascii="arial" w:eastAsia="arial" w:hAnsi="arial" w:cs="arial"/>
            <w:i/>
            <w:color w:val="0077CC"/>
            <w:sz w:val="20"/>
            <w:u w:val="single"/>
            <w:shd w:val="clear" w:color="auto" w:fill="FFFFFF"/>
            <w:lang w:val="en-US" w:eastAsia="en-US" w:bidi="ar-SA"/>
          </w:rPr>
          <w:t>(1996), 132 D.L.R. (4th) 695</w:t>
        </w:r>
      </w:hyperlink>
      <w:r>
        <w:rPr>
          <w:rFonts w:ascii="arial" w:eastAsia="arial" w:hAnsi="arial" w:cs="arial"/>
          <w:color w:val="000000"/>
          <w:sz w:val="20"/>
          <w:lang w:val="en-US" w:eastAsia="en-US" w:bidi="ar-SA"/>
        </w:rPr>
        <w:t xml:space="preserve"> at 23 and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Alberta and British Columbia were the only Canadian provinces to enact eugenics legislation. The Alberta Sterilization Act was passed in 1928 and repealed in 1971. In the intervening years, 4,725 residents of various institutions were proposed for sterilization; of those, 2,822 were approved. The history of the Alberta legislation, and the manner in which it was administered, was examined in considerable detail in the decision of Muir v. Alberta (supra).</w:t>
      </w:r>
      <w:r>
        <w:rPr>
          <w:rFonts w:ascii="arial" w:eastAsia="arial" w:hAnsi="arial" w:cs="arial"/>
          <w:sz w:val="20"/>
          <w:lang w:val="en-US" w:eastAsia="en-US" w:bidi="ar-SA"/>
        </w:rPr>
        <w:cr/>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Sexual Sterilization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Sexual Sterilization Act in British Columbia was passed in 1933, several years after the Alberta statute. Section 3 of the Act describes the manner in which the Board was to be constituted: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Lieutenant-Governor in Council may from time to time appoint three persons, one of whom shall be a Judge of a Court of Record in the Province, one of whom shall be a psychiatrist, and one of whom shall be a person experienced in social-welfare work, who shall constitute a Board to be known as the "Board of Eugenics".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appointees to the Board of Eugenics from psychiatry and social work changed from time to time; not all of their identities are presently known. Only two individuals were appointed from a court of record. Both were justices of the Supreme Court of British Columbia. They served, in succession, as Chair of the Board throughout the forty years of the statute's operation. Mr. Justice A. C. Manson served from 1933 until he retired from the Bench in 1961, and Mr. Justice F. C. Munroe, from 1961 until the statute was repealed in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responsibilities of the Superintendent are described in s. 4 of the Act as follows:</w:t>
      </w:r>
      <w:r>
        <w:rPr>
          <w:rFonts w:ascii="arial" w:eastAsia="arial" w:hAnsi="arial" w:cs="arial"/>
          <w:sz w:val="20"/>
          <w:lang w:val="en-US" w:eastAsia="en-US" w:bidi="ar-SA"/>
        </w:rPr>
        <w:cr/>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appears to the Superintendent...that any inmate...if discharged...without being subjected to an operation for sexual sterilization, would be likely to beget or bear children who by reason of inheritance would have a tendency to serious mental disease or mental deficiency, the Superintendent may submit to the Board of Eugenics a recommendation that a surgical operation be performed upon that inmate for sexual sterilization.</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recommendation of the Superintendent shall be in writing, and be accompanied by a statement setting forth the history of the inmate as shown in the records of the institution, so far as it bears upon the recommendation, and setting forth the reasons why sexual sterilization is recommended.</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may cause the inmate to be examined by or in the presence of the Board of Eugenics.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today's vernacular, the Superintendent had to ask himself the following question: "Assuming the patient is eventually discharged, will he or she likely have offspring with a tendency to suffer from mental illness or disability?" If the answer to the question was "yes", the Superintendent could send to the Board his written recommendation for sterilization with supporting reasons, together with the patient's history insofar as it was relevant to the recommendation for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Thereafter, the recommendation was left in the hands of the Board of Eugenics, whose mandate was described in s. 5(1) of the statute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upon such examination of the inmate the Board of Eugenics is unanimously of opinion that procreation by the inmate would be likely to produce children who by reason of inheritance would have a tendency to serious mental disease or mental deficiency, the Board may...direct...surgical operation for sexual sterilization of the inmate...and may appoint some legally qualified medical practitioner to perform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thorny issue of the capacity of the patient to consent to sterilization was left exclusively to the Board. Section 6 of the Act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operation...shall not be performed unless the inmate has consented thereto in writing, if in the opinion of the Board the inmate is capable of giving consent, or, if in the opinion of the Board the inmate is not capable of giving consent, unless the husband or wife of the inmate or, in case the inmate is unmarried, the parent or guardian of the inmate has consented thereto in writing, or, in the case the inmate has no husband, wife, parent, or guardian resident in the Province, the Provincial Secretary has consented thereto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statute did not provide for the Superintendent's participation at the Board hearing, nor does it appear from any of the surviving correspondence that he did participate. Entries in the Essondale Ward Notes, found in the hospital charts of several of the plaintiffs, suggest that the patients met on their own with the Board members or were accompanied by their treating staff psychiatrists.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Despite the efforts of both the Public Trustee (on behalf of the plaintiffs) and the Attorney General, no records of the proceedings before the Board of Eugenics have been found. How the proceedings were conducted, how the Board determined the capacity of patients to consent, and how the Board reached its decision to authorize the sterilization of each of the plaintiffs remains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Administration of the Act in its First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Only one document was found that described the apparent policy underpinnings of the Act and its administration in the early years of its enactment. That is a Report dated August 17, 1945, authored by "M. Stewart" entitled Some Aspects of Sterilization in British Columbia with Special Reference to Patients Sterilized from Essondale Provincial Mental Hospital since 1935 (the "Stewart Report"). The Public Trustee, Mr. Chalke, deposed in an affidavit that the Stewart Report was found in the Provincial Archives, among documents catalogued as records of the Provincial Secretary from 1929 to 1947. It was found by a researcher Mr. Chalke had retained to unearth any documents relating to the plaintiffs' sterilizations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argued the Stewart Report was admissible both under the ancient documents rule and the rule concerning documents found in the possession of a party. Once admitted, said the plaintiffs, the question was the weight to be given the document. The plaintiffs tendered it to demonstrate the state of medical knowledge at the time concerning the transmission of mental illness and disability, and the understanding of those responsible for recommending sterilizations as to the manner in which the legislation was to be administered. The Attorney General resisted the document's admission on the basis that the plaintiffs had failed to call any evidence to prove possession by the Provincial Secretary and that, in any event, there was no evidence to suggest the responsible officials of the Provincial Crown knew of the document's contents or acted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concluded that the Report is admissible on both grounds argued by the plaintiffs. First, it falls within the ancient document rule. The Report was created more than thirty years ago, it was produced from proper custody and is otherwise free from suspicion (Sopinka, Lederman and Bryant, The Law of Evidence in Canada, 1992, at p. 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Second, the Stewart Report is admissible as a document found in the public archives and catalogued as a record in the possession of the Provincial Secretary, who at the material time was responsible for the welfare of patients in provincial mental hospitals. Given the subject matter of the report and its close connection with the administration of the Act, it is most unlikely that the Superintendent and the Board of Eugenics would have been unaware of its contents at the time it was published. As a matter of law, such a document is admissible against the person in possession to show that person's knowledge of its contents, his or her connection with the transactions to which it relates, or the person's state of mind in relation to it (Dassen Gold Resources Ltd. v. Royal Bank (1993), 12 C.P.C. (3d) 141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Report is admissible to demonstrate the understanding of those responsible for administering the Act as to the hereditary nature of mental illness and disability and the manner in which the legislation was to be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Report is significant because it provides a picture of the early years the legislation was in force, and the attitudes and values held by those who supported and administered it. The strong element of social engineering underlying the theory of eugenic sterilization is clear from the observations of the author.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purpose of the Report is described in its opening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purpose of this paper to show British Columbia's position in the matter of the sexual sterilization of psychotic and mentally deficient persons committed to Essondale since the Sexual Sterilization Act came into operation in 1935, with an estimation of its success. In order to do this, the provisions of the Act will be stated, and also the composition and policies of the British Columbia Eugenics Board. An analysis of the files concerning the sixty-four patients, who have been sexually sterilized from Essondale in accordance with the Act, will follow, with an attempt to evaluate the usefulness of the operation in these individual cases, and thus reach tentative general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author described the day-to-day administration of the Act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Eugenics Board in British Columbia consists of three members representing law, psychiatry and social work. A Board meeting is called as requested, the request usually coming from the Mental Hospital, as the majority of cases come from that institution.... The required documents in connection with the individual to be seen by the Board are forewarded [sic] from the institution concerned, to the Board after the date of meeting is arranged. The papers consist of:</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Consent from the individual... .</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Consent from the parent, guardian, husband or wife.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 for operation by the Superintendent of the institution concerned, stating that he believes that if the individual were to be discharged without sterilization, he would be likely to produce children who by reason of inheritance would have a tendency to serious mental defect or mental deficiency. The Superintendent also states the specific reasons why the operation is recommended in this particular case.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social history prepared by the Social Work Department, with special stress upon any factors bearing upon the recommendation.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Board, after examining the patient and the above mentioned documents, unanimously approves of the recommendation, the secretary prepares a statement under the Act authorizing the Chief of Gynaecology and Obstetrics at the Vancouver General Hospital, or any other doctor appointed by him to his staff, to perform the operation for sexual sterilizations.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follows a discussion about the philosophy underlying the legislation. Passages are quoted from a paper published by the Human Betterment Foundation of Pasadena, California, which described the perceived benefits of eugenic sterilization: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protection, not a punishment; it therefore carries no stigma or humiliation....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permits many patients to return to their homes, who would otherwise be confined to institutions for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protects children from being born to be brought up by mentally diseased or mentally deficient parents or by the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takes a great burden of expense off the taxpayers, and enables the state to care for more patients than would otherwise be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enables many handicapped persons to marry and have a life normal in most respects....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practical and necessary step to prevent racial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author acknowledged there was "a marked division of opinion among scientific authorities" on the issue, and "fairly strong popular and religious opposition on the grounds o[f] sterilization being an invasion of personal rights." Nevertheless, he noted that the practice was thought to be necessary in order to exert certain social controls: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Sterilization is not regarded by even the most ardent proponent as being a universal panacea to replace segregation, but it is felt that it must supplement segregation to prevent procreation as no state or province has sufficient institutional facilities to care for all the feeble-minded, and it also relieves the state or province of a heavy financial responsibility where it can be substituted for segregation.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issue of the genetic transmission of mental illness, the author observed that while the data appeared to support the theory that mental illness was "transmitted in accordance with the Mendelian formula", science had not yet discovered the "exact laws of inheritance". The Report acknowledges the difficulty this posed in administering the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that no exact answer can be given to the question of how much mental defect is inherited enormously complicates the problem of administr-ation. The diagnosis in the higher grade cases and the decision concerning the possibility of transmission to offsprings [sic] is particularly difficult. There are also many factors concerned in the case of the psychotic patient, and here generalizations as to the need for sterilization in certain, definite types of psychosis, are very dangerous. Each case of this type needs to be considered on its own merits, with consideration given to the probability of recurrence [of the psychosis], the probable extent of transmissibility, the extent to which the psychosis is due to environmental factors, whether or not it would produce effects leading to ineffective care of children, and whether childbearing would be likely to cause recurrence.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Despite this cautionary note, the author concluded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recognized by all scientific authorities that psychotic parents are more likely to have psychotic children, and that feeble-minded parents are more likely to have feeble-minded children, but on all the evidence, it seems impossible to go further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Report then summarizes the clinical records of the sixty-four patients from Essondale sterilized between 1935 and 1943. In each case, there is a summary prepared by an Essondale psychiatric social worker describing the social and clinical considerations for sterilization. In some cases the presence of a family history of mental illness is noted. In the majority of cases, the summary includes the Superintendent's reasons for recommending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Where post-discharge information concerning the patient was available, the results of the sterilization were classified as "successful", "doubtful" or "unsuccessful", depending upon the patient's apparent adjustment to the community after discharge. According to the author: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two were classed as being unsuccessful. In each case, the patient was a moron, with past history of promiscuity, who continued to be promiscuous after discharge. Sterilization, in these cases, in no way alleviated the social problem, but merely prevented procreation.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author concluded that it was not yet possible to determine the value of the Act but believed the following tentative conclusions could be drawn:</w:t>
      </w:r>
      <w:r>
        <w:rPr>
          <w:rFonts w:ascii="arial" w:eastAsia="arial" w:hAnsi="arial" w:cs="arial"/>
          <w:sz w:val="20"/>
          <w:lang w:val="en-US" w:eastAsia="en-US" w:bidi="ar-SA"/>
        </w:rPr>
        <w:cr/>
      </w:r>
    </w:p>
    <w:p>
      <w:pPr>
        <w:numPr>
          <w:numId w:val="3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Sterilization has been of benefit in preventing recurrences of psychoses in married women....</w:t>
      </w:r>
    </w:p>
    <w:p>
      <w:pPr>
        <w:numPr>
          <w:numId w:val="3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Married psychotic men have also been enabled to make better adjustments... [including adjustments] with their wives after sterilization.</w:t>
      </w:r>
    </w:p>
    <w:p>
      <w:pPr>
        <w:numPr>
          <w:numId w:val="3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mentally deficient girls have been able to benefit by the stabilization of marriage after sterilization. In many cases, these girls would not be capable of giving normal children the care they need, and would tend to produce subnormal children.</w:t>
      </w:r>
    </w:p>
    <w:p>
      <w:pPr>
        <w:numPr>
          <w:numId w:val="3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group of mental defective girls with histories of promiscuity, as a class appear to have received benefit from hospital training and supervision.... It would appear there is decrease in promiscuity after discharge.... Mental hospitals everywhere are too crowded to allow for segregation of all these girls, and failing segregation, they seem infinitely better off for a period of training and an operation which bars them from reproducing children, possible mental defectives, and for whom these girls are not capable of caring.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Report ends with this endorsement of eugenic sterilization: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British Columbia's experience, the results seem to point the same way as California. E.S. Gosney wrote, in speaking of sterilization in California: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Sterilization is not a panacea, but in the light of California's experience, it appears to be one of the many measures that are indispensable in any far-sighted and humanitarian program for dealing with society's tremendous burden of mental disease, deficiency and defendency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Dissenting Views Regarding Eugenic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Not surprisingly, eugenics was by no means universally or unconditionally embraced even in the early days of the movement. It is apparent from the articles, studies and case law provided by the plaintiffs that the eugenics movement was the subject of controversy in North America from the time the legislation was first enacted in British Columbia. As early as 1936, the American Neurological Association issued a report criticizing the emphasis being given to heredity as the cause of mental illness and mental disabilities. The AMA concluded that given the current state of knowledge concerning heredity, compulsory sterilization could not be justified (Report of the Law Reform Commission 1979,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first Superintendent of Essondale to deal with the British Columbia legislation, Dr. A.L. Crease, recognized that eugenic sterilization might be met with some scepticism - outside psychiatric circles, at least. Nevertheless, it is clear he supported the legislation. In 1933, the Director of Hospital Services in Ontario wrote to Dr. Crease expressing interest in British Columbia's legislation concerning "sterilization of the mentally unfit". Dr. Crease responded in a letter dated May 1, 1933 (produced from Essondale records). His letter reflects his understanding that eugenic sterilization encompassed social and clinical considerations, but that it would be used (in his words) only in "the most marked cases". Dr. Crease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many pros and cons, as you know. There are those who take the view that medicine is not an exact science; that doctors cannot tell what offspring a particular couple may have. An imbecile may result from the very highest type of breeding, or may result from the other type. About all our Bill has accomplished is to make legal what has been done for years, that is, sterilization where it was requested. Then, with sterilization, on discharge it is felt that there would be promiscuity and probably carrying of disease. It is only those intimately associated with the care of the insane and feeble-minded who seem to grasp the situation. You and I know that sterilization and the removing of the ovaries has gone on in the gynaecological services, and no particular reports with regard to the subject have been kept. People do not seem to object to this at all but when sterilization for the males comes up there is quite a stir. The foreign influences rather than the more enlightened American opinion makes itself felt.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notice that in Manitoba the clause was defeated by 21 to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and again mothers come and want sterilization or castration for their children but these are few. Those who stress environment rather than heredity have not helped the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for a minute intend anything except in the most marked cases, and to make sure have suggested a Judge, a Psychiatrist and a Social Service Worker be on the Board. Birth Control hardly caused as much opposition.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gradually emerged conflicting evidence regarding human heredity and the transmission of mental illness and mental disability, as well as recognition of the moral and ethical questions surrounding eugenics. As noted by Veit, J., in Muir v. Alberta (supra), the popularity of the eugenics movement waned somewhat in provinces east of Alberta in the early 1940s, likely as a result of the events unfolding in Nazi Germany where eugenics had taken root with such devastating consequences. Early Canadian socialists such as Tommy Douglas in Saskatchewan initially espoused eugenic philosophy, but turned away from it during the world war in Europe. As Minister of Health for Saskatchewan in 1944, Mr. Douglas rejected reports recommending legislation permitting the sterilization of the mentally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1960, a medical consultant retained by the American Psychiatric Association to report on mental health legislation in British Columbia concluded that eugenic laws permitting sterilization of the mentally ill and disabled were open to serious question as to their scientific and social validity (Report of the Law Reform Commission, 1979). The consultant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sometimes proposed that sterilization is demanded, irrespective of the uncertainties of our knowledge of heredity, in that a mentally ill or feeble-minded person is incapable of providing the emotional and material environment required to raise a normal child. Perhaps this is so, but it raises issues of a sociological and political nature of a very uncertain character and it may be most dangerous to apply such sociological concepts under the guise of a genetic thesis that is far from proven and highly uncertain it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early 1960s, committees were struck by organizations such as the B.C. Medical Association, the Association for Retarded Children, and the Greater Victoria Association for the Retarded, for the purpose of examining the medical, ethical and moral questions surrounding the use of sterilization legislation in British Columbia. One such committee, reporting to the Research Clinical Services and Education Committee of the Association for Retarded Children, concluded that the legislation was incapable of administration on genetic grounds: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committee wishes to point out that although this is a eugenics Act, no person qualified in human genetics has been associated with its conception or enactment. In actual fact, the wording of the Act...makes any action based on genetic considerations alone virtually impossible. Specific reference is made to the phrase "...would be likely to beget or bear children who, by reason of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Repeal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view that the legislation was based on sociological concerns rather than a sound genetic thesis eventually reached the politicians. On November 3, 1969, Dr. H.W. Bridge, Director of Mental Health Services for the Province, wrote a memorandum to Dr. F.G. Tucker, Deputy Minister of Mental Health, in which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refer to your recent request for any recommendations for legislative changes in the coming Session.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to recommend in the strongest terms that appropriate legislation to be recommended by this Branch is the repeal of the Sexual Sterilization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existence of this Act, which I believe has no justification in terms of contemporary knowledge in genetics, psychiatry, or sociology, can only bring discredit on the agencies which are associated with its operation, and these include the Mental Health Branch. Thus, I believe the Branch has a responsibility to press for the repeal of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November 21, 1969, Dr. Tucker wrote to the Deputy Attorney General to advise that opinions concerning the repeal of the Act were being sought from the College of Physicians and Surgeons, the Medical Genetics Department of the University of British Columbia, and the government officials involved in the administration of the legislation. One such opinion was obtained from Dr. J.R. Miller, Head of the Division of Human Genetics in the Department of Paediatrics at UBC. Dr. Miller had been a member of the committee that authored the report to the Association for Retarded Children several years earlier. He reiterated the conclusions of the committee that the vague wording of the Act made any action based solely on genetic considerations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June 9, 1971, Dr. Miller wrote a letter to Mr. A. Porteous, Assistant Deputy Minister, Mental Health Branch, apparently following a telephone conversation between them several months earlier. In that letter, Dr. Miller expressed the view that there was a need for some kind of legislation permitting sterilization of individuals who were wards of the Province. He suggested the creation of a committee consisting of representatives of various social agencies and mental health advocates, rather than the Board of Eugenics, to discuss the merits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Porteous forwarded Dr. Miller's letter to the Superintendent, at that time Dr. Bruce Bryson, requesting his comments on Dr. Miller's suggestions. Dr. Bryson was away at the time, and, as a result, the Clinical Director of Essondale, Dr. William McFarlane, responded to the request of Mr. Porteous. In a memorandum dated July 7, 1971, Dr. McFarlane said he doubted that establishing the kind of committee suggested by Dr. Miller would serve any useful purpose, and may only make the current process more cumbersome. Dr. McFarlane made a number of comments about the sterilization legislation then in force,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actually have had very little experience with the Eugenics Board recently, having recommended only two patients to the Eugenics Board for sexual sterilization in the past year. The reason for such a small number being referred is no doubt related partly to doubt about the use of this procedure for purely eugenic purposes, and the provision within the Medical Staff By-Laws of Riverview Hospital for sexual sterilization on clinical grounds, as opposed to eugenic grounds, without the necessity of the case being referred to the Eugenics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previous experience when more cases were referred to the Eugenics Board is that these cases were in all honesty not primarily referred for eugenic purposes, although the doctor had to be in a position to state that the patient "would be likely to beget or bear children who, by reason of insanity would have a tendence (sic) to serious mental disease or mental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McFarlane concluded the memo by suggesting that if the legislation was under review, consideration ought to be given to expanding its scope to general hospitals as well as psychiatric facilities since the trend was to give more psychiatric care in general hospitals.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Medical Staff By-Laws to which Dr. McFarlane referred in his memo were Bylaws approved December 19, 1968, and amended May 1970, by the medical staff of Essondale. The Rules and Regulations appended to the Bylaws provide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cases where sexual sterilization is being performed for eugenics purposes, the cases must be presented to the Eugenics Board as provided for in the Sexual Sterilization Act. In cases where the sterilization is being performed on clinical as opposed to eugenic grounds, the same procedures as for therapeutic abortion shall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September 1971, Dr. Bryson added his views to those of Dr. McFarlane. In a memorandum to Mr. Porteous dated September 9, 1971, Dr. Bryson agreed with the comments of his colleague, and made these additional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wondering...what persons Professor Miller is referring to in his reference to "the need for some type of Act which would cover the sterilization of individuals who are really wards of the State", and if he is thinking of the need for sterilization of some individuals against their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present Eugenics Act, it is necessary that consent for sterilization be obtained from both the patient and the relative or guardian before referral is made to the Eugenics Board which made up of a Judge and an independent Psychiatrist and Social Worker. For this purpose I feel the present Act is satisfactory, although it should be broadened in scope as mentioned by Dr. McFarlane....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Porteous concluded, apparently on the basis of the various views he had canvassed, that the Act ought to be repealed. In a letter dated November 8, 1971, Mr. Porteous wrote to legislative counsel within the Department of the Attorney General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 has now been on the books of the Province for a considerable number of years and during the last decade or more, has been used very infrequently. The primary objection to its use is that a sexual sterilization procedure is based upon a genetic concept which is not considered to be scientifically correct. Section 5(1) of the Act requires that "procreation would be likely to produce children who, by reason of inheritance, would have a tendency to serious mental disease or mental deficiency." In addition to this, the liberalization of procedures within acute care general hospitals have resulted in sexual sterilizations being common place. It is therefore unnecessary for this Act to remain upon the books.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Sexual sterilizations may be performed for social reasons, but our Department would not want to see the Act amended to permit this since we believe it would be a most dangerous incursion into the civil liberties of individuals.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intend to be discussing, with our Minister, our request for the repeal of this Act and as soon as we have his direction in this regard, I will communicate this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Act was repealed in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Sterilizations at Essondale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surviving Essondale records suggest that during the forty years the Act was in force, 188 patients were sterilized while resident at the institution. The number of patients housed at the institution in any given year was approximately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only surviving member of Essondale's medical administration while the Act was in force is Dr. McFarlane, to whom reference was made earlier. Dr. McFarlane, a psychiatrist, worked at Essondale from 1961 to 1983. He was a staff psychiatrist from 1961 to 1968. As the Clinical Director from 1968 to 1983, he reported to the Superintendent. He authored the July 7, 1971 memorandum to Mr. Porteous. At trial, the Attorney General filed an affidavit sworn recently by Dr. McFarlane concerning his 1971 memorandum and his knowledge of the manner in which the Act was administered by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McFarlane's affidavit disclosed that the majority of patients admitted to Essondale suffered from schizophrenia. The most prevalent disorder after schizophrenia was manic depression (bipolar disorder). Essondale also admitted patients with intellectual disabilities (known at the time as "mental retardation" or "mental deficiency"), but only those patients also exhibiting signs of psychosis. Most of Dr. McFarlane's patients were diagnosed with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Dr. McFarlane's experience, the physical and emotional health of women with serious psychiatric disorders could be adversely affected by having children. The stress of parenting responsibilities could sometimes make it more difficult for patients to cope with their illnesses. In the interest of the patient's health, her psychiatrist might advise her to consider a tubal 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McFarlane had little direct experience with the administration of the Act or the Board of Eugenics. As Clinical Director, he was not responsible for making recommendations to the Board. To his knowledge, he was not the treating psychiatrist of any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Dr. McFarlane was asked to comment on the Act in 1971, he understood that some legislative reform was under consideration. In 1971, he was of the view that the scientific validity of eugenics was questionable. However, he believed in 1971, and continues to believe, that certain mental illnesses and some forms of intellectual disability (mental retardation) can be genetically transmitted to offspring, and that offspring of persons suffering from those medical conditions can have a heightened tendency to acquire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When Dr. McFarlane wrote his memorandum in 1971, he believed that many cases had been recommended for sterilization where the primary concern was not genetic transmission of the mental illness. He did not, however, have any direct knowledge of the reasons underlying the recommendations of the Superintendents with whom he had worked. He had no involvement in the care of patients who were recommended for sterilization, and did not review any of their files. Dr. McFarlane believed that while the primary concern may not have been genetic transmission of the patient's illness, in each case the Superintendent first had to be satisfied that the patient suffered from an illness that was capable of being genetically transmitted to his or her offspring.</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eighteen plaintiffs were hospitalized because they suffered from either schizophrenia or intellectual disability (mental retardation). Eleven of the plaintiffs were diagnosed with schizophrenia. The remaining seven were diagnosed with intellectual disability. Terms such as "moron", "idiot" and "imbecile", all medically defined terms at the time, were used to describe the clinical degree of mental disability. These seven plaintiffs also suffered from varying degrees of psychosis. Several suffered from seizure disorders. I have summarized the evidence concerning each of these plaintiffs, as disclosed by the surviving Essondale records, in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were sterilized in the period between 1940 and 1968. The evidence of their medical disorders was limited to the records of their hospitalization at Essondale. In some cases, the clinical records were quite extensive. In others, the records were scant. One could not be certain that the records of any of the plaintiffs were complete. Nor could one be certain that the plaintiffs' records contained all of the information upon which the Superintendents based their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argued that the consensus of medical opinion in 1968 and earlier was that there was no basis on which one could reasonably conclude that either schizophrenia or mental retardation could be genetically transmitted to offspring. Thus, argued the plaintiffs, the Superintendent in each case must have known the plaintiff did not fall within the parameters of s. 4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Attorney General tendered opinion evidence from two physicians qualified as experts in the fields of psychiatry and genetics, together with the evidence of Dr. McFarlane, to challenge the plaintiffs' assertion. The evidence addressed the genetic transmission of schizophrenia and mental retardation.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Anne Bassett is an Associate Professor in the Department of Psychiatry, University of Toronto. She is the Canada Research Chair in Schizophrenia Genetics, and Head of the Genetics Section of the Schizophrenia Research Program at the Centre for Addiction and Mental Health in Toronto. Dr. Bassett addressed the issues of the genetics and transmission of schizophrenia, and the state of medical knowledge fifty to sixty years ago concerning those issues. My synopsis of her opinion follows.</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Schizophrenia is a serious and usually chronic mental illness characterized by psychosis, disordered thinking and deterioration of social and occupational functioning. As for many other neuropsychiatric illnesses, there are no laboratory or other tests available. Diagnosis of the illness is a clinical diagnosis based on the history of signs or symptoms. The underlying abnormalities and disease pathways in the brain are unknown.</w:t>
      </w:r>
    </w:p>
    <w:p>
      <w:pPr>
        <w:numPr>
          <w:numId w:val="3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Schizophrenia is a complex genetic disorder with high heritability. Studies over the past century involving twins, families and adoption suggest a strong role for genetic factors in the cause of the illness. No other factors have been identified as having as great an impact as genetic factors. Since the early 20th century schizophrenia has been observed to be more common in biological relatives of individuals with the disease than in the population as a whole.</w:t>
      </w:r>
    </w:p>
    <w:p>
      <w:pPr>
        <w:numPr>
          <w:numId w:val="3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genetic test available for schizophrenia. In recent years a genetic test has become clinically available for one rare genetic subtype of the disease associated with a chromosomal abnormality. The ability to identify this subtype is the first substantive change for several decades in the body of knowledge related to the genetics of schizophrenia.</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of the major studies supporting the likelihood that schizophrenia was a genetic illness were published from 1911 to 1945, and schizophrenia was generally considered to have a genetic predisposition. It was considered by many researchers that the disease was genetically transmitted by simple modes of Mendelian transmission (either autosomal recessive or autosomal dominant). By the latter half of the century, however, it was broadly recognized that the rates of illness in relatives were incompatible with these simple modes of transmission.</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early part of the 20th century, rates of illness were observed to be higher in offspring of schizophrenics than in other first degree relatives (siblings and parents of schizophrenics). This observation (which cannot be explained by Mendelian genetic principles) was used to support the theory known as "degeneration", initially described in the mid-19th century and continued in the early 20th, which posited that mental illness worsened with each successive generation. This later became known as "anticipation", the earlier age of onset of the illness in successive generations. In recent years, anticipation has been consistently observed in studies of schizophrenia.</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most significant findings in studies of schizophrenia over the past century is that the risk of developing the illness is significantly higher in close relatives of individuals with schizophrenia than it is in individuals with no relatives with schizophrenia. However, the inheritance patterns are not consistent with predictable Mendelian inheritance patterns, thus the estimated risks to relatives such as offspring of individuals with the disease are based on average rates observed in large published studies. Individual estimates of risk for offspring of schizophrenia are not currently available because there is as yet no means of identifying the molecular genetic changes related to schizophrenia susceptibility.</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risk of developing schizophrenia for an offspring with a single parent affected with schizophrenia is estimated to be in the range of 9% to 16%. That is about 9 to 16 times the expected rate of developing schizophrenia for the general population, which is about 1%. For an offspring with two affected parents the risk of developing schizophrenia is about 46%. These pooled recurrence risk estimates for genetic counselling have been used in genetic counselling since the 1970s or 1980s. There is no way to determine which offspring of individuals with schizophrenia may develop schizophrenia. There is no way to prevent the onset of schizophrenia in individuals, including those at elevated genetic risk.</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researchers studying the inheritance of schizophrenia in the early part of the 20th century believed the illness showed a form of Mendelian transmission. Risk estimates for offspring of individuals with the disease in the early literature were generally higher than those used today. One large early study reported a 40% transmission rate where one parent had schizophrenia, and 84% where both parents were affected.</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mid-20th century, chronic hospitalization was the most likely treatment for individuals with schizophrenia, not only because of the severity of the illness, but because there were few effective treatments for the illness before the availability of antipsychotic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Intellectual Disability (Mental Retardation)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Joseph Berg was a Professor in the Department of Psychiatry and the Department of Medical Genetics at the University of Toronto, and the Director of Biomedical Services and Research at Surrey Place Centre (formerly the Mental Retardation Centre). He is now retired. His opinion was tendered largely in the form of an article he authored in 1980 entitled "Mental Retardation" that was published in a psychiatry text. He deposed that he continued to adhere predominantly to the views expressed in that article. My summary of his opinion follows.</w:t>
      </w:r>
      <w:r>
        <w:rPr>
          <w:rFonts w:ascii="arial" w:eastAsia="arial" w:hAnsi="arial" w:cs="arial"/>
          <w:sz w:val="20"/>
          <w:lang w:val="en-US" w:eastAsia="en-US" w:bidi="ar-SA"/>
        </w:rPr>
        <w:cr/>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Genetic factors frequently play a significant role in mental retardation, a circumstance that became increasingly recognized by medical professionals throughout the period of operation of British Columbia's sterilization legislation.</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Deficiency in mental ability is a clinical sign and not a disease entity as such. No single criterion is entirely satisfactory for a designation of mental retardation. The causal factors responsible for mental deficit are wide ranging and numerous. It is best to think of the cause of mental retardation as being predominantly either genetic or environmental. Multiple genes contribute to intellectual level, as do environmental factors. The extent of the respective roles of genetic and environmental factors in producing mental deficit, and the exact relationship of these factors, are not yet resolved.</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genetic transmission has been identified as the cause of some mental disabilities. These disabilities tend to be transmitted by a single recessive gene and thus generally display the characteristics of classic Mendelian genetics. Most inborn metabolic errors associated with mental deficiency, for example, are transmitted this way.</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Chromosomal aberrations are almost always connected with mental deficit, and involve the autosomes or sex chromosomes and sometimes both. They consist primarily of excess or loss of chromosome material through a variety of mechanisms often not clearly understood. Developments in the late 1970s in chromosomal banding procedures and other staining techniques have facilitated the recognition of some chromosomal aberrations that can have mental consequences.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Mental retardation can also be caused by a spectrum of physical or environmental hazards. Pre- and post-natal contact with chemical and infectious agents are among the causes, as are hypoxia or physical trauma to the central nervous system at or near the time of birth. These general etiological factors are more subtle and interrelated, and hence more difficult to pinpoint and differentiate, than specific genetic and chromosomal ones.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disability or syndrome of an individual is identified as autosomal recessive in nature, there is a one in four chance that each child will have the condition. Similarly, precise risks can be calculated for specific gene defects with other mendelian patterns of transmission. These risks are often high for close relatives.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contrast, chromosomal disorders are usually sporadic with a relatively low recurrence risk, with the exception of a parent who is a translocation carrier. Maternal age is significant in certain types of chromosomal abnormalities.</w:t>
      </w:r>
    </w:p>
    <w:p>
      <w:pPr>
        <w:numPr>
          <w:numId w:val="5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many cases it is difficult to determine the exact cause of mental retardation. Many factors play a role in intellectual development and capacity, making diagnosis difficult. When causation is unknown, risk figures must be based on empirical data. For example, non-specific mental retardation of marked degree has been found empirically to occur in 3% to 6% of siblings of affected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Attorney General asked Dr. Berg to review the clinical records of the seven plaintiffs who, at the time of their sterilizations, were diagnosed with mental retardation or mental deficit. Those plaintiffs are C.M., G.H., M.A.K., P.K., P.H., R.D., and L.C. In his affidavit, Dr. Berg said that the information contained in the clinical records of the individual plaintiffs is insufficient to permit him to form an opinion as to whether or not their intellectual disabilities were genetic in nature, or whether the children of these plaintiffs would have a tendency to suffer from the same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McFarlane's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Dr. McFarlane did not provide an expert opinion as such, his evidence (as noted earlier) was that as a practicing psychiatrist in 1971, he understood that certain mental illnesses including schizophrenia and some forms of mental retardation could be genetically transmitted to offspring. He continues to have that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summary, the opinion of the medical experts was that both schizophrenia and mental retardation are medical conditions capable of genetic transmission, and during the time material to these actions, were thought to have a significant genetic component.</w:t>
      </w:r>
      <w:r>
        <w:rPr>
          <w:rFonts w:ascii="arial" w:eastAsia="arial" w:hAnsi="arial" w:cs="arial"/>
          <w:sz w:val="20"/>
          <w:lang w:val="en-US" w:eastAsia="en-US" w:bidi="ar-SA"/>
        </w:rPr>
        <w:cr/>
      </w:r>
    </w:p>
    <w:p>
      <w:pPr>
        <w:numPr>
          <w:numId w:val="5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case of each of the eighteen plaintiffs, the procedural requirements of the Act were followed. In each case, the Superintendent obtained the written consent of the patient or the patient's next-of-kin, and in most cases both, and made a written recommendation for sterilization. In each case, the Superintendent's written recommendation was forwarded, together with a social history of the patient prepared by the Department of Social Work at Essondale, to the Board of Eugenics. Thereafter, it was for the Board of Eugenics to determine whether the patient was capable of giving consent to be sterilized and, if not, whether her next-of-kin had consented. The Board of Eugenics, in each case, made the determination as to whether the plaintiff would likely have children with a tendency to mental illness and provided the necessary authorization to a physician of the Board's choice to perform the sterilization. In most cases, the Board authorized a surgeon with privileges at Essondale to perform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Between 1940 and 1968, three physicians successively held the position of Superintendent: Dr. E.J. Ryan, Dr. T. Caunt and Dr. B. Bryson. Each made recommendations that are the subject of the plaintiffs' actions. All three died before the plaintiffs commenced their actions. The Superintendent's written recommendation exists in the case of fifteen of the plaintiffs. No written recommendation was found in the case of three of the plaintiffs. In each case that a recommendation exists, it is the only document in the plaintiff's hospital record authored by the Superintendent himself that bears directly on the basis for the recommendation. The social history of the patient was forwarded to the Board of Eugenics with the Superintendent's recommendation, but, as already noted, that summary was invariably authored by a psychiatric social worker and focussed on the social and clinical history of the patient thought to be relevant to the issue of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Each of the Superintendent's written recommendations contains a statement of the Superintendent's belief, usually tracking the language of the statute, that the patient, "if discharged ... without being sexually sterilized, would likely bear children who, by reason of inheritance, would have a tendency to serious mental disease or mental deficiency." Each recommendation also contains a brief description of the plaintiff's diagnosis and any clinical or social factors specific to the individual plaintiff that relate to the recommendation. Promiscuity, poor judgment, lack of supervision by next of kin, the danger of illegitimate offspring, the danger of offspring unsuitable for adoption, inability to properly parent children, and inability to cope with the stresses of pregnancy are examples of the factors on which the Superintendents based their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presence of these social and clinical factors in the Superintendents' written recommendations, and the absence of any record of a scientific investigation into genetic factors bearing on the transmission of the patient's medical condition, lie at the heart of the plaintiffs' case against the Provincial Crown. Their main argument is that the Superintendents abused their public office (that is, the statutory authority granted by their public office) by knowingly basing their recommendations for sterilization primarily on factors that were irrelevant to the purposes of the statute.</w:t>
      </w:r>
      <w:r>
        <w:rPr>
          <w:rFonts w:ascii="arial" w:eastAsia="arial" w:hAnsi="arial" w:cs="arial"/>
          <w:sz w:val="20"/>
          <w:lang w:val="en-US" w:eastAsia="en-US" w:bidi="ar-SA"/>
        </w:rPr>
        <w:cr/>
      </w:r>
    </w:p>
    <w:p>
      <w:pPr>
        <w:numPr>
          <w:numId w:val="5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Public Office: 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Abuse of public office is an intentional tort. Because the subjective intent of the public official is central to the tort, a two-pronged analysis has emerged in the case law to address the two different circumstances in which the complaint might be made. In the leading case of Powder Mountain Resorts Ltd. v. British Columbia </w:t>
      </w:r>
      <w:hyperlink r:id="rId827" w:history="1">
        <w:r>
          <w:rPr>
            <w:rFonts w:ascii="arial" w:eastAsia="arial" w:hAnsi="arial" w:cs="arial"/>
            <w:i/>
            <w:color w:val="0077CC"/>
            <w:sz w:val="20"/>
            <w:u w:val="single"/>
            <w:shd w:val="clear" w:color="auto" w:fill="FFFFFF"/>
            <w:lang w:val="en-US" w:eastAsia="en-US" w:bidi="ar-SA"/>
          </w:rPr>
          <w:t>(2001), 94 B.C.L.R. (3d) 14</w:t>
        </w:r>
      </w:hyperlink>
      <w:r>
        <w:rPr>
          <w:rFonts w:ascii="arial" w:eastAsia="arial" w:hAnsi="arial" w:cs="arial"/>
          <w:color w:val="000000"/>
          <w:sz w:val="20"/>
          <w:lang w:val="en-US" w:eastAsia="en-US" w:bidi="ar-SA"/>
        </w:rPr>
        <w:t xml:space="preserve"> at para. 7, Madam Justice Newbury stated that a plaintiff who relies on this cause of action must establish one of two branches of the tort:</w:t>
      </w:r>
      <w:r>
        <w:rPr>
          <w:rFonts w:ascii="arial" w:eastAsia="arial" w:hAnsi="arial" w:cs="arial"/>
          <w:sz w:val="20"/>
          <w:lang w:val="en-US" w:eastAsia="en-US" w:bidi="ar-SA"/>
        </w:rPr>
        <w:cr/>
      </w:r>
    </w:p>
    <w:p>
      <w:pPr>
        <w:numPr>
          <w:numId w:val="5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 intentionally exercised the power of his office for the purpose of injuring the plaintiff; or</w:t>
      </w:r>
    </w:p>
    <w:p>
      <w:pPr>
        <w:numPr>
          <w:numId w:val="5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 acted knowing that she had no power to do the act and that her conduct would probably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both branches of the tort, the subjective intent of the public official is a critical element. As such, the tort of abuse of public office is, in the words of Newbury, J.A., "an exception to the normal disinterest of the civil law in motive underlying conduct, as opposed to the conduct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Because this cause of action requires proof of bad faith or improper purpose, the conduct of the public official will to "most observers, carry the 'stench of dishonesty'", and require clear proof commensurate with the seriousness of the wrong (Powder Mountain Resorts, (supra) per Newbury, J.A.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two branches of the tort are distinguishable from each other and different considerations arise from each. Under the first branch, the official performs an act that is otherwise within his powers but does so dishonestly or for a corrupt motive or improper purpose. Because the act was otherwise within the official's statutory authority to perform, the threshold for dishonest intent under this branch is high. Under the second branch, the official knowingly or recklessly performs an act for which he has no statutory authority. The inquiry under this branch is whether there is a statutory instrument that grants the official the authority to do the act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noted by Lord Millett in Three Rivers District Council v. Bank of England (No. 3), [2000] 3 All E.R. 1 (H.L.) at 49, the substantive difference between the two branches lies in the starting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can establish the official's subjective intention to exercise the power of his office in order to cause him injury, he does not need to establish that the official exceeded the terms of the powers conferred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Later in his reasons, Lord Millett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tort is an intentional tort which can be committed only by a public official. From this two things follow. First, the tort cannot be committed negligently or inadvertently. Secondly, the core concept is abuse of power. This in turn involves other concepts, such as dishonesty, bad faith, and improper purpose. These expressions are often used interchangeably; in some contexts one will be more appropriate, in other contexts, another. They are all subjective states of mind.</w:t>
      </w:r>
    </w:p>
    <w:p>
      <w:pPr>
        <w:numPr>
          <w:numId w:val="5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Branch: Targeted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 the first branch, the official performs an act that is within his authority. The otherwise lawful administrative act only becomes unlawful because it is actuated by malice. It is the exercise of public power for an improper or ulterior motive. This branch is often called "targeted malice" because the official has used his authority to intentionally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case law provides several examples of alleged unlawful acts that were within the official's statutory authority to perform. In Powder Mountain Resorts (supra), the Court could find no illegal or ultra vires acts on the part of the public officials who were responsible for reviewing the Powder Mountain ski development proposal. Because the acts were within the statutory powers of the officials, the Court considered whether the conduct of the officials had been motivated by malice or bad faith. The issue was whether the otherwise lawful decision of the Provincial Crown to reject the proposal of Powder Mountain was rendered unlawful by improper motives. The Court concluded that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Similarly, in First National Properties v. Highlands (District) </w:t>
      </w:r>
      <w:hyperlink r:id="rId828" w:history="1">
        <w:r>
          <w:rPr>
            <w:rFonts w:ascii="arial" w:eastAsia="arial" w:hAnsi="arial" w:cs="arial"/>
            <w:i/>
            <w:color w:val="0077CC"/>
            <w:sz w:val="20"/>
            <w:u w:val="single"/>
            <w:shd w:val="clear" w:color="auto" w:fill="FFFFFF"/>
            <w:lang w:val="en-US" w:eastAsia="en-US" w:bidi="ar-SA"/>
          </w:rPr>
          <w:t>(2001), 88 B.C.L.R. (3d) 125</w:t>
        </w:r>
      </w:hyperlink>
      <w:r>
        <w:rPr>
          <w:rFonts w:ascii="arial" w:eastAsia="arial" w:hAnsi="arial" w:cs="arial"/>
          <w:color w:val="000000"/>
          <w:sz w:val="20"/>
          <w:lang w:val="en-US" w:eastAsia="en-US" w:bidi="ar-SA"/>
        </w:rPr>
        <w:t>, the plaintiffs conceded that the steps taken by the public officials, in the absence of an improper purpose, did not lie outside their statutory authority. The task of the Court was, as in Powder Mountain Resorts, to determine whether the officials had been motivated by a dishonest purpose. The Court of Appeal concluded that the Highlands Council was not acting for an improper purpose when it rejected the plaintiff's subdivision proposal in favour of environmental conservation. It was the District's bona fide political belief that preservation of the property in its natural state was in the public interest. This belief was not an improper purpose and could not, as noted by Newbury, J.A., convert the decision into targeted malice when the power was otherwise exercised within the District's statutory authority.</w:t>
      </w:r>
      <w:r>
        <w:rPr>
          <w:rFonts w:ascii="arial" w:eastAsia="arial" w:hAnsi="arial" w:cs="arial"/>
          <w:sz w:val="20"/>
          <w:lang w:val="en-US" w:eastAsia="en-US" w:bidi="ar-SA"/>
        </w:rPr>
        <w:cr/>
      </w:r>
    </w:p>
    <w:p>
      <w:pPr>
        <w:numPr>
          <w:numId w:val="5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Under the second branch, the public official abuses her office by exercising a power she knows she does not have. Under this branch of the tort, the plaintiff must be able to establish that the official knew she was transgressing the limits of her power and that her conduct would probably injure the plaintiff. The requisite intent is also established if the official was reckless as to the illegality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famous case of Roncarelli v. Duplessis, </w:t>
      </w:r>
      <w:hyperlink r:id="rId829"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is an example of this kind of abuse of power. The Quebec Alcohol Liquor Act placed complete control over liquor traffic in the hands of an independent commission. Premier Duplessis was acting outside of his official powers when he stepped in to cancel Mr. Roncarelli's liquor licence. There was no statutory authority for him to do so. If Premier Duplessis had been the Quebec Liquor Commission empowered to cancel liquor licences, his actions would nevertheless have satisfied the first branch of the tort, as Newbury, J.A. noted in Powder Mountain Resorts (at paras. 63 and 68), because the Premier intentionally used his power to punish Mr. Roncarelli for furnishing bail to fellow Jehovah's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an article written in the wake of the Powder Mountain Resorts and Highlands (District) cases, Timothy Leadem, Q.C. made the following observation in his article "The Tort of Abuse of Public Office", (2001) 15 C.J.A.L.P. 185 at 208: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limb of the test involving the mental aspect of the tort is derived from the situation where public officials have knowledge that they are acting outside of their powers. A secondary aspect of knowledge is the knowledge that their actions may visit harm on someone as a result of their decision. It is not necessary to show actual knowledge, as subjective knowledge or indifference to foreseeable harm may also give rise to a claim. In this case, the practical considerations and evidentiary requirement would entail proof that the official was acting outside the ambit of their power. Such an investigation would commence with an examination of the statutory instrument that gives rise to the exercise of discretion or decision making power as the case may be.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first step, then, is to look to the authorizing statute. What actions does it authorize? Even this inquiry is not quite so straightforward as one might assume. In this context, I note Lord Millett in Three Rivers District Council (supra) suggested that even a deliberate excess of power will not necessarily result in an abuse of power if the official has acted in good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bear in mind that excess of power is not the same as abuse of power. Nor is breach of duty the same as abuse of power. The two must be kept distinct if the tort is to be kept separate from breach of statutory duty, which does not necessarily found a cause of action. Even a deliberate excess of power is not necessarily an abuse of power. Just as a deliberate breach of trust is not dishonest if it is committed by the trustee in good faith and in the honest belief that it is for the benefit of those in whose interests he is bound to act, so a conscious excess of official power is not necessarily dishonest. The analogy is closer than may appear because many of the old cases emphasize that the tort is concerned with the abuse of a power granted for the benefit of and therefore held in trust for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same vein, reliance on purposes that are not expressly contemplated by the statute will not necessarily constitute an abuse of power. In Powder Mountain Resorts, Newbury, J.A. noted (at para. 66) that the "foreign purpose" must show bad faith or impropriety before the tort will be established. A bona fide belief on the part of the public official that she is acting in the best interests of her constituents is relevant: "It is difficult to imagine how a motive to promote the best interests of the Province could be characterized as ulterior or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can be seen, both branches of the tort set a very exacting test requiring considerable judicial caution because the inquiry involves the subjective intent underlying the conduct rather than the conduct itself. Madam Justice Newbury reiterated that point in Powder Mountain Resorts, where she cautioned that "[m]otive is of course notoriously difficult to discern, and one may act for more than one motive" (at para. 8).</w:t>
      </w:r>
      <w:r>
        <w:rPr>
          <w:rFonts w:ascii="arial" w:eastAsia="arial" w:hAnsi="arial" w:cs="arial"/>
          <w:sz w:val="20"/>
          <w:lang w:val="en-US" w:eastAsia="en-US" w:bidi="ar-SA"/>
        </w:rPr>
        <w:cr/>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Argument of the Parties: The Second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argued that in their circumstances, the second branch of the tort is engaged. They said the Superintendents based their recommendations on factors they knew they were not entitled to consider under the Act. The Superintendents had the requisite dishonesty, according to the plaintiffs, because they knew they were acting without authority or were reckless as to whether they were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Within the framework of this branch, the plaintiffs said the statute must be read to permit the Superintendent to recommend sterilization of a patient only, or at least primarily, for "eugenics reasons", which, they argued, is limited to determining whether each patient suffered from a medical condition such that she or he would likely have children with a tendency to suffer from the same condition. They say the evidence established the two fundamental aspects of their claim that the Superintendent abused his office:</w:t>
      </w:r>
      <w:r>
        <w:rPr>
          <w:rFonts w:ascii="arial" w:eastAsia="arial" w:hAnsi="arial" w:cs="arial"/>
          <w:sz w:val="20"/>
          <w:lang w:val="en-US" w:eastAsia="en-US" w:bidi="ar-SA"/>
        </w:rPr>
        <w:cr/>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responsible medical professional could have formed the opinion that the plaintiffs' children would have a tendency to suffer from their parents' medical conditions, because there was no basis in medicine or science on which to form that opinion; and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in each case knowingly based his recommendations on therapeutic and social factors precluded by the legislation. Therapeutic (or clinical) reasons include, for example, sterilization of a patient whose depression or psychosis has been triggered in the past by pregnancy, childbirth or the stresses of parenting. Social reasons include the desire to prevent pregnancy as a result of promiscuous behaviour, or to prevent the birth of children the patient could not properly parent or for whom adoption would be difficult to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Provincial Crown acknowledged that each of the three Superintendents considered therapeutic and social factors when recommending the sterilization of the plaintiffs, and acknowledged that these factors may even have been the primary considerations in many cases. However, it argued that the plaintiffs failed for two reasons to establish that the Superintendents acted unlawfully:</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 establishes that schizophrenia and certain types of mental disability are capable of genetic transmission, thus it was open to the Superintendents to conclude that each of the plaintiffs suffered from a medical condition that was hereditary in nature; and</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did not preclude social and therapeutic considerations where the patient suffered from a mental illness or disability thought to be genetically transmitted. The Superintendent was entitled, and in fact obliged, to consider all factors relevant to the overall circumstances of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These arguments address the initial stage of the inquiry under the second branch of the tort, which is the scope of the statute under which the public official acted. Certainly, if the patient did not suffer from a medical condition thought to be genetically transmitted, the legislation did not permit the Superintendent to recommend sterilization. But if he was satisfied the patient suffered from a medical condition thought to be hereditary, did the legislation permit him to then rely on social and clinical factors to make his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Thereafter, the issue is the subjective intention of Superintendent: Did he, in the case of any of the plaintiffs, recommend sterilization for reasons he knew were not permitted by the legislation?</w:t>
      </w:r>
      <w:r>
        <w:rPr>
          <w:rFonts w:ascii="arial" w:eastAsia="arial" w:hAnsi="arial" w:cs="arial"/>
          <w:sz w:val="20"/>
          <w:lang w:val="en-US" w:eastAsia="en-US" w:bidi="ar-SA"/>
        </w:rPr>
        <w:cr/>
      </w:r>
    </w:p>
    <w:p>
      <w:pPr>
        <w:numPr>
          <w:numId w:val="6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Legislation: What factors could the Superintendent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initial step in the inquiry involves an examination of the legislation that granted the power of recommendation to the Superintendent. This step involves two questions. First, what was the test under the statute concerning the genetic transmission of a patient's medical condition? Second, if the patient's condition was thought to be genetically transmitted, could the Superintendent also consider clinical and social factors when deciding whether to recommend the patient's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central provision is s. 4(1) of the Act, the language of which, for convenience, I will repeat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it appears to the Superintendent...that any inmate...if discharged...without being subjected to an operation for sexual sterilization, would be likely to beget or bear children who by reason of inheritance would have a tendency to serious mental disease or mental deficiency, the Superintendent may submit to the Board of Eugenics a recommendation that a surgical operation be performed upon that inmate for sexual sterilization.</w:t>
      </w:r>
    </w:p>
    <w:p>
      <w:pPr>
        <w:numPr>
          <w:numId w:val="6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genetic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am of the view the Superintendent, under s. 4(1), had to ask himself the following threshold question: "Will the patient, assuming he or she is eventually discharged, likely have children with a tendency to suffer from the same mental illness or disability?" Within that inquiry, the Superintendent had to be satisfied that the patient was capable of "bearing or begetting"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Superintendent was not required to ask himself whether the patient's children were likely to suffer from their parents' medical conditions. He was required to ask himself the much broader question of whether the children would have a tendency to suffer from their parents' conditions. The Oxford English Dictionary (1998) defines "tendency" as "an inclination towards a particular characteristic or type of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my view, the test described in s. 4(1) of the Act set an exceedingly low threshold. It was a threshold consistent with the imprecise genetic notions at the heart of the Act's eugenic underpinnings.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meaning and scope of the legislation must be determined in accordance with the social and scientific context in which it was generated. The actions of those who administered it must be judged in the same context. In ter Nuezen v. Korn, </w:t>
      </w:r>
      <w:hyperlink r:id="rId9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the Supreme Court of Canada gave this cautionary direction, in the context of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about scrutinizing a defendant's past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particularly important to emphasize, in the context of this case, that the conduct of physicians must be judged in light of the knowledge that ought to have been reasonably possessed at the time of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Denning, L.J. eloquently stated in Roe v. Ministry of Health, [1954] 2 All E.R. 131 (C.A.) at p. 137, "[w]e must not look at the 1947 accident with 1954 spectacles." That is, Courts must not, with the benefit of hindsight, judge too harshly doctors who act in accordance with prevailing standards of professional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proponents of eugenics believed that mentally ill persons tended to transmit their condition to their offspring. Imprecise though the state of scientific knowledge concerning the laws of inheritance was, it was sufficient to convince eugenists that reproduction by those with mental illnesses must be controlled. That belief was the basis of the sweeping statement of Justice O.W. Holmes that "three generations of imbeciles is enough". It was the basis of the comment in the Stewart Report that "psychotic parents are more likely to have psychotic children, and that feeble-minded parents are more likely to have feeble-minded children". The fact that science could not predict which, if any, of those children would actually inherit the condition, did not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medical evidence in this case established that with respect to schizophrenia and some manifestations of intellectual disability, persons involved in the science of genetics forty, fifty and sixty years ago believed that heredity played a significant role. Today, geneticists are still able to predict genetic transmission only in terms of statistical probabilities. However, science has gained sophistication with respect to estimating the chances of transmission. Offspring of a schizophrenic parent will have a tendency nine to sixteen times greater than the general population to suffer from that illness. Children of a mentally disabled person whose condition is identified as autosomal recessive in nature have a one in four chance of being born with the condition. It has been increasingly recognized that the transmission of many forms of mental disability is not well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Act, while in force, embodied a vague and encompassing genetic thesis that is now discredited. Section 4(1) of the Act required the Superintendent to ask whether the patient, by reason of the condition from which she or he suffered, was likely to have children with a tendency or inclination toward the same condition. I conclude that both schizophrenia and mental retardation were conditions that a medical officer in the shoes of the Superintendent could reasonably have concluded met the threshold question contained in s. 4(1) of the Act.</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of factors other than genetic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next issue is whether the Act permitted the Superintendent, once the threshold question was answered in the affirmative, to recommend sterilization for social and clinical reasons. On this issue, the plaintiffs argued that the Superintendent was confined to the threshold question of genetic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Section 4(2) of the Act directed the Superintendent, once he made the decision to recommend, to put the recommendation in writing, together with a statement setting out first, the "history of the inmate as shown in the records of the institution, so far as it bears upon the recommendation" and, second, "the reasons why sexual sterilization is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Section 4(2) is significant, in my view, because it appears to invite consideration of the patient's history without expressly describing or limiting the aspects of the history that could be considered. The history had only to "bear upon" the recommendation for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Significant, too, is the evidence concerning the administration of s. 4(2) throughout the forty years the statute was in force. In practice, the Superintendent's written recommendation was invariably accompanied by a summary of the patient's social and clinical history, prepared by the Essondale Social Work Department. That evidence was not confined to the cases of the eighteen plaintiffs, whose sterilizations occurred between 1940 and 1968. The Stewart Report, which chronicled the first ten years of the statute's operation and the sixty-four sterilizations carried out during those years, described the documents prepared by the Essondale staff for review by the Board of Eugenics. In every case, the Superintendent's recommendation was sent to the Board together with a "[s]ummary of social history prepared by the Social Work Department, with special stress upon any factors bearing upon the recommendation" (emphasis mine). These summaries were variably entitled "Social History for Board of Eugenics", "Eugenics Report", "Social Summary", and "Eugenics Board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From the evidence concerning the process followed by the Essondale staff throughout the life of the Act, I infer that those persons responsible for administering the legislation understood it to require the Superintendent to provide the Board with a summary of the patient's social history with emphasis on those aspects of the social history relevant to the recommendation for sterilization. I conclude that interpretation was open to the Superintendent in light of the broad threshold question contained in s. 4(1) of the Act, and the social engineering concepts underlying the theory of eugenics.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Ironically, the focus by the Superintendent on the patient's social history had the effect, whether intentional or not, of narrowing the otherwise broad scope of s. 4(1). Essondale's patient population was in the range of 3,500 patients during the years the Act was in force. It housed those diagnosed with the most serious mental illness and mental disability. According to Dr. McFarlane, the majority of patients suffered from schizophrenia; the most prevalent disorder after schizophrenia was manic depression (bipolar disorder). Patients diagnosed with mental retardation were admitted to Essondale only if they were also exhibiting signs of psychosis. Given the nature of the medical conditions suffered by the patients, and the belief that children of persons with these conditions tended to inherit them, most would have met the threshold of s. 4(1) so long as they were capable of having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patient's medical diagnosis, and its clinical manifestations, comprised the only medical information available to the Superintendent. In some cases, the patient's family history disclosed relatives who apparently suffered from mental illness or disability. However, there were (and are) no tests available to assist in predicting the pattern of genetic transmission of schizophrenia. While genetic factors were thought to play a significant role in mental disability, the relationship between genetic and environmental factors was largely unknown. The clinical and social histories of the patients were the only other factors available to the Superintendent when determining whether to recommend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legislation did not require, at any stage of the process, the participation of a geneticist. The Act expressly required the appointment of a judge, a psychiatrist and a social worker as the three members of the Board of Eugenics. In my view, the membership of the Board undermines the proposition of the plaintiffs that the Act, properly construed, limited the Superintendent to genetic considerations and prohibited reliance on therapeutic and social factors relating to the particular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argument that the Superintendent was confined to considering the "eugenic" purposes of the Act rests on the assumption that "eugenics" and "genetics" are synonymous terms. That, in my view, is not a sound assumption. Genetics is the study of heredity and the variation of inherited characteristics (Oxford English Dictionary, 1998). Eugenics is a concept or theory of improving a population by controlled breeding to increase the occurrence of socially desirable characteristics thought to be hereditary. As already noted, the eugenics movement espoused a doctrine of social control based on an overly broad and naive genetic theory. As observed by a geneticist on one of the committees struck to examine the medical and ethical questions surrounding the legislation shortly before its repeal, the wording of the Act made "any action based on genetic considerations alone virtually impossible". At most, eugenics was based on invalid genetic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 review of the Stewart Report discloses the strong element of social control underlying eugenic sterilization and its perceived benefits to society. According to the author, the Province's sterilization legislation operated to the benefit of both the patient and society by permitting patients to return to their homes rather than being confined indefinitely in an institution, protecting patients from the consequences of their promiscuity, preventing children from being raised by mentally ill parents or the state, and enabling handicapped persons to marry without risking pregnancy and the stresses of child-rearing. As a society we no longer hold those views, but the Stewart Report reflects the views held at the time and the views of those responsible for administering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wish to emphasize that currently the law does not permit sterilization of individuals for social or institutional reasons. Any question of that was resolved by the Supreme Court of Canada in Re Eve, </w:t>
      </w:r>
      <w:hyperlink r:id="rId830" w:history="1">
        <w:r>
          <w:rPr>
            <w:rFonts w:ascii="arial" w:eastAsia="arial" w:hAnsi="arial" w:cs="arial"/>
            <w:i/>
            <w:color w:val="0077CC"/>
            <w:sz w:val="20"/>
            <w:u w:val="single"/>
            <w:shd w:val="clear" w:color="auto" w:fill="FFFFFF"/>
            <w:lang w:val="en-US" w:eastAsia="en-US" w:bidi="ar-SA"/>
          </w:rPr>
          <w:t>[1986] 2 S.C.R. 388</w:t>
        </w:r>
      </w:hyperlink>
      <w:r>
        <w:rPr>
          <w:rFonts w:ascii="arial" w:eastAsia="arial" w:hAnsi="arial" w:cs="arial"/>
          <w:color w:val="000000"/>
          <w:sz w:val="20"/>
          <w:lang w:val="en-US" w:eastAsia="en-US" w:bidi="ar-SA"/>
        </w:rPr>
        <w:t>, in which the Court considered a request by the parent of a mentally disabled child to permit the child's sterilization. The Court denied the request, and in the course of doing so referred to the sterilization legislation at issue in this case (at pp. 428-29):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other reasons for approaching an application for sterilization of a mentally incompetent person with the utmost caution. To begin with, the decision involves values in an area where our social history clouds our vision and encourages many to perceive the mentally handicapped as somewhat less than human. This attitude has been aided and abetted by now discredited eugenic theories whose influence was felt in this country as well as the United States. Two provinces, Alberta and British Columbia, once had statutes providing for the sterilization of mental defectives....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social histories of the plaintiffs prepared by the Social Work Department for the Board of Eugenics, as well as the Superintendents' recommendations, contained these and other social considerations bearing on the recommendation for sterilization. In some cases, the patient was thought to be unable to properly parent children already in the home. In several cases, the patient had already given birth to children that had been apprehended by government agencies. In other cases, the patient's parents were unwilling to have the patient discharged to their care unless she was sterilized. In many cases, the summary emphasized the patient's "promiscuity" or preoccupation with sexual matters and the likely consequences of sexual activity. A recurring theme was the concern that the patient could not properly parent children, and that any resulting offspring would not be suitable for adoption. Another was the lack of supervision available, within the institution or the homes of the patients' families, to prevent the patient from becoming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language in the social histories that described the circumstances and behaviour of the patients is, by today's standards, uncompassionate, critical and judgment-laden. Patients who were sexually active or expressed the desire to be sexually active were invariably described as "promiscuous". Patients and their families were sometimes described as "misfits", "degenerate", or "of low type". Patients with children were described as "unfit to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language used to convey these social concerns, and the harsh value judgments it conveyed, would clearly be unacceptable today. The social concerns themselves could not, today, be advanced as reasons to sterilize mentally ill or disabled individuals. I refer again to Re Eve (supra), where the Court considered the dangers inherent in assessing fitness of persons with mental disabilities to parent their offspring: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argument relating to fitness as a parent involves many value-loaded questions. Studies conclude that mentally incompetent parents show as much fondness and concern for their children as other people.... Many, it is true, may have difficulty in coping, particularly with the financial burdens involved. But this issue does not relate to the benefit of the incompetent; it is a social problem, and one, moreover, that is not limited to incompetents. Above all it is not an issue that comes within the limited powers of the Courts, under the parens patriae jurisdiction, to do what is necessary for the benefit of persons who are unable to care for themselves. Indeed, there are human rights considerations that should make a Court extremely hesitant about attempting to solve a social problem like this by this means. It is worth noting that in dealing with such issues, provincial sterilization boards have revealed serious differences in their attitudes as between men and women, the poor and the rich, and people of different ethnic backgrounds.... (at p.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Court in Re Eve concluded that sterilization should never be judicially authorized for a social reason such as fitness to parent. In the words of Mr. Justice La Forest: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grave intrusion on a person's rights and the certain physical damage that ensues from non-therapeutic sterilization without consent, when compared to the highly questionable advantages that can result from it, have persuaded me that it can never safely be determined that such a procedure is for the benefit of that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difficult to imagine a case in which non-therapeutic sterilization could possibly be of benefit to the person on behalf of whom a Court purports to act, let alone one in which that procedure is necessary in his or her best interest. (at p. 431).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issue in Re Eve was whether the inherent parens patriae jurisdiction of the Court permitted it to sanction sexual sterilization for social reasons. The Court answered that question in the negative. The Court's reasons, issued in 1986, raised the question of whether legislation contemplating sterilization of the mentally ill and disabled for non-therapeutic reasons would survive a constitutional challenge: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sterilization of the mentally incompetent is to be adopted as desirable for general social purposes, the legislature is the appropriate body to do so. It is in a position to inform itself and it is attuned to the feelings of the public in making policy in this sensitive area. The actions of the legislature will then, of course, be subject to the scrutiny of the Courts under the Canadian Charter of Rights and Freedoms and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time went on, it became apparent to the legislature of this Province that the Act was no longer attuned to public opinion or scientific knowledge. However, I conclude that while in force, the legislation did not preclude consideration by the Superintendent of social reasons for a patient's sterilization, so long as he first satisfied himself that the patient met the threshold test of 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Having said that, the Superintendent's recommendation was in many cases not based exclusively, and in some cases not based primarily, on social factors. The written recommendations of the Superintendent, and, to a lesser extent, the social histories, also contained therapeutic or clinical concerns. One such concern was the effect of anti-psychotic medication on women who became pregnant. In the case of H.U., for example, the clinical record discloses concern on the part of physicians about the effect of the medication on her unborn child, and equal concern about the effect of taking H.U. off the medication that treated her psychosis. Another concern was the triggering or exacerbation of the patient's depression or psychosis by pregnancy or childbirth. Yet another was the clinical effect on the patient of confining her to a locked ward rather than permitting her access to the institution and the grounds, or the effect of continuing to confine her to the institution rather than discharging her to the care of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Sterilization for therapeutic reasons is not unlawful, so long as the anticipated benefits resulting from the operation exceed the harm or risk of harm to the patient if the operation is not performed. In Re K.; K. v. Public Trustee </w:t>
      </w:r>
      <w:hyperlink r:id="rId831" w:history="1">
        <w:r>
          <w:rPr>
            <w:rFonts w:ascii="arial" w:eastAsia="arial" w:hAnsi="arial" w:cs="arial"/>
            <w:i/>
            <w:color w:val="0077CC"/>
            <w:sz w:val="20"/>
            <w:u w:val="single"/>
            <w:shd w:val="clear" w:color="auto" w:fill="FFFFFF"/>
            <w:lang w:val="en-US" w:eastAsia="en-US" w:bidi="ar-SA"/>
          </w:rPr>
          <w:t>(1984), 60 B.C.L.R. 209</w:t>
        </w:r>
      </w:hyperlink>
      <w:r>
        <w:rPr>
          <w:rFonts w:ascii="arial" w:eastAsia="arial" w:hAnsi="arial" w:cs="arial"/>
          <w:color w:val="000000"/>
          <w:sz w:val="20"/>
          <w:lang w:val="en-US" w:eastAsia="en-US" w:bidi="ar-SA"/>
        </w:rPr>
        <w:t>, the issue for the Court was whether the parents of an intellectually disabled child could properly consent to a hysterectomy for the child prior to the onset of menstruation because she had a phobic reaction to the sight of blood. The trial judge concluded that the parents could not provide that consent. The Court of Appeal reversed the trial judge (</w:t>
      </w:r>
      <w:hyperlink r:id="rId832" w:history="1">
        <w:r>
          <w:rPr>
            <w:rFonts w:ascii="arial" w:eastAsia="arial" w:hAnsi="arial" w:cs="arial"/>
            <w:i/>
            <w:color w:val="0077CC"/>
            <w:sz w:val="20"/>
            <w:u w:val="single"/>
            <w:shd w:val="clear" w:color="auto" w:fill="FFFFFF"/>
            <w:lang w:val="en-US" w:eastAsia="en-US" w:bidi="ar-SA"/>
          </w:rPr>
          <w:t>(1985), 63 B.C.L.R. 145</w:t>
        </w:r>
      </w:hyperlink>
      <w:r>
        <w:rPr>
          <w:rFonts w:ascii="arial" w:eastAsia="arial" w:hAnsi="arial" w:cs="arial"/>
          <w:color w:val="000000"/>
          <w:sz w:val="20"/>
          <w:lang w:val="en-US" w:eastAsia="en-US" w:bidi="ar-SA"/>
        </w:rPr>
        <w:t>) on the basis that the purpose of the operation was to protect the child from the risk that if the operation were not performed she would be subject to increased trauma and her ability to progress in other ways would be significantly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Unlike the issue in Re Eve, where permission was sought to sterilize a child for social reasons, in Re K. the Court was asked to consider whether its parens patriae jurisdiction could be invoked to approve a child's sterilization for therapeutic reasons. The Court concluded that the issue was whether the benefits of the operation outweighed the harm or risk of harm to the infant if the operation was not performed. Where the benefits outweighed the risks, the parens patriae jurisdiction of the Court was engaged, and the right to bear children was only one of several factors to be considered. Anderson, J.A. said at p. 175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emphasize that the rights of children under our constitution include the right to be protected against unnecessary pain and suffering and right to forego other constitutional rights in order to avoid unnecessary pain and suffering. To have insisted on a meaningless retention of the right to reproduce, would have been, in the circumstances of this case, a direct breach of the right of infant K. to be protected against unnecessary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the present case, the Superintendent, as the chief medical officer, was required to consider any clinical factors bearing on the medical condition of his patients. In my view, no provision of the legislation in question here can be construed as suspending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summary, I conclude that the Act permitted the Superintendent to consider social and therapeutic factors bearing on the circumstances of the patient, so long as he was first satisfied that the patient met the threshold requirement of having a medical condition capable of genetic transmission.</w:t>
      </w:r>
      <w:r>
        <w:rPr>
          <w:rFonts w:ascii="arial" w:eastAsia="arial" w:hAnsi="arial" w:cs="arial"/>
          <w:sz w:val="20"/>
          <w:lang w:val="en-US" w:eastAsia="en-US" w:bidi="ar-SA"/>
        </w:rPr>
        <w:cr/>
      </w:r>
    </w:p>
    <w:p>
      <w:pPr>
        <w:numPr>
          <w:numId w:val="6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Superintendent knowingly exercise his powers for reasons foreign to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It follows from my conclusions concerning the scope of the legislation that the Superintendent acted within the powers conferred by the statute, even where his recommend-ations were based in part on social and therapeutic factors, so long as he was first satisfied that the patient's condition was capable of genetic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Even assuming the Act did not permit the Superintendent to consider social and therapeutic factors, the plaintiffs would still be required to establish that the Superintendent knew those factors were foreign to his recommending powers. Subjective intent, as noted by the Court in Powder Mountain Resorts, is notoriously difficult to prove. In this case, the plaintiffs were faced with the task of proving subjective intent on the part of individuals who have long since died, and on the basis of records that were incomplete. It was not possible to say whether the records disclosed all of the information considered by the Superintendent when he exercised his recommendation powers under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Further, on the basis of the evidence that was available, I infer that the Essondale staff charged with administering the legislation held the honest belief that they were required to prepare a social history of the patient for review by the Board of Eugenics, and that the social history was relevant to the Board's decision to authorize the patient's sterilization. The records of all of the eighteen plaintiffs in this case contained a social history prepared by a psychiatric social worker. The social history of the patient was invariably part of the record forwarded by the hospital to the Board of Eugenics.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author of the Stewart Report described the practice of preparing a social history of the patient as an integral part of the recommendation process. In each case, the summary was prepared by social workers required to place "special stress upon any factors bearing on the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infer from this practice that those charged with administering the legislation held a bona fide belief that social and clinical factors were relevant to the Superintendent's recommendation, and to the ultimate determination made by the Board of Eugenics.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Counsel for the plaintiffs argued that the 1971 memorandum of Dr. McFarlane was a "smoking gun" that demonstrated a lack of bona fides on the part of the Superintendents. Dr. McFarlane said in his memorandum that he believed patients were not primarily referred for eugenic purposes, although the Superintendent had to be in a position to state that the patient suffered from a condition thought to be hereditary.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plaintiffs' position concerning the alleged improper conduct of the Superintendents who recommended their sterilizations rested heavily on this comment in Dr. McFarlane's memorandum. They argued the memorandum established that the Superintendents knew their recommendations were based on factors foreign to the statute's purposes. I cannot agree with that argument. Even if the memorandum could be cast in that light - and in my view, it cannot - it is not proof of intentional misconduct on the part of any of the three Superintendents who made the recommendations over the twenty-eight year period that the plaintiffs were sterilized.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McFarlane was not responsible for making recommendations under the Act. He was not involved in the care of any patients who were recommended for sterilization, and had no direct knowledge of any of the plaintiffs' medical conditions. While he was of the view that the scientific validity of eugenics was questionable, his memorandum reflects his understanding that in each case the Superintendent had to be satisfied the patient suffered from a condition thought to be hereditary before he could recommend the patient's sterilization. More importantly, Dr. McFarlane's memo does not suggest that the Superintendents knowingly or recklessly based their recommendations on improper considerations, or on factors not permitted by the legislation, such that they knowingly acted unlawfully.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onus is not on the Provincial Crown to establish that the Superintendents acted with proper motives. It is for the plaintiffs to prove that the Superintendents deliberately, or recklessly, based their recommendations on irrelevant considerations. The evidence did not support that assertion. Dr. McFarlane was not addressing that issue when he wrote his memorandum. He was asked whether he thought the statute should be amended, and made his comments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only remaining question is whether the Superintendent recommended the sterilization of any of the plaintiffs knowing she or he did not suffer from a medical condition capable of genetic transmission, or was reckless as to whether he or she suffered from such 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eighteen plaintiffs were diagnosed with medical conditions thought to be genetically transmitted. It was argued on behalf of three of the plaintiffs who were diagnosed with mental retardation - L.C., P.H. and M.A.K. - and one of the plaintiffs diagnosed with schizophrenia - C.B. - that the medical evidence established their disabilities could not have resulted from genetic transmission. Counsel for the plaintiffs argued that the Superintendent must have known the conditions of these four were not hereditary.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have summarized the circumstances and medical condition of each of these plaintiffs, as disclosed by their clinical records, in Appendix A. For purposes of the issue under discussion, I will address only the evidence disclosed by the clinical records concerning the nature of the diagnosis of each of the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L.C. was sterilized in 1940. Her diagnosis was "Mental Retardation - Severe". She had a mental age of 3 1/2 years. A social worker who prepared L.C.'s social history recorded the comment of L.C.'s mother that her labour was prolonged and instruments were used during the birth. However, there was no medical opinion, or any comment in the clinical records by any physician treating L.C., linking L.C.'s mental disability to a birth injury. The Superintendent at the time, Dr. Ryan, expressed the view in his recommendation to the Board of Eugenics that L.C. was "of very low grade mentally and the tendency in such cases is to reproduce children of the same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P.H. was sterilized in 1945. Her diagnosis was "Mental Deficiency - Epileptic Moron". Her seizures were severe, and she was described as combative and violent. Her clinical records are obviously incomplete. The Superintendent's recommendation has been lost or destroyed, and the basis for his recommendation is unknown. A social history taken by a social worker records a comment made by P.H.'s mother that P.H. was born with the umbilical cord around her neck and her face was discoloured. There is no mention of this by the medical staff in the Ward Notes, nor is there any medical opinion in the clinical record linking this episode at birth to P.H.'s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M.A.K. was sterilized in 1966. She was admitted to Essondale with a diagnosis of "Chronic Brain Syndrome with Convulsive Disorder Associated with Mental Retardation and Psychotic Reaction". A social worker recorded in her social history that M.A.K.'s mother blamed M.A.K.'s mental disability and epilepsy on the anaesthetic administered by a nurse shortly before the birth. There is no mention of this by the medical staff in the Ward Notes or any medical opinion to support the mother's view. The Superintendent, Dr. Bryson, noted in his recommendation that it was possible M.A.K.'s offspring "would suffer from mental deficiency, epilepsy,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only admissible medical opinion concerning the plaintiffs with mental retardation, including L.C., P.H. and M.A.K., was that of Dr. Berg. He could not determine from the existing records whether the medical condition of any of these plaintiffs was, or was not, capable of genetic transmission. That opinion was unchallenged.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C.B. was diagnosed with paranoid schizophrenia. She was sterilized in 1968. The Superintendent's recommendation has not been found, and the basis for his recommendation is not known. Counsel for C.B. argued that her condition was triggered by a car accident, which, counsel submitted, must have been known by the hospital staff because it was mentioned in an entry found in the Ward Notes. The entry made reference to a decision of the Court of Appeal concerning an action brought by C.B.'s parents as a result of the accident. The entry in the Ward Notes does not, however, reflect the conclusions of the medical staff. Further, the inference I draw from the entry is that the car accident exacerbated a pre-existing condition rather than causing it. That inference is supported by the reasons of the Court of Appeal in its review of the findings of liability made by a jury in the action. The Court noted the medical evidence at trial disclosed that C.B.'s illness dated from her early childhood, well before she was injured in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C.B. and the other ten plaintiffs diagnosed with schizophrenia suffered from a condition that has, according to Dr. Bassett, a psychiatrist specializing in genetics and schizophrenia, a pronounced genetic predisposition.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have concluded that the existing Essondale records and the medical evidence led at trial do not support the plaintiffs' contention that the Superintendents recommended their sterilizations knowing that any of them suffered from conditions not capable of genetic transmission.</w:t>
      </w:r>
      <w:r>
        <w:rPr>
          <w:rFonts w:ascii="arial" w:eastAsia="arial" w:hAnsi="arial" w:cs="arial"/>
          <w:sz w:val="20"/>
          <w:lang w:val="en-US" w:eastAsia="en-US" w:bidi="ar-SA"/>
        </w:rPr>
        <w:cr/>
      </w:r>
    </w:p>
    <w:p>
      <w:pPr>
        <w:numPr>
          <w:numId w:val="6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the plaintiffs' capacity to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Under the Act, sterilization of a patient could not be authorized in the absence of the patient's consent or, if the patient lacked the capacity to consent, the consent of her next-of-kin. As already noted, the issue of the patient's capacity to consent was within the exclusive authority of the Board of Eugenics. The Superintendent's power under the Act was a recommending power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Although the plaintiffs acknowledged the Superintendent was not authorized to determine the patient's capacity to consent, they argued that the manner in which the Superintendent obtained the necessary consents demonstrated his lack of bona fides. They pointed to the Superintendent's practice of obtaining consents from both the patient and her family. That practice, they said, gave rise to an inference that the Superintendent knew none of the plaintiffs had the necessary mental capacity to provide consent yet he cynically proceeded to obtained a consent from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am unable to draw the inference urged by the plaintiffs. The evidence, in my view, gave rise to the inference that the Superintendent believed he was required to obtain consents from both the patient and her family. The Stewart Report described the invariable practice of obtaining and forwarding to the Board of Eugenics the signed consents of both the patient and her next-of-kin. Dr. Bryson, the Superintendent during the decade before the repeal of the Act, noted in his 1971 memorandum to Mr. Porteous that he understood the legislation to require the hospital to obtain the consent of both the patient and a relative or guardian for consideration by the Board of Eugenics.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Act did not require the Superintendent to obtain consents from the patient or her family. He did so only for the purpose of forwarding them to the Board of Eugenics for its determination as to whether the patient or her next-of-kin was the proper party to provide the consent. There was nothing sinister in the Superintendent's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summary, I conclude the plaintiffs did not establish that their consents were obtained improperly by the Superintendent, or that the manner in which he obtained the consents demonstrated a lack of bona fides on his part.</w:t>
      </w:r>
      <w:r>
        <w:rPr>
          <w:rFonts w:ascii="arial" w:eastAsia="arial" w:hAnsi="arial" w:cs="arial"/>
          <w:sz w:val="20"/>
          <w:lang w:val="en-US" w:eastAsia="en-US" w:bidi="ar-SA"/>
        </w:rPr>
        <w:cr/>
      </w:r>
    </w:p>
    <w:p>
      <w:pPr>
        <w:numPr>
          <w:numId w:val="6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in Muir v.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Before concluding my analysis concerning the tort of abuse of public office, I wish to address the decision in Muir v. Alberta (supra), where damages were awarded against the Province of Alberta for the sterilization of Ms. Muir under that province's eugenic sterilization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Madam Justice Veit of the Alberta Queen's Bench concluded in Muir that the acts of the defendant province were "unlawful, offensive and outrageous". While counsel for the plaintiffs did not suggest that the facts in Muir were similar to those before the Court in the present case, he argued that the acts of the Superintendent and other Essondale staff were equally capable of being characterized as unlawful, offensive and outrageous.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Ms. Muir commenced an action against the defendant province for the acts of the Alberta Eugenics Board and other servants of the Crown. It is not clear from the reasons of the Court whether Ms. Muir alleged the Eugenics Board abused its public office. It appears the action was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unlawful confinement and breach of fiduciary duty. There was little discussion by the Court about the causes of action on which Ms. Muir based her claim for damages, or the basis of liability, because the province accepted liability for the acts of the Eugenics Board and other Crown servants. The defendant also expressly declined to plead a limitation defence although Ms. Muir's action would otherwise have been time-barred. The issue before the Court in Muir was confined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Alberta legislation empowered its Eugenics Board to authorize the sterilization of institutionalized individuals for whom discharge had been proposed, in the event the Board was satisfied that "the patient might safely be discharged if the danger of procreation with its attendant risk of multiplication of the evil by transmission of the disability to progeny was eliminated". Consent was not required for the sterilization of persons diagnosed as "mentally defective". The evidence before the Court was that during the 44 years the legislation was in effect, the Board approved the sterilization of 2,822 residents from various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Muir was admitted at the age of ten to the Provincial Training School for Mental Defectives, and was confined there for over ten years. She was labelled as a mental defective although it was later determined she was in fact of normal intelligence. She was developmentally delayed as a result of the emotional abuse she suffered at the hands of her family. A psychiatric assessment, performed on Ms. Muir before her admission, suggested her difficulties were emotional rather than intellectual, yet none of the psychometric tests available to the medical personnel at the institution were performed to properly diagnose her condition. There were programs available at the time for children with emotional difficulties; those children were not labelled as mental defectives and were not institutionalized under mental health legislation. Had even the most rudimentary tests been performed on Ms. Muir, she would not have been confined in the institution for all those years and would certainly not have been sterilized.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records of the Eugenics Board had survived and were produced by the Province in the proceedings. Members of the Eugenics Board were available to testify. One of the Board members, a geneticist, testified that in many cases the Board authorized sterilizations knowing the patients did not fall within the parameters of the statute. The Board member acknowledged that the Board unilaterally modified the standard set by the legislation. She confirmed that many of the patients sterilized under the Board's authorization were not capable of having children, but the sterilizations were performed in order to collect tissue samples for medical experimentation. The Board member also confirmed that the medical director of the institution in which Ms. Muir was confined recommended many sterilizations so that inmates of the institution could be used as medical guinea pigs. Many of the individuals sterilized under the legislation were, like Ms. Muir, not suffering from a mental disability at all. The Court concluded from this evidence that Ms. Muir's sterilization arose in part from her wrongful confinement by the Province, and in part from the misconduct of the Eugenics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Muir gave evidence in the proceedings. She testified that she was not told her surgery involved her sterilization. She did not consent to sterilization. She thought she was having an appendectomy. It was not until many years later, after she married and was trying to conceive, that she was told by a gynaecologist that her fallopian tubes had been completely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Several medical specialists were called to testify on Ms. Muir's behalf, including psychiatrists and psychologists, most of whom had direct medical involvement with Ms. Muir. Individuals involved in the testing of children for mental disability also testified. Their evidence confirmed that Ms. Muir was of normal intelligence, and that the individuals entrusted with her care ought to have known that fact. As a result, Ms. Muir was awarded significant damages for wrongful confinement,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She was also awarded aggravated damages as a result of the deliberate unlawful conduct of the Eugenics Board and the medical staff at the institution in which she was confined.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circumstances in Muir are clearly distinguishable from those before the Court in the present actions. For the reasons given earlier, I do not accept the plaintiffs' argument that the actions of the Superintendent and other staff of Essondale could be characterized in the same manner as the conduct of those entrusted with the care of Ms. Muir.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plaintiffs' claims based on the tort of abuse of public office are dismissed.</w:t>
      </w:r>
      <w:r>
        <w:rPr>
          <w:rFonts w:ascii="arial" w:eastAsia="arial" w:hAnsi="arial" w:cs="arial"/>
          <w:sz w:val="20"/>
          <w:lang w:val="en-US" w:eastAsia="en-US" w:bidi="ar-SA"/>
        </w:rPr>
        <w:cr/>
      </w:r>
    </w:p>
    <w:p>
      <w:pPr>
        <w:numPr>
          <w:numId w:val="6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If there is no liability with respect to the claims based on abuse of public office, is the Provincial Crown liable under any of the other causes of action advanced by the plaintiffs? For the reasons that follow, I have concluded the answer is "no".</w:t>
      </w:r>
      <w:r>
        <w:rPr>
          <w:rFonts w:ascii="arial" w:eastAsia="arial" w:hAnsi="arial" w:cs="arial"/>
          <w:sz w:val="20"/>
          <w:lang w:val="en-US" w:eastAsia="en-US" w:bidi="ar-SA"/>
        </w:rPr>
        <w:cr/>
      </w:r>
    </w:p>
    <w:p>
      <w:pPr>
        <w:numPr>
          <w:numId w:val="6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Mental health legislation in force between 1940 and 1968 established public hospitals owned and operated by the Provincial Crown, which had the custody of hospital patients for their protection or welfare. When the plaintiffs in this case were admitted to Essondale, the Provincial Crown assumed responsibility for their care and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Guerin v. The Queen </w:t>
      </w:r>
      <w:hyperlink r:id="rId833"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 p. 384, the Supreme Court of Canada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by statute, agreement or perhaps by unilateral undertaking, one party has the obligation to act for the benefit of another, and that obligation carries with it a discretionary power, the party empowered thus becomes a fiduciary. Equity will then supervise the relationship by holding him to the fiduciary's strict standard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It is beyond question that the Superintendents owed a fiduciary duty to the vulnerable patients entrusted to their care. However, the plaintiffs' claim of breach of fiduciary duty rested on the argument that the Superintendents abused their public office by recommending the sterilizations for reasons irrelevant to the statute. My conclusion that the plaintiffs failed to establish abuse of public office fundamentally undermines their equitable claim based on the existence of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have concluded that the Superintendents acted lawfully within the authority granted them by the terms of the Act. They based their recommendations on factors they understood to be in accordance with the intent of the legislation and their duties as chief medical officers of the hospital. It follows that Superintendents did not breach their fiduciary duty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claims based on breach of fiduciary duty are dismissed.</w:t>
      </w:r>
      <w:r>
        <w:rPr>
          <w:rFonts w:ascii="arial" w:eastAsia="arial" w:hAnsi="arial" w:cs="arial"/>
          <w:sz w:val="20"/>
          <w:lang w:val="en-US" w:eastAsia="en-US" w:bidi="ar-SA"/>
        </w:rPr>
        <w:cr/>
      </w:r>
    </w:p>
    <w:p>
      <w:pPr>
        <w:numPr>
          <w:numId w:val="7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plaintiffs advanced, but did not vigorously pursue, the argument that the Superintendents fell short of an acceptable professional standard in performing their duties under the Act. They did not lead any evidence to support the argument that the Superintendents failed to meet the standard of care that would have been provided by a careful and competent physician practising during the times material to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Once again,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rested primarily on the argument that the Superintendents did not exercise their discretionary statutory powers on a bona fide basis. That argument did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claims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dismissed.</w:t>
      </w:r>
      <w:r>
        <w:rPr>
          <w:rFonts w:ascii="arial" w:eastAsia="arial" w:hAnsi="arial" w:cs="arial"/>
          <w:sz w:val="20"/>
          <w:lang w:val="en-US" w:eastAsia="en-US" w:bidi="ar-SA"/>
        </w:rPr>
        <w:cr/>
      </w:r>
    </w:p>
    <w:p>
      <w:pPr>
        <w:numPr>
          <w:numId w:val="7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plaintiffs argued that the sterilizations constituted a battery for essentially two reasons. First, none of the plaintiffs was capable of providing an informed consent to the operation. Second, although in each case the plaintiff or a relative consented to the operation, those consents were invalid because they were obtained for purposes not contemplated by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have concluded that the actions based on battery must fail. First, the Superintendents did not authorize the operations, nor did they retain the surgeons who carried out the operations. The sterilizations were authorized by the Board of Eugenics and carried out by physicians retained by the Board. The plaintiffs did not plead that the Board was an agent of the Crown, or that the Crown was vicariously liable for any actionable misconduct by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Board's role is key because the tort of battery has its origins in trespass. It consists of direct and harmful contact to the person without consent. Battery is based on direct interference with a plaintiff's person. Whatever force is required to constitute a battery must be applied directly by the defendant to the plaintiff's person. Battery is not committed where the act of the defendant only indirectly affects the plaintiff (Non-Marine Underwriters, Lloyd's of London v. Scalera, </w:t>
      </w:r>
      <w:hyperlink r:id="rId834"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Second, the plaintiffs and/or their next-of-kin consented to the surgery. As noted earlier, the authority to determine whether patients were capable of consenting to the operations rested entirely with the Board. The Superintendent routinely obtained consents from the patients and their families or guardians and forwarded them to the Board of Eugenics for its consideration, but it was for the Board to make the determination as to whether the consent of the patient, or the patient's family or guardian, was validly obtained. The conduct of the Board was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Finally, in light of my conclusion as to the scope of the Superintendent's powers of recommendation under the legislation, the plaintiffs' argument that their consents were obtained for purposes irrelevant to the Act must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claims based on battery are dismissed.</w:t>
      </w:r>
      <w:r>
        <w:rPr>
          <w:rFonts w:ascii="arial" w:eastAsia="arial" w:hAnsi="arial" w:cs="arial"/>
          <w:sz w:val="20"/>
          <w:lang w:val="en-US" w:eastAsia="en-US" w:bidi="ar-SA"/>
        </w:rPr>
        <w:cr/>
      </w:r>
    </w:p>
    <w:p>
      <w:pPr>
        <w:numPr>
          <w:numId w:val="7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DEFENCE: ARE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"BASED ON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Although I conclude that the claims of the plaintiffs must fail on their merits, I have also considered the Province's argument that the ultimate thirty-year limitation period under the Limitation Act provides a complete bar to the plaintiffs' actions. For the reasons that follow, I am of the view that the defence of the Province based on the limitation period must succeed.</w:t>
      </w:r>
      <w:r>
        <w:rPr>
          <w:rFonts w:ascii="arial" w:eastAsia="arial" w:hAnsi="arial" w:cs="arial"/>
          <w:sz w:val="20"/>
          <w:lang w:val="en-US" w:eastAsia="en-US" w:bidi="ar-SA"/>
        </w:rPr>
        <w:cr/>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Act: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Section 3(2)(a) of the Limitation Act provides that an action for damages based on injury to person or property is barred after two years. This two-year limitation period governs the plaintiffs' claims, but it is subject to certain provisos under the Limitation Act. Section 8 establishes a series of "ultimate limitation periods", which include six years for actions against hospitals and physicians (s. 8(1)(a) and (b)), and thirty years for other causes of action (s. 8(1)(c)).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its 1990 Report on the Ultimate Limitation Period, the Law Reform Commission of British Columbia identified a number of important policies served by limitation periods. These included finality in litigation, concerns with the diminishing quality of evidence over time, and the overriding notion of fairness in the litigation process. The Commission described these policy considerations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deteriorating evidence may cause difficulty for both plaintiffs and defendants in conducting litigation, defendants are more likely than plaintiffs to be prejudiced by the passage of time before an action is commenced because they may not be aware that a claim exists, and so would not have reason to collect and preserve the evidence in order to meet it. This is particularly true where the act or event which gives rise to the claim is one of a large number of similar acts or events which normally attract no adverse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Evolving legal and social standards give rise to another connection between procedural fairness and timeliness. If there are limitation periods, conduct which attracts legal consequences is more likely to be judged in light of the standards existing at the time of the conduct than if there are no restrictions on the plaintiff's ability to litigate. This rationale is of increasing importance, given the rate at which attitudes and norms currently change. New areas of liability arise continually in response to evolving sensitivities.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However, for certain causes of action, there is no ultimate limitation period. Sections 3(4)(k) and (l) abolish limitation periods for causes of action based on sexual misconduct and sexual assault. Section 3(4)(k) deals with actions "based on misconduct of a sexual nature, including, without limitation, sexual assault", where the misconduct occurred while the plaintiff was a minor. Section 3(4)(l) addresses actions "based on sexual assault", and is not limited to sexual assaults that occurred while the plaintiff was a minor. These provisions were enacted primarily in response to the problem of "delayed discoverability" facing incest and childhood sexual abuse survivors, and recognize the connection between sexual abuse and the resulting psychological harm.</w:t>
      </w:r>
      <w:r>
        <w:rPr>
          <w:rFonts w:ascii="arial" w:eastAsia="arial" w:hAnsi="arial" w:cs="arial"/>
          <w:sz w:val="20"/>
          <w:lang w:val="en-US" w:eastAsia="en-US" w:bidi="ar-SA"/>
        </w:rPr>
        <w:cr/>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Sterilizations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plaintiffs argued that their sterilizations, which they say resulted from the recommendations of the Superintendent, constituted sexual assault within the meaning of s. 3(4)(l) of the Limitation Act. There is no limitation period "for a cause of action based on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Not surprisingly, the plaintiffs could offer no direct authority for the proposition that the surgical sterilizations constituted sexual assault. In Muir v. Alberta (supra), the only other case involving wrongful sterilization of a patient under eugenic sterilization legislation, the defendant Province of Alberta waived its right to raise a limitation defence. The plaintiffs in the present case relied on authorities that have interpreted the term "sexual assault" in the criminal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Before the Criminal Code amendments of 1985, when the term "sexual assault" was first introduced, the term "indecent assault" was used to describe assaults that were sexual in nature. Upon the introduction of the new sexual assault provisions in the Code, the Ontario Court of Appeal in R. v. Taylor </w:t>
      </w:r>
      <w:hyperlink r:id="rId835" w:history="1">
        <w:r>
          <w:rPr>
            <w:rFonts w:ascii="arial" w:eastAsia="arial" w:hAnsi="arial" w:cs="arial"/>
            <w:i/>
            <w:color w:val="0077CC"/>
            <w:sz w:val="20"/>
            <w:u w:val="single"/>
            <w:shd w:val="clear" w:color="auto" w:fill="FFFFFF"/>
            <w:lang w:val="en-US" w:eastAsia="en-US" w:bidi="ar-SA"/>
          </w:rPr>
          <w:t>(1985), 44 C.R. (3d) 263</w:t>
        </w:r>
      </w:hyperlink>
      <w:r>
        <w:rPr>
          <w:rFonts w:ascii="arial" w:eastAsia="arial" w:hAnsi="arial" w:cs="arial"/>
          <w:color w:val="000000"/>
          <w:sz w:val="20"/>
          <w:lang w:val="en-US" w:eastAsia="en-US" w:bidi="ar-SA"/>
        </w:rPr>
        <w:t xml:space="preserve"> made the following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decades, juries were charged that indecent assault was an assault in circumstances of indecency.... Though this approach was susceptible to the comment that it was simply an assertion that an assault is indecent if it is indecent, it was nevertheless an approach perfectly understandable by generations of juries, and eminently practicable in the administration of the criminal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Under the indecent assault provisions, as under the current sexual assault provisions, indecent assault was a crime of general intent. In R v. Resener, </w:t>
      </w:r>
      <w:hyperlink r:id="rId836" w:history="1">
        <w:r>
          <w:rPr>
            <w:rFonts w:ascii="arial" w:eastAsia="arial" w:hAnsi="arial" w:cs="arial"/>
            <w:i/>
            <w:color w:val="0077CC"/>
            <w:sz w:val="20"/>
            <w:u w:val="single"/>
            <w:shd w:val="clear" w:color="auto" w:fill="FFFFFF"/>
            <w:lang w:val="en-US" w:eastAsia="en-US" w:bidi="ar-SA"/>
          </w:rPr>
          <w:t>[1968] 4 C.C.C. 129</w:t>
        </w:r>
      </w:hyperlink>
      <w:r>
        <w:rPr>
          <w:rFonts w:ascii="arial" w:eastAsia="arial" w:hAnsi="arial" w:cs="arial"/>
          <w:color w:val="000000"/>
          <w:sz w:val="20"/>
          <w:lang w:val="en-US" w:eastAsia="en-US" w:bidi="ar-SA"/>
        </w:rPr>
        <w:t xml:space="preserve"> (B.C.C.A.) (cited with approval by the Supreme Court of Canada in Leary v. The Queen, </w:t>
      </w:r>
      <w:hyperlink r:id="rId837" w:history="1">
        <w:r>
          <w:rPr>
            <w:rFonts w:ascii="arial" w:eastAsia="arial" w:hAnsi="arial" w:cs="arial"/>
            <w:i/>
            <w:color w:val="0077CC"/>
            <w:sz w:val="20"/>
            <w:u w:val="single"/>
            <w:shd w:val="clear" w:color="auto" w:fill="FFFFFF"/>
            <w:lang w:val="en-US" w:eastAsia="en-US" w:bidi="ar-SA"/>
          </w:rPr>
          <w:t>[1978] 1 S.C.R. 29</w:t>
        </w:r>
      </w:hyperlink>
      <w:r>
        <w:rPr>
          <w:rFonts w:ascii="arial" w:eastAsia="arial" w:hAnsi="arial" w:cs="arial"/>
          <w:color w:val="000000"/>
          <w:sz w:val="20"/>
          <w:lang w:val="en-US" w:eastAsia="en-US" w:bidi="ar-SA"/>
        </w:rPr>
        <w:t>) the Court of Appeal of this Province explained that "[t]he spoken words form part of the circumstances in which an act is done, and it is the circumstances as a whole that make an act indecent, not the state of mind of the actor revealed by his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When the new provisions for sexual assault came into effect, the Supreme Court of Canada in R v. Chase, </w:t>
      </w:r>
      <w:hyperlink r:id="rId838" w:history="1">
        <w:r>
          <w:rPr>
            <w:rFonts w:ascii="arial" w:eastAsia="arial" w:hAnsi="arial" w:cs="arial"/>
            <w:i/>
            <w:color w:val="0077CC"/>
            <w:sz w:val="20"/>
            <w:u w:val="single"/>
            <w:shd w:val="clear" w:color="auto" w:fill="FFFFFF"/>
            <w:lang w:val="en-US" w:eastAsia="en-US" w:bidi="ar-SA"/>
          </w:rPr>
          <w:t>[1987] 2 S.C.R. 293</w:t>
        </w:r>
      </w:hyperlink>
      <w:r>
        <w:rPr>
          <w:rFonts w:ascii="arial" w:eastAsia="arial" w:hAnsi="arial" w:cs="arial"/>
          <w:color w:val="000000"/>
          <w:sz w:val="20"/>
          <w:lang w:val="en-US" w:eastAsia="en-US" w:bidi="ar-SA"/>
        </w:rPr>
        <w:t xml:space="preserve"> defined "sexual assault" as "an assault ... which is committed in circumstances of a sexual nature, such that the sexual integrity of the victim is violated." The Court went on to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to be applied in determining whether the impugned conduct has the requisite sexual nature is an objective one: "Viewed in light of all the circumstances, is the sexual or carnal context of the assault visible to the reasonable observer?" (Taylor, supra, per Laycraft, C.J.A. at p. 269). The part of the body touched, the nature of the contact, the situation in which it occurred, the words and gestures accompanying the act, and all other circumstances surrounding the conduct, including threats which may or may not be accompanied by force, will be relevant.... The intent or purpose of the person committing the act, to the extent that this may appear from the evidence, may also be a factor in considering whether the conduct is sexual. If the motive of the accused is sexual gratification, to the extent that this may appear from the evidence, it may be a factor in determining whether the conduct is sexual. It must be emphasized, however, that the existence of such a motive is simply one of many factors to be considered, the importance of which will vary depending on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arriving at its definition of sexual assault, the Court was guided by the earlier law on indecent assault, although it was also careful to point out that sexual assault was a new offence and did not merely duplicate the offences it replaced. McIntyre, J.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clear that the concept of a sexual assault differs from that of the former indecent assault, it is nevertheless equally clear that the terms overlap in many respects and sexual assault in many cases will involve the same sort of conduct that formerly would have justified a conviction for an indecent assault. The definitional approach to indecent assault, also an offence not defined the Criminal Code, therefore offers a guide in our approach to the new offence, as recognized by Laycraft, C.J.A. After many years of dealing with the concept of indecent assault, the courts developed the definition , "an assault in circumstances of indecency". This, of course, was an imprecise definition but everyone knew what an indecent assault was. The law in that respect was reasonably clear and there was little difficulty with its enforcement. In my view then, a similar approach may be adopted in formulating a definition of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R. v. Litchfield </w:t>
      </w:r>
      <w:hyperlink r:id="rId839" w:history="1">
        <w:r>
          <w:rPr>
            <w:rFonts w:ascii="arial" w:eastAsia="arial" w:hAnsi="arial" w:cs="arial"/>
            <w:i/>
            <w:color w:val="0077CC"/>
            <w:sz w:val="20"/>
            <w:u w:val="single"/>
            <w:shd w:val="clear" w:color="auto" w:fill="FFFFFF"/>
            <w:lang w:val="en-US" w:eastAsia="en-US" w:bidi="ar-SA"/>
          </w:rPr>
          <w:t>(1993), 86 C.C.C. (3d) 97</w:t>
        </w:r>
      </w:hyperlink>
      <w:r>
        <w:rPr>
          <w:rFonts w:ascii="arial" w:eastAsia="arial" w:hAnsi="arial" w:cs="arial"/>
          <w:color w:val="000000"/>
          <w:sz w:val="20"/>
          <w:lang w:val="en-US" w:eastAsia="en-US" w:bidi="ar-SA"/>
        </w:rPr>
        <w:t>, it was noted that "the sexual aspect of a sexual assault forms part of the actus rea; there is no requirement that a person accused of sexual assault have any mens rea with respect to the sexual nature of a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plaintiffs relied heavily on the case of R. v. V. (K.B.), </w:t>
      </w:r>
      <w:hyperlink r:id="rId840" w:history="1">
        <w:r>
          <w:rPr>
            <w:rFonts w:ascii="arial" w:eastAsia="arial" w:hAnsi="arial" w:cs="arial"/>
            <w:i/>
            <w:color w:val="0077CC"/>
            <w:sz w:val="20"/>
            <w:u w:val="single"/>
            <w:shd w:val="clear" w:color="auto" w:fill="FFFFFF"/>
            <w:lang w:val="en-US" w:eastAsia="en-US" w:bidi="ar-SA"/>
          </w:rPr>
          <w:t>[1993] 2 S.C.R. 857</w:t>
        </w:r>
      </w:hyperlink>
      <w:r>
        <w:rPr>
          <w:rFonts w:ascii="arial" w:eastAsia="arial" w:hAnsi="arial" w:cs="arial"/>
          <w:color w:val="000000"/>
          <w:sz w:val="20"/>
          <w:lang w:val="en-US" w:eastAsia="en-US" w:bidi="ar-SA"/>
        </w:rPr>
        <w:t xml:space="preserve">, in which the Supreme Court of Canada held that the offence could be made out despite the absence of sexual gratification. The Court said that a sexual assault does not require sexuality and may not even involve sexuality; it is an act of power, aggression and control. In that case, the accused had grabbed the genitals of his three year old son to discipline him for grabbing others' genitals, and to demonstrate the pain it caused. The trial judge convicted the accused of sexual assault. The Ontario Court of Appeal overturned the conviction, </w:t>
      </w:r>
      <w:hyperlink r:id="rId841" w:history="1">
        <w:r>
          <w:rPr>
            <w:rFonts w:ascii="arial" w:eastAsia="arial" w:hAnsi="arial" w:cs="arial"/>
            <w:i/>
            <w:color w:val="0077CC"/>
            <w:sz w:val="20"/>
            <w:u w:val="single"/>
            <w:shd w:val="clear" w:color="auto" w:fill="FFFFFF"/>
            <w:lang w:val="en-US" w:eastAsia="en-US" w:bidi="ar-SA"/>
          </w:rPr>
          <w:t>8 O.R. (3d) 20</w:t>
        </w:r>
      </w:hyperlink>
      <w:r>
        <w:rPr>
          <w:rFonts w:ascii="arial" w:eastAsia="arial" w:hAnsi="arial" w:cs="arial"/>
          <w:color w:val="000000"/>
          <w:sz w:val="20"/>
          <w:lang w:val="en-US" w:eastAsia="en-US" w:bidi="ar-SA"/>
        </w:rPr>
        <w:t>. The Supreme Court of Canada restored the conviction. The majority of the Court concluded that it was open to the trial judge to conclude from all the circumstances that the sexual privacy or integrity of the accused's son was violated and that, accordingly, the assault was sexual in nature. In dissenting reasons, Sopinka, J. expressed the view that the trial judge failed to accord any weight to the absence of any motive or intent on the part of the accused to seek sexual gratification in doing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accept that the scope of the term "sexual assault" need not be determined entirely on the basis of criminal law concepts. Nevertheless, s. 3(4)(l) refers to actions "based on sexual assault". Judicial interpretation of "sexual assault" in the context of its use in the Criminal Code is, at the very least, a useful guide. In my view, although the term is used in the context of legislation dealing with limitation periods, the Court is required to examine all of the circumstances of the case to determine whether an assault is sexual in nature. Some of the important aspects of this inquiry are the part of the body touched, the situation in which the contact or touching occurred, the nature of the contact, and the words and gestures accompanying the contact. Regardless of the presence or absence of sexual gratification by the person initiating the contact, consideration of these factors will assist the Court in determining whether, in the words of McIntyre, J. in Chase, "the sexual or carnal context of the assault [is] visible to the reasonable observer."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the present case, tubal ligations were performed on the female plaintiffs, and a vasectomy on the one male plaintiff. The surgeries were carried out by physicians who had obtained authorizations from the Board of Eugenics in accordance with the Act. The question, then, is whether the circumstances of these surgeries were such that a sexual or carnal context would be visible to the reasonable observer.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my view, no sexual or carnal context would have been apparent to anyone involved in the sterilization of the plaintiffs. From the perspective of the physicians performing them, the sterilizations were strictly medical procedures authorized by the Board of Eugenics. From the perspective of the Superintendents who recommended them, the sterilizations were surgeries performed as a means of birth control authorized by statute. Even if the Superintendent had engaged in social engineering not authorized by the empowering statute when he recommended the sterilizations - which I have concluded he did not - his acts, while unlawful, would not constitute sexual assaults on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summary, the actions brought by the plaintiffs do not constitute "cause[s] of action based on sexual assault" within the meaning of s. 3(4)(1) of the Limitation Act. Their actions are therefore barred by the ultimate limitation period described in s. 8(1)(c).</w:t>
      </w:r>
      <w:r>
        <w:rPr>
          <w:rFonts w:ascii="arial" w:eastAsia="arial" w:hAnsi="arial" w:cs="arial"/>
          <w:sz w:val="20"/>
          <w:lang w:val="en-US" w:eastAsia="en-US" w:bidi="ar-SA"/>
        </w:rPr>
        <w:cr/>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eugenic legislation under which the eighteen plaintiffs were sterilized was, in the words of one proponent of its repeal, "a sociological concept under the guise of a genetic thesis far from proven and uncertain in its application". The plaintiffs suffered from serious mental illness or mental disability at the time of their sterilizations. Many were from families marginalized by social and economic disadvantage. Their vulnerability placed them within the reach of the now-discredited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Provincial Crown did not defend the legislation. It agreed with the plaintiffs that the eugenic underpinnings of the Act cannot be morally or scientifically justified today. But the Province argued that the Superintendents of Essondale who recommended the plaintiffs' sterilizations acted in accordance with their statutory authority and their duties as physicians. I have concluded that argument must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summary, my conclusions are as follows:</w:t>
      </w:r>
      <w:r>
        <w:rPr>
          <w:rFonts w:ascii="arial" w:eastAsia="arial" w:hAnsi="arial" w:cs="arial"/>
          <w:sz w:val="20"/>
          <w:lang w:val="en-US" w:eastAsia="en-US" w:bidi="ar-SA"/>
        </w:rPr>
        <w:cr/>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did not abuse his public office, or engage in any other unlawful conduct, by recommending to the Board of Eugenics the sexual sterilization of the eighteen plaintiffs in this case; and</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of the eighteen plaintiffs are not actions "based on sexual assault" within the meaning of the Limitation Act, and accordingly they are barred by the ultimate thirty-year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parties may now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CLINICAL EVIDENCE OF THE PLAINTIFFS' MEDICAL DISORDERS</w:t>
      </w:r>
      <w:r>
        <w:rPr>
          <w:rFonts w:ascii="arial" w:eastAsia="arial" w:hAnsi="arial" w:cs="arial"/>
          <w:sz w:val="20"/>
          <w:lang w:val="en-US" w:eastAsia="en-US" w:bidi="ar-SA"/>
        </w:rPr>
        <w:cr/>
      </w:r>
    </w:p>
    <w:p>
      <w:pPr>
        <w:numPr>
          <w:numId w:val="8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Diagnosed With Schizophrenia</w:t>
      </w:r>
    </w:p>
    <w:p>
      <w:pPr>
        <w:numPr>
          <w:numId w:val="8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H.U. was first admitted to the PMH in August 1948, with a diagnosis of "Schizophrenic Reaction - Simple Type". She left the hospital in June 1963, without permission. She was readmitted in October 1963, having been transferred from a mental health facility in Ontario where she had been admitted. She was described at the time of readmission to the PMH as "...grossly delusional, disoriented..., hallucinating and showing a very marked thought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H.U.'s mother and two brothers were hospitalized at the PMH. Her brothers were treated for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While out of hospital, H.U. had become pregnant. Her attending psychiatrist made the following entry on her chart on November 7, 1963: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as a psychiatrist, that in the interests of her mental health, this pregnancy be terminated and, also, if it comes to term, the hereditary factors are such that we could not recommend the baby for adoption and it would be raised in foster homes with every chance of succumbing to mental illness. Continuation of this pregnancy is likely to exacerbate her present severe psychosis which can only be controlled by a dosage of ataractic drugs which could well be injurious to the foetus...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our intention, after the termination of this pregnancy, to bring this lady before the Honourable Mr. Justice Craig F. Munroe, for consideration by the Board of Eugenics for sexual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H.U. had an abortion a few weeks later. She signed a consent to a tubal ligation on January 28, 1964. There is no evidence as to the circumstances in which the consent was signed. The Supervisor of Social Services at the PMH, in her report to the Board of Eugenics dated March 2, 1964, noted "The patient herself is willing to have the operation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Superintendent in 1964 was Dr. Bryson. He made his recommendation under s. 4 of the Act on April 3, 1964. Tracking the language of the statute, Dr. Bryson stated his opinion that H.U., if discharged without being sterilized, would likely have children with a tendency to serious mental disease or disorder. He went on to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has been severely ill mentally and is progressively regressing. There have been many incidences of mental illness in her family, namely, her mother and two brothers who were admitted to this Hospital... . The prospects of recovery and release from hospital are very limited, however, the patient is liable to escape from the Hospital and become pregnant, as has happened in the past. Her promiscuity and poor control oblige us to keep her under constant supervision and to restrict her from any privileges... . It should be noted that following her last pregnancy the patient became extremely depressed and regressed and it took considerable treatment and time to overcome the traumatic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Superintendent's recommendation was sent to the Board of Eugenics, along with H.U.'s signed consent and a "Eugenics Report" completed by the Social Services Department of the PMH which described the social factors bearing on H.U.'s case. H.U. appeared before the Board of Eugenics on June 30, 1964. The Board's written authorization for sterilization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...we...authorize Doctor J.W. Wilson, or any other member of that staff whom he may delegate, to perform the operation for sterilization of [H.U.].</w:t>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R.U. was admitted to the PMH with a diagnosis of "Simple Schizophrenia". Her mother and brother were admitted to the PMH with the same diagnosis at about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R.U. signed a consent to a tubal ligation on October 22, 1963, and her father signed a consent to that surgery as her next-of-kin on October 8, 1963. There is no evidence as to the circumstances under which the consents were obtained, with the exception of a letter from a staff psychiatrist to R.U.'s father, seeking his consent as her next-of-kin and advising that it was in his daughter's best interests. In the letter the psychiatrist states: "Your daughter has agreed to the desirability of this operation and has given her written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Bryson, as Superintendent, made his recommendation to the Board of Eugenics on October 2, 1963. After stating his belief that R.U., if not sterilized, would likely bear children with a tendency to serious mental disease,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history indicates a long-standing state of disturbed behaviour in terms of ... sexual promiscuity.... Her brother is a patient of the Provincial Mental Hospital and her mother is a patient in the Crease Clinic at this time. In addition, her father, two brothers and a maternal uncle were reportedly similarly mentally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PMH Ward Notes disclose that on October 10, 1963, R.U. "appeared before the Board of Eugenics at the Court House, Vancouver, B.C. and Authority for Sexual Sterilization was granted in her case".</w:t>
      </w:r>
      <w:r>
        <w:rPr>
          <w:rFonts w:ascii="arial" w:eastAsia="arial" w:hAnsi="arial" w:cs="arial"/>
          <w:sz w:val="20"/>
          <w:lang w:val="en-US" w:eastAsia="en-US" w:bidi="ar-SA"/>
        </w:rPr>
        <w:cr/>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C.B. was first admitted to the PMH in 1960, and was readmitted on several occasions. The PMH Ward Notes disclose that C.B., while discharged from the hospital, had an affair with a sailor resulting in an illegitimate daughter. When she was readmitted in May 1965, she was diagnosed as a "chronic undifferentiated and paranoid schizophrenic". The admitting Ward Note of her attending psychiatrist (May 4, 1966)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admission, patient was excited and had ... delusional ideas and from her behaviour, was probably auditorily [sic] hallucinated ... The content of the patient's delusional system is worrying with regard to the child's future. In addition, she has expressed the idea that she ought to share her medicine with the child to help the child along. During this admission, two points have to be considered, one, the patient's sterilization, two, patient's access to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Counsel for C.B. argued there was evidence establishing that C.B.'s schizophrenia was precipitated by a car accident, and, that being the case, the Superintendent must have known that C.B.'s illness was not hereditary. Counsel pointed to an entry in the Ward Notes dated June 17, 1967. That note, however, does not reflect the conclusions of the hospital's medical personnel. The note merely reflects the opinion of an unidentified third party that was recorded by the staff person who made the entry in the Ward Notes. As such, the note does not fall within the business records exception to the hearsay rule and cannot be relied upon for its truth. In any event, the note is more suggestive of the exacerbation of pre-existing symptoms than of causation. It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worth noting that she had a car accident in 1957, sustaining a minor skin injury to the right forehead and had several skin graftings. It is reported that personality and behaviour changes became more pronounced after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C.B.'s counsel also relied on a Judgment of the Court of Appeal upholding a damages award by a jury in a lawsuit brought by C.B. with respect to the car accident. The Attorney General argued that the comments in the Judgment were not admissible to prove the cause of C.B.'s illness. In my view, admissible for that purpose or not, the Reasons of the Court of Appeal do not establish that a car accident caused C.B.'s schizophrenia. The Court of Appeal observed at p. 7 of its Reasons that "the plaintiff was suffering from a schizophrenic condition prior to the accident, which began ... in early childhood." As I read the Judgment, the issue was whether the scarring caused by the accident had exacerbated C.B.'s pre-existing condition. Some time after the accident, C.B. became obsessed with the scar, which seemed to precipitate a specific delusional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Ward Notes suggest C.B. may also have suffered brain damage in the accident. One entry (June 14, 1966) reflects the view of a staff psychiatrist that the pre-existing psychosis and the subsequent brain damage explained the severity of C.B's clinical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C.B.'s case, much of the documentary evidence is missing. Many of the clinical records were destroyed in 1986 in accordance with hospital policy. The main source of information about C.B. is derived from the Ward Notes. No recommendation from the Superintendent was found in C.B.'s hospitalization records. The Ward Notes disclose that C.B. appeared twice before the Board of Eugenics, once in 1966 and again in 1968.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An entry by C.B.'s attending psychiatrist in the Ward Notes for October 6, 1966,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today, October 6, 1966, appeared before the Board of Eugenics at the Court House, Vancouver, B.C., and authority for Sexual Sterilization was not granted in her case as the patient revoked her written consent...upon her appearance before the board...insisting that she wanted to marry her boyfriend from the Riverside Unit and have children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relevant Ward Note entries for 1968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interviewed, [C.B.] states that she would like to be sterilized (to have her tubes tied). She said this was because she thought her physical health was not good and she did have various hypocondriacal [sic] complaints about stomach ache and vomiting.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today, September 30th, 1968, appeared before only two members of the Board of Eugenics, Dr. R.L. Whitman and Miss Evelyn S. Kidd, at the Court House...as the third member of the Board, the Honourable Mr. Justice F. Craig Munroe, failed to appear. Arrangements were then made to have [C.B.] return...on October 10th, 1968...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today, October 10th, 1968, appeared before the third member of the Board of Eugenics, the Honourable Mr. Justice F. Craig Munroe, at the Court House...and Authority for Sexual Sterilization was granted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There is a signed consent of C.B. dated July 28, 1968, as well as a consent signed by C.B.'s mother as her next of kin dated July 27, 1968. There is, however, no evidence of the process by which her consent was obtained. Because the recommendation by the Superintendent is missing, the identity of the individual who may have made the authorization is not known. The Superintendent's reasons for the recommendation, if in fact one was made, are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only other surviving document is the "Eugenics Board Summary" prepared by a PMH social worker which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...[C.B] became pregnant illegitimately twice in eighteen months. Her first child is being cared for by her family and the second has been placed by the Department of Child Welfare... . We are unaware of any social resources who could help this girl to a better adjustment while protecting her from her own poor impulse control and promiscuous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allow this inadequate girl to live outside the hospital setting without producing children of uncertain endowment, for whom adoption might prove difficult, sexual sterilization is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Ward Notes disclose that C.B. was sterilized in November, 1968. She was discharged into the care of her mother in 1969.</w:t>
      </w:r>
      <w:r>
        <w:rPr>
          <w:rFonts w:ascii="arial" w:eastAsia="arial" w:hAnsi="arial" w:cs="arial"/>
          <w:sz w:val="20"/>
          <w:lang w:val="en-US" w:eastAsia="en-US" w:bidi="ar-SA"/>
        </w:rPr>
        <w:cr/>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E.D. was admitted to the PMH on May 11, 1956, with a diagnosis of hebephrenic schizophrenia. His mother had been admitted six years earlier with a diagnosis of simple schizophrenia, and discharged a year before E.D. was admitted. The Ward Notes described him, upon admission, as delusional, catatonic and suicidal. He was preoccupied with sex. He made sexual overtures to other patients and masturbated in front of them. During his hospitalization, a female patient alleged that he had sexually assaulted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An entry in the Ward Notes for November 12, 1956,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a borderline intelligence, a Grade V11 education, a prostitute mother and a moron sister, both of whom have been in the mental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It appears from the Ward Notes that over the next two years, E.D.'s condition improved and discharge was being considered. An entry dated January 6, 1959, by a staff psychiatrist, Dr. Mills,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21 year old patient had sterilization suggested to him earlier this year by Dr. Arrowsmith. When I met him casually in the hall the other day, he mentioned that he had been thinking the matter over and was agreeable to this procedure... . For myself, I feel that this procedure, while it might be a social solution, would be detrimental in a psychiatric way for this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hospital records indicate that one of the psychiatrists who had been treating E.D., Dr. Arrowsmith, had encouraged E.D. to consider sterilization. The doctor wrote a memo to one of the social workers at the PMH, recounting a conversation the doctor had with E.D. advising him there was a risk he might pass on his mental illness to any children he may have. Dr. Arrowsmith disclosed that he had attempted to "sell" the idea of sterilization to E.D. by emphasizing the inheritability of E.D's condition. Dr. Arrowsmith's relationship to the PMH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E.D. signed a written consent to sterilization on April 8, 1959, witnessed by a Dr. McGregor. There is no evidence as to what, if anything, Dr. McGregor, or anyone else, said to E.D. before he signed the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Superintendent at the time was Dr. Caunt. His recommendation to the Board of Eugenics, dated May 7, 1959, began with his belief, stated in the terms of the statute, that if E.D. was discharged without sterilization he would have children with a tendency to serious mental disease or deficiency. He then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single man was a patient in the Crease Clinic from November of 1955 to February of 1956. His diagnosis at that time was Schizophrenic Reaction, Catatonic Type. He was committed to the PMH on May ll, 1956, and is still a patient here... . A psychological testing, undertaken on December 4, 1958, indicated that intellectually this man could be classified in the borderline range between dull normal and mentally deficient... . His mother was a patient in this hospital from 1950 to 1955 and her diagnosis was Schizophrenic Reaction, Simple Type. His sister has had two admissions to this Hospital. On her first admission, she was diagnosed as Depressive - Hypomanic. On her second admission, she was diagnosed as Mental Deficiency -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details of the medical history of E.D.'s mother and sister do not appear in E.D.'s surviving hospitalization records. Dr. Caunt must have searched other hospital records to obtain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Board of Eugenics authorized E.D. 's sterilization on May 23, 1959. A vasectomy was performed on June 3, 1959.</w:t>
      </w:r>
      <w:r>
        <w:rPr>
          <w:rFonts w:ascii="arial" w:eastAsia="arial" w:hAnsi="arial" w:cs="arial"/>
          <w:sz w:val="20"/>
          <w:lang w:val="en-US" w:eastAsia="en-US" w:bidi="ar-SA"/>
        </w:rPr>
        <w:cr/>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B.J. was first admitted to the PMH in 1955 with a diagnosis of Schizophrenic Reaction, Acute Undifferentiated Type, and was discharged a few months later. She was readmitted with the same diagnosis in 1959 and 1961. She suffered from delusions and hallucinations and was sexually preoccupied. Her attending psychiatrist observed in the Ward Notes that her step-parents were very concerned that she may become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 "Social Summary" prepared for the Board of Eugenics by the PMH Social Services Department described the following comments of B.J.'s stepmother: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has been obsessed with men and sex for the past ten years and she is currently greatly afraid that the patient will become pregnant since the patient constantly writes to her of her plans to marry a West Lawn patient, and claiming she is having sexual experience and going out of bounds in hospital grounds with her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Superintendent, Dr. Caunt, wrote a memo to Dr. Boulding, a Unit Director, asking him to investigate the report of the liaison between B.J. and the West Lawn patient and to determine whether the case ought to be considered by the Board of Eugenics. The Social Summary states as the reason for the referral to the Board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sexual nature of the patient's delusions and preoccupations, her mental retardation, and the lack of adequate supervision afforded by her family, sterilization is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B.J. signed a written consent to sterilization on May 7, 1962. However, a letter from her stepmother dated May 31, 1962 disclosed that B.J. had changed her mind and, as a result, the stepmother declined to sign a consent as her next-of-kin. On June 15, 1962, B.J.'s sister signed a consent as B.J.'s next-of-kin. There was nothing in the records to indicate the circumstances in which the consent of B.J.'s sister was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Caunt was the Superintendent of the PMH at the time. His written recommendation concerning B.J. is dated August 17, 1962. He states his belief, in the language of the statute, that if discharged without sterilization, she would likely bear children with a tendency to serious mental disease or deficiency. He then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thirty-one year old mental defective will require to stay in hospital indefinitely, unless she is given the protection of sexual sterilization. Her liberties at the hospital have to be restricted because of her promiscuity. The patient's impairment is moderate and she could probably be rehabilitated if she were given the benefit of sexual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An entry in the Ward Notes dated September 6, 1962, discloses that B.J. appeared before the Board of Eugenics on that date and authority for her sterilization was granted. The operation was performed September 11, 1962.</w:t>
      </w:r>
      <w:r>
        <w:rPr>
          <w:rFonts w:ascii="arial" w:eastAsia="arial" w:hAnsi="arial" w:cs="arial"/>
          <w:sz w:val="20"/>
          <w:lang w:val="en-US" w:eastAsia="en-US" w:bidi="ar-SA"/>
        </w:rPr>
        <w:cr/>
      </w:r>
    </w:p>
    <w:p>
      <w:pPr>
        <w:numPr>
          <w:numId w:val="8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E.F. was admitted to the PMH on April 1, 1963. She was diagnosed with simple schizophrenia "associated with mental retardation probably on imbecile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Eugenics Board summary prepared by the PMH Social Services Department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obvious that should [E.F.] ever become pregnant she would be incapable of looking after the child. Adoption would be difficult with this heredity. It is unlikely that [E.F.] will return to relatives, but it is just possible that she might at some time go to a boarding home or nursing home. In none of these situations could sufficient supervision be exercised to prevent promiscuous behaviour in one of such limited intelligence. In order to be prepared for such rehabilitative measures, and to give all the freedom possible during hospitalization, sexual sterilization is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his recommendation dated March 18, 1964, Dr. Bryson stated his belief, in the words of the statute, that if E.F. was not sterilized, her offspring would have a tendency to serious mental illness or deficiency. He then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her hospitalization it has been necessary to keep her on a closed ward without grounds privileges, as she is unable to show adequate insight and judgment regarding her behaviour. A successful rehabilitation of this patient would be impossible should she be denied the benefit of sexual sterilization, as she would likely bear illegitimate children who would run a grave risk of a mental disorder. Furthermore, her mental condition would render her a most inadequate parent and any offspring would not be suitable for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E.F. signed a written consent on November 15, 1963. It was witnessed by John Mundin. Her father signed a consent as her next of kin on December 10, 1963. There was no evidence as to the manner in which either consent was obtained. The Board of Eugenics approved E.F.'s sterilization on June 30, 1963.</w:t>
      </w:r>
      <w:r>
        <w:rPr>
          <w:rFonts w:ascii="arial" w:eastAsia="arial" w:hAnsi="arial" w:cs="arial"/>
          <w:sz w:val="20"/>
          <w:lang w:val="en-US" w:eastAsia="en-US" w:bidi="ar-SA"/>
        </w:rPr>
        <w:cr/>
      </w:r>
    </w:p>
    <w:p>
      <w:pPr>
        <w:numPr>
          <w:numId w:val="8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J.K. was first admitted to the PMH in 1948. She was one of sixteen children. The PMH social worker responsible for obtaining her family history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family is so huge that it is difficult for parents to be very specific in their information regarding patient and indeed they appear to have difficulty in sorting out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J.K. was admitted because of an acute psychosis. At some point early in her hospitalization, she was lobotomized. In 1956, her diagnosis was recorded in the Ward Notes as "Schizophrenic Reaction, Simple Type". She suffered from delusions and hallucinations. The Ward Notes also disclose that she engaged in sexual intercourse with employees working on the hospital grounds. Staff at the PMH made inquiries of J.K.'s mother concerning sterilization, but the mother refused on grounds of the family's religious beliefs.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J.K. was discharged from the PMH in 1958 but was re-admitted in 1959. She escaped from the hospital a few months later with a male patient. She became pregnant and shortly after delivering her child was readmitted in an acute psychotic state. She was suffering from delusions and threatening to kill her child. The Department of Social Welfare apprehended the baby. Staff of the PMH reported that J.K. was permanently incapable of caring for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February 1963, one of J.K.'s sisters wrote to the PMH asking whether J.K. had undergone a tubal ligation. A Unit Director, Dr. Boulding, replied that no sterilization operation had been performed because neither the patient nor the patient's parents supported such a measure. The sister then wrote to Dr. Boulding to say the family's wishes had been misunderstood, and asked that the necessary consent forms be forwarded to them. Dr. Boulding complied. However, in early March, 1963, the sister again wrote to Dr. Boulding to advise that J.K.'s father refused to sign the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J.K. signed a consent to sterilization in late February 1963. Nothing in the hospitalization records explains why Dr. Boulding pursued the issue of the family's consent when J.K. herself had consented. There was no evidence as to the circumstances surrounding J.K.'s decision to sign the consent form. The witness to her consent was not Dr. Boulding; it was M. Hawkins, whose connection to the family or to the PMH is unknown. In a "Eugenics Report" prepared for the Board of Eugenics on March 4, 1963, the Supervisor of the Social Services Department noted that J.K. "herself is agreeable to having the operation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On March 12, 1963, the Deputy Medical Superintendent of the PMH, Dr. Walsh, signed a recommendation for sterilization of J.K. on behalf of Dr. Caunt "in the absence of the Medical Superintendent". In his recommendation, Dr. Walsh described J.K.'s diagnosis as "Schizophrenic Reaction of the Chronic Undifferentiated Type", and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release from Hospital without the benefit of an operation for sexual sterilization would undoubtedly result in further illegitimate children, all of whom would carry a serious risk of a grave mental disorder, namely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Ward Notes disclose that J.K. appeared before the Board of Eugenics on March 19, 1963. The Board approved her sterilization, which was performed on March 26, 1963.</w:t>
      </w:r>
      <w:r>
        <w:rPr>
          <w:rFonts w:ascii="arial" w:eastAsia="arial" w:hAnsi="arial" w:cs="arial"/>
          <w:sz w:val="20"/>
          <w:lang w:val="en-US" w:eastAsia="en-US" w:bidi="ar-SA"/>
        </w:rPr>
        <w:cr/>
      </w:r>
    </w:p>
    <w:p>
      <w:pPr>
        <w:numPr>
          <w:numId w:val="1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D.E. was first admitted to the PMH on August 28, 1953. A psychological report on file states that she was "classed as an imbecile since the age of seven", and was admitted to the PMH "exhibiting violent psychotic behaviour. Her admitting diagnosis was "Mental Deficiency with Psychosis". She was discharged in 1955, and re-admitted in 1957.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At some point during her hospitalization, D.E. became pregnant. The note of a staff psychiatrist for January 21, 1958,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became pregnant while in the hospital and was delivered of a baby boy... . We had earlier notified her parents of her pregnancy, suggesting sterilization and enclosing permission forms for this operation. So far, however, the patient herself has been unwilling to sign. The Social Service is planning for the future of the child and a heavy eugenics factor is involved since the father is also a mental patient...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In response to inquiries from Social Services personnel responsible for placing the child for adoption, the PMH disclosed that the father of the child was diagnosed as schizophrenic and died by drowning in May 1957. In the same report, D.E. was described as a "high grade defective" with "psychosis which had never been identified". The report went on to note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spoke dispassionately of her pregnancy and calmly stated that the child would have to be placed for adoption...but she did say she hoped a good home would be selected for it. She was chiefly consumed with the prospect of sterilization on which Dr. Middleton had approached her. Her thinking was vague and muddled, saying that she would not make up her mind until she was 21. We did not discuss it further...but assured her that the operation would not be done without her consent, nor at the time of the delivery of her child, but that we would want to discuss it further with her when she returned from the Royal Columbian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Many years later, during another hospitalization at the PMH in 1972, D.E. was diagnosed with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After the birth of D.E.'s child, the Social Welfare Department commenced child protection proceedings. On March 11, 1958, the Superintendent sent a statement to the Social Welfare Department certifying that D.E. was not mentally competent and not in a fit condition to care for herself or 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On May 8, 1958, the Superintendent of the PMH, Dr. Caunt, signed a recommendation for sterilization of D.E. after obtaining the consent of D.E.'s mother for the surgery. Dr. Caunt, in his recommendation, stated his belief that if discharged, D.E. would likely bear children with a tendency to serious mental disease or deficiency. He went on to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seventeen year old girl's mental diagnosis is that of Mental Deficiency (Mild) and she also has a history of psychosis. She has had one committal to the Crease Clinic and two committals to the Provincial Mental Hospital. This girl is extremely emotional, her judgment and insight are quite faulty and she is not capable of functioning properly as a parent. ... The matter of sexual sterilization has been discussed with her...but she refuses to sign consent for this operation to be performed. Her mother, however, has signed consent... . In order to afford this girl and society as much protection as possible, I would urge that she be given the additional protection of sexual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 footnote to Dr. Caunt's recommendation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these documents were forwarded to the Board of Eugenics on May 9th, 1958, patient reconsidered the matter and signed consent for the operation. The signed consent forms were forwarded to the Board on May 16th, 1958.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D.E. signed the consent on May 16, 1958. On the same day Dr. Caunt signed another recommendation for sterilization, omitting any reference to the patient's refusal to consent to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Eugenics Board Summary prepared by the Supervisor of Psychiatric Social Work described the reasons for referral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environment [D.E.] can go to is to return to her home. It is expected that she will soon come into conflict with her mother and behave in her a-moral [sic] pattern in which case sterilization would be effective as there would be no children to inherit her weaknesses or to add to the problems of this patient's rehabilitation. Her limited intelligence, her lack of social judgment and her lack of healthy parental controls in the community constitute the reasons for this patient being referred for sexual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D.E. appeared before the Board of Eugenics on May 24, 1958. Afterward, by letter dated May 30, 1958, the Secretary of the Board wrote the Superintendent describing what had transpired at the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[D.E.] was interviewed by the members of the Board of Eugenics on Saturday, May 24th, she stated that she did not wish the operation performed, as she wants another child. The Board considered this case very thoughtfully and carefully and were of the opinion that it was in the best interests of [D.E.] to have the operation for sexual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Secretary of the Board, noting that it had the signed consent of D.E.'s mother, authorized the sterilization operation.</w:t>
      </w:r>
      <w:r>
        <w:rPr>
          <w:rFonts w:ascii="arial" w:eastAsia="arial" w:hAnsi="arial" w:cs="arial"/>
          <w:sz w:val="20"/>
          <w:lang w:val="en-US" w:eastAsia="en-US" w:bidi="ar-SA"/>
        </w:rPr>
        <w:cr/>
      </w:r>
    </w:p>
    <w:p>
      <w:pPr>
        <w:numPr>
          <w:numId w:val="1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E.G. was readmitted to the PMH on May 29, 1957, with a diagnosis of Paranoid Schizophrenic. She thought she was going to be killed by witches. She had been admitted four months earlier, but discharged contrary to the doctor's orders as her four-month committal order had expired. She was 33 years of age and had five children. In October, 1957, her husband was also hospitalized at the PMH and diagnosed as a Paranoid Schizophrenic. He was released after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An entry in the Ward Notes by E.G.'s attending psychiatrist dated February 27, 1958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suggested to [E.G.] that since she had five children and both she and her husband have had their problems, it might be wise to undergo sexual sterilization. She feels this would be a good idea but wants to talk it over with her husband first. They are Jehovah's Witnesses and she thinks there may be a religious angle. However, she is a rather simple individual and I think she could be talked into accepting this operation which would offer at least some security to both of these inadequate individuals who certainly have all that they could possibly manage already in the way of a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On March 6, 1958, both E.G. and her husband signed consents to E.G.'s tubal ligation. The consents were witnessed by William Holinaty. There was no evidence as to the circumstances under which the consents were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Eugenics Board Summary prepared by a social worker at the PMH states the following reason for presenting E.G. to the Board: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evidence available in hospital files, confirmed by reports from the community regarding [E.G.'s] inadequacy as a mother and home-maker, it would appear clear that prevention of further pregnancies seems desirable in protecting the children already in the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of a sterilization operation has been discussed with both parents, who have accepted the need for it, and signed consents.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Superintendent, Dr. Caunt, signed a recommendation for sterilization on April 14, 1958. In it, he stated his belief that E.G., if discharged without being sterilized, would likely have children with a tendency to serious mental disease or deficiency. He noted that both she and her husband had been diagnosed with Schizophrenic Reaction, Paranoid Type. He then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[E.G.] has given birth to five children and was admitted to the hospital following a post-partum psychotic episode after the birth of the fifth child. Both [parents] appear to be very inadequate individuals who are incapable of handling serious responsibilities adequately, and their intellectual levels plus their schizophrenic disorders have contributed to their inability to cope with the stress of family responsibilities... . ...[E.G.] shows no insight into her mental illness, and she appears to have reached her normal. Rehabilitation into the community will likely be considered in the future and, in my opinion, I feel it would be in her best interests that she be sterilized before being discharged from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On May 24, 1958, the Board of Eugenics approved E.G.'s sterilization. By letter dated May 30, 1958, the Secretary of the Board advised Dr. Caunt that when E.G. appeared before the Board, she said she did not want to have the operation, preferring instead to "take precaution in order to avoid additional children". However, the Board was of the unanimous opinion that it was in the best interests of E.G. to have the operation performed. The Secretary noted that E.G.'s husband had consented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E.G.'s sterilization operation took place on June 19, 1958.</w:t>
      </w:r>
      <w:r>
        <w:rPr>
          <w:rFonts w:ascii="arial" w:eastAsia="arial" w:hAnsi="arial" w:cs="arial"/>
          <w:sz w:val="20"/>
          <w:lang w:val="en-US" w:eastAsia="en-US" w:bidi="ar-SA"/>
        </w:rPr>
        <w:cr/>
      </w:r>
    </w:p>
    <w:p>
      <w:pPr>
        <w:numPr>
          <w:numId w:val="1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S.C. was first admitted to the PMH in March 1954, having given birth to a baby two months earlier. Her condition was diagnosed as "Schizophrenic reaction - chronic undifferentiated type". She suffered from delusions and auditory hallucinations. Her child was placed for adoption. Her psychiatrist at the time, Dr. Tucker, advised the Children's Aid Society that there were no known hereditary factors that would hinder the child's adoption. The Clinical Director, Dr. McNair, gave the Society the same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An entry in the PMH Ward Notes dated December 31, 1958, by Dr. Middleton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twenty-four year old paranoid schizophrenic was illegitimate and never knew her father... . Our patient has had two children, [one] now about eight who is apparently adopted and [another] now about four, also presumably adopted. In addition, there were five miscarriages including at least one criminal abortion. She says she still would like to have children but if there is no difficulty with sexual intercourse following a sterilization operation, she agrees that it would be wise as she is not really in a position to look after children or bring them up successfully. She realizes she might become sick again if she were to become pregnant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S.C.'s husband was in Oakalla at the time. The Deputy Medical Superintendent at the time, Dr. Boulding, wrote to the warden of Oakalla on January 20, 1959, explaining that S.C. was schizophrenic and should not risk becoming pregnant again. He enclosed for S.C.'s husband a letter requesting his consent to her sterilization. S.C.'s husband was unwilling to sign a consent at that time, preferring to deal with the matter once he was released from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Thereafter, S.C. was frequently discharged on probation, but after short periods of time was re-admitted. She returned from probationary discharge on January 15, 1963, in an acute psychotic state. On February 19, 1963, after intensive treatment and while in remission from psychosis, she signed a consent to sterilization. Her husband signed a consent as her next-of-kin on February 20, 1963.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a Eugenics Board Report dated March 6, 1963, the Supervisor of Social Services for the PMH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well as the two children who were placed for adoption, [S.C.] has had six miscarriages and at least one criminal abortion... . She has had numerous extra marital affairs and generally leads a promiscuous life. When living on probation away from the PMH...[S.C.] effects a very marginal adjustment and has consequently experienced relapses necessitating her return to hospital. Her last miscarriage in August 1961, left her in a weakened and mentally disturbed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 for Referral: It seems important for this woman's future mental and physical health, that she not produce further children. Further, she is not in a position to look after children or bring them up successfully.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On March 12, 1963, the Deputy Medical Superintendent, Dr. Walsh, signed the recommendation for S.C.'s sterilization on behalf of Dr. Caunt. After stating his belief that S.C. was likely to bear children with a tendency to serious mental disease or deficiency, Dr. Walsh went on to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twenty-eight year old woman suffers from a Schizophrenic Reaction of the Chronic Undifferentiated Type. She has been in this Hospital very frequently since 1957 and has often been pregnant. She has two children, both of whom carry a serious risk of a grave mental disorder, namely, Schizophrenia. There is little doubt that without the benefit of an operation for sexual sterilization she will have further children and that they, too, will have a marked tendency to a serious mental disease.</w:t>
      </w:r>
    </w:p>
    <w:p>
      <w:pPr>
        <w:numPr>
          <w:numId w:val="1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J.W. was admitted to the PMH on October 10, 1957 with a diagnosis of hebephrenic schizophrenia. She was married with four children ranging in age from one to eight years. At the time of her admission she was actively hallucinating. She thought she heard voices on the roof of her home, and was unable to care for her children. In a Ward Note entry dated December 30, 1957, Dr. Middleton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children range in age from one to eight and obviously she is incapable of looking after any more, let alone those that she has. She agrees to sterilization and we will try to arrange this... . One feels very sorry for both her husband and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J.W. and her husband both consented to her sterilization; J.W. on January 7, 1958, and her husband on January 12, 1958.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On March 14, 1958, Dr. Caunt recommended J.W.'s sterilization. He stated his belief that if discharged she would likely bear children with a tendency to serious mental disease or deficiency. He then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woman was committed to the PMH on October 10th, 1957. She was delusional, confused and quite incapable of properly caring for herself, her family and home. She is 27 years of age, married, and has four children, one of whom is reported to be mentally retarded. This woman appears incapable of handling serious responsibilities and her intellectual level plus her schizophrenic disorder would seem to indicate that she could not cope with the stress of family responsibilities... . [J.W.] is considerably handicapped in her ability to reason clearly and to make adequate judgments which would be necessary for her to make in order to look after her home and family... . She is receiving medication and is not actively hallucinating at this time. We are hopeful that improvement may be maintained and that she may be rehabilitated at a later date. Her mental diagnosis is Moron with Hebephrenic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J. W. appeared before the Board of Eugenics on May 24, 1958. The Board authorized her sterilization, which was performed on June 24, 1958.</w:t>
      </w:r>
      <w:r>
        <w:rPr>
          <w:rFonts w:ascii="arial" w:eastAsia="arial" w:hAnsi="arial" w:cs="arial"/>
          <w:sz w:val="20"/>
          <w:lang w:val="en-US" w:eastAsia="en-US" w:bidi="ar-SA"/>
        </w:rPr>
        <w:cr/>
      </w:r>
    </w:p>
    <w:p>
      <w:pPr>
        <w:numPr>
          <w:numId w:val="1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Diagnosed with Intellectual Disabilities (Mental Retardation)</w:t>
      </w:r>
    </w:p>
    <w:p>
      <w:pPr>
        <w:numPr>
          <w:numId w:val="1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C.M. was admitted to Riverview on November 16, 1955, at the age of 17, from the Girl's Industrial School. She was diagnosed as mentally defective and not suitable for training in the school. She was discharged to the care of her uncle in 1958 but was returned to the PMH within six months. Over the next few years, she escaped from the hospital and was returned on many occasions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An entry in the Ward Notes dated July 14, 1961, by Dr. Tecson, a psychiatrist,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twenty-two year old Indian girl was admitted in 1955... . She has been a known mental defective with considerable behaviour problems. She responded fairly well to Chlorpromazine and she was discharged on probation in 1958. She managed to stay only a few months having been violent whenever intoxicated. Upon return to the hospital she managed to escape on five different occasions... . It is indicated that she has had a brain abscess following mastoiditis with a possible tuberculoma and also a question of birth injury. It is undetermined on account of the [paucity] of materials as to whether her mental deficiency was subsequent to any or all of these conditions. It would probably be much more logical to simply label her as a case of mental deficiency...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Dr. Tecsan diagnosed C.M. as Mental Deficiency, Moderate, with Behavioural Reaction. He categorized her impairment as "Severe, requires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 1964, while on probationary discharge from the PMH, C.M. became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C.M. signed a consent for sterilization on December 10, 1964. Her brother signed a consent as her next-of-kin on December 17, 1964, perhaps because her mother, and the grandmother who had raised C.M., were dead and her father was unknown. His consent was witnessed by Elsie Michelle. There was no evidence as to the circumstances under which the consents were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Eugenics Board Summary prepared by the Supervisor of Social Services at the PMH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is a mentally defective Indian girl who has always been incorrigible, wild, undisciplined and promiscuous... . At this hospital she has had to be kept locked up to prevent her escaping or misbehaving with men patients on the grounds...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 for Referral: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is a mental defective, with numerous behaviour problems, particularly being promiscuous and associating with undesirables. Sterilization is, therefore, strongly recommended to prevent patient from having illegitimate children which the community would have to care for and for whom it would be very difficult to find foster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Superintendent, Dr. Bryson, signed a recommendation for sterilization on March 24, 1965. He stated his belief that C.M., if discharged without sterilization, would have children with a tendency to serious mental disease or deficiency. He then went on to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twenty-six year old woman is a mental defective who has shown promiscuous sexual behaviour as a component of her erratic and disturbed mental condition. She has required constant supervision.... She cannot be granted privileges as she always consorts with male patients on the grounds and indulges in promiscuous sexual behaviour. Rehabilitation plans and her release from hospital without the benefit of an operation for sexual sterilization would undoubtedly result in illegitimate children who would run a grave risk of a mental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C.M. appeared before the Board of Eugenics on April 13, 1965. The Board authorized her sterilization, which occurred on May 18, 1965.</w:t>
      </w:r>
      <w:r>
        <w:rPr>
          <w:rFonts w:ascii="arial" w:eastAsia="arial" w:hAnsi="arial" w:cs="arial"/>
          <w:sz w:val="20"/>
          <w:lang w:val="en-US" w:eastAsia="en-US" w:bidi="ar-SA"/>
        </w:rPr>
        <w:cr/>
      </w:r>
    </w:p>
    <w:p>
      <w:pPr>
        <w:numPr>
          <w:numId w:val="1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G.H. was admitted to the PMH in August 1963, with a diagnosis of Mental Retardation - Moron. She had first been admitted in 1952, as an adolescent, and then transferred to Woodlands School. An entry in the Ward Notes for October 2, 1963,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[G.H.] was admitted to Essondale for the first time in October 1952, and one month later was transferred to Woodlands School... . She was suicidal in 1957 following an abortion and she was admitted to Essondale again. She was given E.C.T. and Chlorpromazine and transferred again to Woodlands.... Recently, on August 23, 1963, she was admitted again because of drinking and promiscuity... . During her hospitalization on J4 she gave several letters to her doctor the contents of which were always sexual. She used to tell how she had sex relations with her boyfriends and how she still dreams them at nights. In the group meetings on J4, it was decided that she should be sterilized and she agreed and signed the papers.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day she escaped from the hospital. She again gave another letter to the doctor, on her return, and in her letter she claimed that she had sex relations with a man again. She was returned by the RCMP before her sterilization...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G.H. signed a consent on September 4, 1963, shortly after she was admitted. Her mother signed a consent as C.M.'s next-of-kin on September 9, 1963, on Vancouver Island. There is no evidence as to the capacity of C.M. to consent or as to why her mother was also asked to sign a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Superintendent, Dr. Bryson, made a recommendation to the Board of Eugenics on September 13, 1963. He stated his belief that G.H. would likely bear children with a tendency to serious mental disease or deficiency. He then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...[G.H.] has a history of sexual promiscuity and made a suicidal attempt following an abortion in 1957... . The combination of inheritable mental deficiency together with a deprived background leading to a pattern of behavioural disorder over the years would render her a most inadequate parent and, by reason of inheritance, any offspring would not be suitable for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G.H. appeared before the Board of Eugenics on October 10, 1963. The Board authorized her sterilization on the same date. The Ward Notes disclose that the operation was performed on October 16, 1963.</w:t>
      </w:r>
      <w:r>
        <w:rPr>
          <w:rFonts w:ascii="arial" w:eastAsia="arial" w:hAnsi="arial" w:cs="arial"/>
          <w:sz w:val="20"/>
          <w:lang w:val="en-US" w:eastAsia="en-US" w:bidi="ar-SA"/>
        </w:rPr>
        <w:cr/>
      </w:r>
    </w:p>
    <w:p>
      <w:pPr>
        <w:numPr>
          <w:numId w:val="1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M.A.K. was admitted to the PMH on May 14, 1964, with a diagnosis of "Chronic Brain Syndrome with Convulsive Disorder Associated with Mental Retardation and Psychotic Reaction". An entry in the Ward Notes dated June 15, 1964,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18 year old retarded girl was admitted here because she was psychotic and there was no one in the community to care for her. Aside from her psychosis she has been a behaviour problem for years. She is said to be an epileptic.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 staff social worker at the PMH who prepared a social history concerning M.A.K. noted that her mother blamed M.A.K.'s retardation and epilepsy on the delay of her birth anaesthetic administered by a nurse pending the doctor's arrival. However, there is no medical opinion in the hospital records to support this theory, nor is there any clinical explanation for M.A.K.'s psychosis.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M.A.K. signed a consent for sterilization on May 18, 1966. Her father signed a consent as her next of kin on June 3, 1966 in Summerland, B.C., where he 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Superintendent, Dr. Bryson, recommended M.A.K.'s sterilization on September 19, 1966. He stated his belief that if she were discharged without sterilization, she would likely have children with a tendency to mental disease or deficiency. He then stated,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twenty year old girl, who is mentally defective and epileptic, has been in this Hospital since May of 1964. As part of her condition, she is both impulsive and gullible. Her mental state is such that should she become illegitimately pregnant she would be incapable of caring adequately for a child. It is possible also that the child would suffer from mental deficiency, epilepsy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M.A.K. appeared before the Board of Eugenics on October 6, 1966. The Board approved her sterilization on that date, and the operation was performed on October 18, 1966.</w:t>
      </w:r>
      <w:r>
        <w:rPr>
          <w:rFonts w:ascii="arial" w:eastAsia="arial" w:hAnsi="arial" w:cs="arial"/>
          <w:sz w:val="20"/>
          <w:lang w:val="en-US" w:eastAsia="en-US" w:bidi="ar-SA"/>
        </w:rPr>
        <w:cr/>
      </w:r>
    </w:p>
    <w:p>
      <w:pPr>
        <w:numPr>
          <w:numId w:val="1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P.K. was admitted to the PMH on June 7, 1951. Her diagnosis changed over time. Initially, she was diagnosed with "Mental Deficiency Without Psychosis - Moron". A staff psychiatrist, in a letter written to the medical records librarian at Vancouver General Hospital shortly before P.K.'s discharge, described her mental deficiency as, "so far as we are aware...idiopathic in nature". However, during her time at the PMH she suffered episodes of paranoid psychosis. She was convinced, for example, that she had been hospitalized so that her sister could steal her new suitcase. She developed other delusional ideas about her family. The PMH did not provide a specific diagnosis with respect to the psychosis.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P.K.'s family urged the staff at the PMH to consider sterilization for P.K. The family was willing to have her discharged into their care, but were worried that she may become sexually active. P.K.'s sister signed a consent as next-of-kin for P.K.'s sterilization on September 10, 1951. P.K. herself signed a consent on September 14, 1951. There is no evidence as to the circumstances under which the consents were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"Social History For Board of Eugenics" prepared by the Supervisor of Psychiatric Social Work at the PMH stated as the reason for the referral to the Board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Committal papers state that this young woman has been mentally defective since birth. Her older sister with whom she has made her home during the past eight years (following the death of their mother), has found the supervision of this patient to be an increasing responsibility. Members of her family fear that she may become the victim of sexual attack, as she is incapable of discriminating in her relationships and is easily influenced.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Dr. F.E. McNair signed the recommendation for sterilization on November 13, 1951. He was the Assistant Clinical Director of the PMH. There was no evidence as to his role at the PMH at the time, but no issue was taken with the fact that he was not the Superintendent. Dr. McNair stated his belief that P.K., if discharged without sterilization, would likely have children with a tendency to serious mental disease or deficiency. He then stated,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is in the Moron Group of General Intelligence... . She is now twenty-eight years of age and has presented a problem to her family who have to watch her constantly as she is prone to stay out with men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P.K. appeared before the Board of Eugenics which authorized her sterilization on January 11, 1952. The surgery was performed on February 18, 1952.</w:t>
      </w:r>
      <w:r>
        <w:rPr>
          <w:rFonts w:ascii="arial" w:eastAsia="arial" w:hAnsi="arial" w:cs="arial"/>
          <w:sz w:val="20"/>
          <w:lang w:val="en-US" w:eastAsia="en-US" w:bidi="ar-SA"/>
        </w:rPr>
        <w:cr/>
      </w:r>
    </w:p>
    <w:p>
      <w:pPr>
        <w:numPr>
          <w:numId w:val="1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P.H. was admitted to the PMH by her parents on October 5, 1944, at the age of 15. She was diagnosed as "Epileptic Moron without Psychosis". She was described as combative and violent. Her seizure disorder was severe. She was previously hospitalized at a psychiatric institution in Weyburn, Saskatchewan. She was pregnant at the time of admission; the identity of the child's father was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clinical records concerning P.H.'s hospitalization are obviously incomplete. There is no recommendation for sterilization from the Superintendent, no authorization from the Board of Eugenics, and no consent from P.H. or anyone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A social history taken by a psychiatric social worker upon P.H.'s admission recounts her mother's story that when she was nine months pregnant she "was turned upside down, which according to mother, resulted in [P.H.] being born with umbilical cord twice around the neck". This apparently caused choking and discolouration of P.H.'s face. There is, however, no mention of this by the PMH medical staff in the Ward Notes, nor in there any medical opinion in the clinical record connecting this episode at birth with P.H.'s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Of the documents customarily sent to the Board of Eugenics, the only one found in P.H.'s records is the "Summary of Social History for Board of Eugenics" prepared by the Supervisor of Psychiatric Social Work. That Summary, under "Reasons for Presentation to Eugenics Board",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was promiscuous and paternity of her illegitimate child could not be established. She is an Epileptic Imbecile and unable to care for her child. Her parents have signified their willingness to have the patient home, but refuse to accept the baby into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An entry in the Ward Notes for March 20, 1945,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[C.M.] has been up before the Eugenics Board regarding sterilization. She has been approved and will shortly be going in for her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A Ward Notes entry for April 2, 1945, discloses that the operation for sterilization was performed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Because there is no recommendation for sterilization in P.H.'s clinical records, neither the identity of the Superintendent nor the reasons for the recommendation are known.</w:t>
      </w:r>
      <w:r>
        <w:rPr>
          <w:rFonts w:ascii="arial" w:eastAsia="arial" w:hAnsi="arial" w:cs="arial"/>
          <w:sz w:val="20"/>
          <w:lang w:val="en-US" w:eastAsia="en-US" w:bidi="ar-SA"/>
        </w:rPr>
        <w:cr/>
      </w:r>
    </w:p>
    <w:p>
      <w:pPr>
        <w:numPr>
          <w:numId w:val="1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L.C. was admitted to the PMH on February 26, 1940, at 13 years of age. The Ward Notes indicate that she was of limited intellect, but there is no diagnosis more specific than that until 1973, when her condition was described as "Mental Retardation - Severe". L.C.'s clinical records contain references to her mother's view as to the cause of L.C.'s condition. In the Social History taken by a social worker upon L.C.'s admission, the following note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[L.C.'s mother] states that she felt very miserable during the last three months of her pregnancy and seems inclined to associate [L.C.'s] condition with experiences during this time... . [She] had a very prolonged labour about thirty-six hours with [L.C.] and instruments were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There is, however, nothing in the clinical records to suggest that any of the medical staff at the PMH, or any physicians who may have treated L.C. after her hospitalization, were of the opinion that L.C.'s medical condition was caused by an injury at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"Summary of Social History for Board of Eugenics", prepared by the Supervisor of Psychiatric Social Work described L.C. as having a mental age of a 3 1/2 year old, and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[L.C.] was cared for by her mother who died of cancer in January 1940. No other plans for her care were available... . Brothers and Sisters of Mother are not very good stock and are known to different Social Agencies in the City... . This girl is much too friendly toward strangers and has not the appearance of being as low mentally. She matured at 13 years. The family may find they can care for her in the home after she has had some training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Superintendent, Dr. Ryan, recommended L.C.'s sterilization on May 31, 1940. L.C.'s father signed a consent as her next-of-kin on June 1, 1940. In his recommendation, Dr. Ryan states his belief that L.C. would, if discharged, have children with a tendency toward serious mental disease or deficiency. He went on to say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of very low grade mentally and the tendency in such cases is to reproduce children of the same type. She would be a source of danger to herself and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Ward Notes disclose that L.C. appeared before the Board of Eugenics on September 14, 1940, and authorization by the Board was granted the same day. She was sterilized on September 22, 1940.</w:t>
      </w:r>
      <w:r>
        <w:rPr>
          <w:rFonts w:ascii="arial" w:eastAsia="arial" w:hAnsi="arial" w:cs="arial"/>
          <w:sz w:val="20"/>
          <w:lang w:val="en-US" w:eastAsia="en-US" w:bidi="ar-SA"/>
        </w:rPr>
        <w:cr/>
      </w:r>
    </w:p>
    <w:p>
      <w:pPr>
        <w:numPr>
          <w:numId w:val="1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R.D. was admitted to the PMH on September 1, 1945, when she was 16 years of age. She was aboriginal in origin. According to her admission history, she was diagnosed as "Mental Defective, near the bottom of the moron range". Several years later her diagnosis was "Mental Deficiency with Psychotic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R.D.'s clinical records are clearly incomplete. There are no Ward Notes. There is no recommendation for sterilization by the Superintendent. The only document authored by the Superintendent, who was at the time Dr. Caunt, is a letter to the Indian Commissioner, seeking his consent to R.D.'s sterilization.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"Eugenics Board Summary" prepared by the Supervisor of Psychiatric Social Work in 1958, thirteen years after R.D.'s admission to the PMH, contains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mentally defective young woman who has suffered from a psychotic illness, has now made a relatively satisfactory recovery from her psychosis. However, her social background reveals a history of promiscuity, venereal disease, tuberculosis, and one illegitimate pregnancy.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limited intelligence, lack of supportive family supervision, and a propensity for illicit sexual behaviour, her rehabilitation through the auspices of the Indian Affairs Department, is most problematical. She, nevertheless, cannot likely remain in a mental hospital when she has gained a good remission of her gross symptoms of mental illness, and it is, therefore, desirable to offer her the protection of sexual sterilization.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results indicate that she is functioning as a Mental Defective, near the bottom of the moron range... . She could obviously not manage her own affairs... . The only sort of environment she could fit into would be one where she has close and supportive supervision and any measure which would help lessen her problems, such as sterilization would be of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 for Referral: Miss [D.] is being referred for sexual sterilization because of her very limited intelligence, her lack of social judgment, and her lack of possible social supervision. While she will undoubtedly continue to be a social problem on discharge from this hospital, sexual sterilization would prevent her from having further children who might become social problems because of possible inherited mental deficiency, congenital or acquired venereal infection, and lack of healthy parental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only direct reference to R.D.'s sterilization is a letter from the Secretary of the Board of Eugenics dated May 30, 1958, to Dr. Caunt, enclosing the authority for sexual sterilization of R.D., the signed consents of R.D. and her mother, and the recommendation of the Superintendent. None of those enclosures has been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Order 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B.J. by her Guardian ad litem The Public Guardian and Trustee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pict>
          <v:shape id="_x0000_i1260" type="#_x0000_t75" style="width:432.06pt;height:537.83pt">
            <v:imagedata r:id="rId842" o:title=""/>
          </v:shape>
        </w:pict>
      </w:r>
      <w:r>
        <w:rPr>
          <w:rFonts w:ascii="arial" w:eastAsia="arial" w:hAnsi="arial" w:cs="arial"/>
          <w:sz w:val="20"/>
          <w:lang w:val="en-US" w:eastAsia="en-US" w:bidi="ar-SA"/>
        </w:rPr>
        <w:t xml:space="preserve">  </w:t>
      </w:r>
      <w:r>
        <w:pict>
          <v:shape id="_x0000_i1261" type="#_x0000_t75" style="width:423.75pt;height:545.25pt">
            <v:imagedata r:id="rId843" o:title=""/>
          </v:shape>
        </w:pict>
      </w:r>
      <w:r>
        <w:pict>
          <v:shape id="_x0000_i1262" type="#_x0000_t75" style="width:432.06pt;height:523.57pt">
            <v:imagedata r:id="rId844" o:title=""/>
          </v:shape>
        </w:pict>
      </w:r>
      <w:r>
        <w:pict>
          <v:shape id="_x0000_i1263" type="#_x0000_t75" style="width:376.5pt;height:436.5pt">
            <v:imagedata r:id="rId845"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4" style="position:absolute;z-index:25189171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Clare's Cove Marina Ltd. v. Salmon Arm (City), [2013] B.C.J. No. 624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Cullinane v. Prince George (City), [2001] B.C.J. No. 138</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Carr, [2016] B.C.J. No. 901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Interlink Business Management Inc. v. Bennett Environmental Inc., [2007] B.C.J. No. 2284</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Culinary Institute of Canada, Inc. v. Grant Thornton LLP, [2010] B.C.J. No. 714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Jacobs v. McLaughlin, [2008] B.C.J. No. 700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Jansen Industries 2010 Ltd. v. Victory Motors (Abbotsford) Ltd., [2019] B.C.J. No. 1813</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Lafarge Canada Inc. v. JJM Construction Ltd., [2010] B.C.J. No. 1643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McVeigh v. McWilliam, [2010] B.C.J. No. 34</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Moses v. Trans-Canada Displays Ltd., [2001] B.C.J. No. 2265</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 v. Co-Operators Life Insurance Co., [2008] B.C.J. No. 2018</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Becker, [2002] B.C.J. No. 330</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Semenoff Estate v. Bridgeman, [2014] B.C.J. No. 2459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BCS 1165 v. National Home Warranty Group Inc., [2015] B.C.J. No. 1380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K855 v. Big White Mountain Mart Ltd., [2016] B.C.J. No. 998</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Taylor v. Maris, [2003] B.C.J. No. 1600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Withler v. Canada (Attorney General), [2002] B.C.J. No. 1395</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 (Guardian ad litem of) v. Thai, [2005] B.C.J. No. 1240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Amezcua v. Taylor, [2008] B.C.J. No. 2074</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Brawn (Re), [2004] B.C.J. No. 1416</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Cranberry Arms Ventures Ltd. v. North Pacific Road Builders Ltd., [2004] B.C.J. No. 1227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Downey v. St. Paul's Hospital et al., 2007 CHFL para. 15,472</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 Bulley Ventures Ltd. v. Eton-West Construction Inc., [2002] B.C.J. No. 1201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Elms v. Laurentian Bank of Canada, [2000] B.C.J. No. 448</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Freer (Guardian ad litem of) v. Okanagan/Skaha School District No. 67, [2003] B.C.J. No. 407</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Gadsby v. British Columbia (Attorney General), [2018] B.C.J. No. 72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James Rickard Noble Second Generation Family Trust (Trustee of) v. Hueson Pharmaceutical Corp., [2002] B.C.J. No. 2933</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Kaston v. Amex Bank of Canada, [2004] B.C.J. No. 1230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Lewis v. Robinson, [2001] B.C.J. No. 866</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Logan v. Dermatech, [2011] B.C.J. No. 1544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Lowe v. Greyhound Canada Transportation Corp., [2008] B.C.J. No. 67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Mazar v. Ploy Enterprises Ltd., [2006] B.C.J. No. 1067</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McCaffrey v. Kang, [2014] B.C.J. No. 1437</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McQuillan v. Dean, [2014] B.C.J. No. 3351</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Noddle v. Canada (Deputy Attorney General), [2016] B.C.J. No. 693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Paterson v. Langley Memorial Hospital, 2006 CHFL para. 15,421</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 v. Morgan, [2019] B.C.J. No. 2582</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Robinson v. Wong, [2007] B.C.J. No. 1056</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 v. Corona, [2012] B.C.J. No. 2878</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Simmonds v. Victoria (City), [2016] B.C.J. No. 953</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Sportsman's R.V. Resort Blind Bay B.C. Ltd. v. Capri Insurance Services Ltd., [2001] B.C.J. No. 837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Texada Land Corp. v. Texada Logging Ltd., [2003] B.C.J. No. 2225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Williamsburg Water Utility Co. v. Conyd, [2017] B.C.J. No. 22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Nelson v. British Columbia (Environment), [2020] B.C.J. No. 514</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Waterway Houseboats Ltd. v. British Columbia, [2019] B.C.J. No. 662</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Bence v. Okanagan-Similkameen (Regional District), [2004] B.C.J. No. 509</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Boiselle v. McKenna, [2002] B.C.J. No. 1779</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Carrillo v. Deschutter, [2018] B.C.J. No. 6788</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DagenaisIn Bankruptcy In the Matter of the Bankruptcy of David SimonDagenais, 2016 DTC 5089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(Guardian ad litem of) v. British Columbia, [2003] B.C.J. No. 1563</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7"/>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8"/>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decimal"/>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3"/>
      <w:numFmt w:val="decimal"/>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4"/>
      <w:numFmt w:val="decimal"/>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0"/>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2"/>
      <w:numFmt w:val="decimal"/>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4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decimal"/>
      <w:lvlText w:val="4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8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3418069"/>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7EDA2CD"/>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8A7533F"/>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A9C9ADC"/>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E665E1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1053272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15663B9A"/>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1D7D052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231951C2"/>
    <w:multiLevelType w:val="multilevel"/>
    <w:tmpl w:val="00000001"/>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233FEFD4"/>
    <w:multiLevelType w:val="multilevel"/>
    <w:tmpl w:val="00000001"/>
    <w:lvl w:ilvl="0">
      <w:start w:val="1"/>
      <w:numFmt w:val="decimal"/>
      <w:lvlText w:val="18A(8)"/>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25EA8D0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282D120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29154C9A"/>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291BA3E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296C58E7"/>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310980AD"/>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3763158A"/>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3A882770"/>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3F9D91B5"/>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4011702A"/>
    <w:multiLevelType w:val="multilevel"/>
    <w:tmpl w:val="0000000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451D5B51"/>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46A69D1D"/>
    <w:multiLevelType w:val="multilevel"/>
    <w:tmpl w:val="0000000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47BE68EE"/>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480B5682"/>
    <w:multiLevelType w:val="multilevel"/>
    <w:tmpl w:val="00000001"/>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4AE65961"/>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4BA3F8C9"/>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4C417691"/>
    <w:multiLevelType w:val="multilevel"/>
    <w:tmpl w:val="00000001"/>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50E8C9EB"/>
    <w:multiLevelType w:val="multilevel"/>
    <w:tmpl w:val="00000001"/>
    <w:lvl w:ilvl="0">
      <w:start w:val="1"/>
      <w:numFmt w:val="decimal"/>
      <w:lvlText w:val="27(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52B551A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5375201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5506D15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57B5669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5B7F617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6838ADD9"/>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6A00178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79BED6E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7BA224B9"/>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222"/>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224"/>
  </w:num>
  <w:num w:numId="73">
    <w:abstractNumId w:val="212"/>
  </w:num>
  <w:num w:numId="74">
    <w:abstractNumId w:val="243"/>
  </w:num>
  <w:num w:numId="75">
    <w:abstractNumId w:val="239"/>
  </w:num>
  <w:num w:numId="76">
    <w:abstractNumId w:val="70"/>
  </w:num>
  <w:num w:numId="77">
    <w:abstractNumId w:val="71"/>
  </w:num>
  <w:num w:numId="78">
    <w:abstractNumId w:val="72"/>
  </w:num>
  <w:num w:numId="79">
    <w:abstractNumId w:val="73"/>
  </w:num>
  <w:num w:numId="80">
    <w:abstractNumId w:val="74"/>
  </w:num>
  <w:num w:numId="81">
    <w:abstractNumId w:val="75"/>
  </w:num>
  <w:num w:numId="82">
    <w:abstractNumId w:val="76"/>
  </w:num>
  <w:num w:numId="83">
    <w:abstractNumId w:val="77"/>
  </w:num>
  <w:num w:numId="84">
    <w:abstractNumId w:val="78"/>
  </w:num>
  <w:num w:numId="85">
    <w:abstractNumId w:val="79"/>
  </w:num>
  <w:num w:numId="86">
    <w:abstractNumId w:val="80"/>
  </w:num>
  <w:num w:numId="87">
    <w:abstractNumId w:val="81"/>
  </w:num>
  <w:num w:numId="88">
    <w:abstractNumId w:val="82"/>
  </w:num>
  <w:num w:numId="89">
    <w:abstractNumId w:val="226"/>
  </w:num>
  <w:num w:numId="90">
    <w:abstractNumId w:val="240"/>
  </w:num>
  <w:num w:numId="91">
    <w:abstractNumId w:val="232"/>
  </w:num>
  <w:num w:numId="92">
    <w:abstractNumId w:val="241"/>
  </w:num>
  <w:num w:numId="93">
    <w:abstractNumId w:val="214"/>
  </w:num>
  <w:num w:numId="94">
    <w:abstractNumId w:val="228"/>
  </w:num>
  <w:num w:numId="95">
    <w:abstractNumId w:val="237"/>
  </w:num>
  <w:num w:numId="96">
    <w:abstractNumId w:val="229"/>
  </w:num>
  <w:num w:numId="97">
    <w:abstractNumId w:val="208"/>
  </w:num>
  <w:num w:numId="98">
    <w:abstractNumId w:val="231"/>
  </w:num>
  <w:num w:numId="99">
    <w:abstractNumId w:val="234"/>
  </w:num>
  <w:num w:numId="100">
    <w:abstractNumId w:val="209"/>
  </w:num>
  <w:num w:numId="101">
    <w:abstractNumId w:val="215"/>
  </w:num>
  <w:num w:numId="102">
    <w:abstractNumId w:val="216"/>
  </w:num>
  <w:num w:numId="103">
    <w:abstractNumId w:val="218"/>
  </w:num>
  <w:num w:numId="104">
    <w:abstractNumId w:val="238"/>
  </w:num>
  <w:num w:numId="105">
    <w:abstractNumId w:val="235"/>
  </w:num>
  <w:num w:numId="106">
    <w:abstractNumId w:val="242"/>
  </w:num>
  <w:num w:numId="107">
    <w:abstractNumId w:val="221"/>
  </w:num>
  <w:num w:numId="108">
    <w:abstractNumId w:val="223"/>
  </w:num>
  <w:num w:numId="109">
    <w:abstractNumId w:val="225"/>
  </w:num>
  <w:num w:numId="110">
    <w:abstractNumId w:val="210"/>
  </w:num>
  <w:num w:numId="111">
    <w:abstractNumId w:val="211"/>
  </w:num>
  <w:num w:numId="112">
    <w:abstractNumId w:val="236"/>
  </w:num>
  <w:num w:numId="113">
    <w:abstractNumId w:val="220"/>
  </w:num>
  <w:num w:numId="114">
    <w:abstractNumId w:val="217"/>
  </w:num>
  <w:num w:numId="115">
    <w:abstractNumId w:val="213"/>
  </w:num>
  <w:num w:numId="116">
    <w:abstractNumId w:val="219"/>
  </w:num>
  <w:num w:numId="117">
    <w:abstractNumId w:val="233"/>
  </w:num>
  <w:num w:numId="118">
    <w:abstractNumId w:val="83"/>
  </w:num>
  <w:num w:numId="119">
    <w:abstractNumId w:val="84"/>
  </w:num>
  <w:num w:numId="120">
    <w:abstractNumId w:val="85"/>
  </w:num>
  <w:num w:numId="121">
    <w:abstractNumId w:val="86"/>
  </w:num>
  <w:num w:numId="122">
    <w:abstractNumId w:val="87"/>
  </w:num>
  <w:num w:numId="123">
    <w:abstractNumId w:val="88"/>
  </w:num>
  <w:num w:numId="124">
    <w:abstractNumId w:val="89"/>
  </w:num>
  <w:num w:numId="125">
    <w:abstractNumId w:val="90"/>
  </w:num>
  <w:num w:numId="126">
    <w:abstractNumId w:val="91"/>
  </w:num>
  <w:num w:numId="127">
    <w:abstractNumId w:val="92"/>
  </w:num>
  <w:num w:numId="128">
    <w:abstractNumId w:val="93"/>
  </w:num>
  <w:num w:numId="129">
    <w:abstractNumId w:val="94"/>
  </w:num>
  <w:num w:numId="130">
    <w:abstractNumId w:val="95"/>
  </w:num>
  <w:num w:numId="131">
    <w:abstractNumId w:val="96"/>
  </w:num>
  <w:num w:numId="132">
    <w:abstractNumId w:val="97"/>
  </w:num>
  <w:num w:numId="133">
    <w:abstractNumId w:val="98"/>
  </w:num>
  <w:num w:numId="134">
    <w:abstractNumId w:val="99"/>
  </w:num>
  <w:num w:numId="135">
    <w:abstractNumId w:val="100"/>
  </w:num>
  <w:num w:numId="136">
    <w:abstractNumId w:val="101"/>
  </w:num>
  <w:num w:numId="137">
    <w:abstractNumId w:val="102"/>
  </w:num>
  <w:num w:numId="138">
    <w:abstractNumId w:val="103"/>
  </w:num>
  <w:num w:numId="139">
    <w:abstractNumId w:val="104"/>
  </w:num>
  <w:num w:numId="140">
    <w:abstractNumId w:val="105"/>
  </w:num>
  <w:num w:numId="141">
    <w:abstractNumId w:val="106"/>
  </w:num>
  <w:num w:numId="142">
    <w:abstractNumId w:val="107"/>
  </w:num>
  <w:num w:numId="143">
    <w:abstractNumId w:val="108"/>
  </w:num>
  <w:num w:numId="144">
    <w:abstractNumId w:val="109"/>
  </w:num>
  <w:num w:numId="145">
    <w:abstractNumId w:val="110"/>
  </w:num>
  <w:num w:numId="146">
    <w:abstractNumId w:val="111"/>
  </w:num>
  <w:num w:numId="147">
    <w:abstractNumId w:val="112"/>
  </w:num>
  <w:num w:numId="148">
    <w:abstractNumId w:val="113"/>
  </w:num>
  <w:num w:numId="149">
    <w:abstractNumId w:val="114"/>
  </w:num>
  <w:num w:numId="150">
    <w:abstractNumId w:val="115"/>
  </w:num>
  <w:num w:numId="151">
    <w:abstractNumId w:val="116"/>
  </w:num>
  <w:num w:numId="152">
    <w:abstractNumId w:val="117"/>
  </w:num>
  <w:num w:numId="153">
    <w:abstractNumId w:val="118"/>
  </w:num>
  <w:num w:numId="154">
    <w:abstractNumId w:val="119"/>
  </w:num>
  <w:num w:numId="155">
    <w:abstractNumId w:val="120"/>
  </w:num>
  <w:num w:numId="156">
    <w:abstractNumId w:val="121"/>
  </w:num>
  <w:num w:numId="157">
    <w:abstractNumId w:val="122"/>
  </w:num>
  <w:num w:numId="158">
    <w:abstractNumId w:val="123"/>
  </w:num>
  <w:num w:numId="159">
    <w:abstractNumId w:val="124"/>
  </w:num>
  <w:num w:numId="160">
    <w:abstractNumId w:val="125"/>
  </w:num>
  <w:num w:numId="161">
    <w:abstractNumId w:val="126"/>
  </w:num>
  <w:num w:numId="162">
    <w:abstractNumId w:val="127"/>
  </w:num>
  <w:num w:numId="163">
    <w:abstractNumId w:val="128"/>
  </w:num>
  <w:num w:numId="164">
    <w:abstractNumId w:val="129"/>
  </w:num>
  <w:num w:numId="165">
    <w:abstractNumId w:val="130"/>
  </w:num>
  <w:num w:numId="166">
    <w:abstractNumId w:val="131"/>
  </w:num>
  <w:num w:numId="167">
    <w:abstractNumId w:val="132"/>
  </w:num>
  <w:num w:numId="168">
    <w:abstractNumId w:val="133"/>
  </w:num>
  <w:num w:numId="169">
    <w:abstractNumId w:val="134"/>
  </w:num>
  <w:num w:numId="170">
    <w:abstractNumId w:val="135"/>
  </w:num>
  <w:num w:numId="171">
    <w:abstractNumId w:val="136"/>
  </w:num>
  <w:num w:numId="172">
    <w:abstractNumId w:val="137"/>
  </w:num>
  <w:num w:numId="173">
    <w:abstractNumId w:val="138"/>
  </w:num>
  <w:num w:numId="174">
    <w:abstractNumId w:val="139"/>
  </w:num>
  <w:num w:numId="175">
    <w:abstractNumId w:val="140"/>
  </w:num>
  <w:num w:numId="176">
    <w:abstractNumId w:val="141"/>
  </w:num>
  <w:num w:numId="177">
    <w:abstractNumId w:val="142"/>
  </w:num>
  <w:num w:numId="178">
    <w:abstractNumId w:val="143"/>
  </w:num>
  <w:num w:numId="179">
    <w:abstractNumId w:val="144"/>
  </w:num>
  <w:num w:numId="180">
    <w:abstractNumId w:val="145"/>
  </w:num>
  <w:num w:numId="181">
    <w:abstractNumId w:val="146"/>
  </w:num>
  <w:num w:numId="182">
    <w:abstractNumId w:val="147"/>
  </w:num>
  <w:num w:numId="183">
    <w:abstractNumId w:val="148"/>
  </w:num>
  <w:num w:numId="184">
    <w:abstractNumId w:val="149"/>
  </w:num>
  <w:num w:numId="185">
    <w:abstractNumId w:val="150"/>
  </w:num>
  <w:num w:numId="186">
    <w:abstractNumId w:val="151"/>
  </w:num>
  <w:num w:numId="187">
    <w:abstractNumId w:val="152"/>
  </w:num>
  <w:num w:numId="188">
    <w:abstractNumId w:val="153"/>
  </w:num>
  <w:num w:numId="189">
    <w:abstractNumId w:val="154"/>
  </w:num>
  <w:num w:numId="190">
    <w:abstractNumId w:val="155"/>
  </w:num>
  <w:num w:numId="191">
    <w:abstractNumId w:val="156"/>
  </w:num>
  <w:num w:numId="192">
    <w:abstractNumId w:val="157"/>
  </w:num>
  <w:num w:numId="193">
    <w:abstractNumId w:val="158"/>
  </w:num>
  <w:num w:numId="194">
    <w:abstractNumId w:val="159"/>
  </w:num>
  <w:num w:numId="195">
    <w:abstractNumId w:val="160"/>
  </w:num>
  <w:num w:numId="196">
    <w:abstractNumId w:val="161"/>
  </w:num>
  <w:num w:numId="197">
    <w:abstractNumId w:val="162"/>
  </w:num>
  <w:num w:numId="198">
    <w:abstractNumId w:val="163"/>
  </w:num>
  <w:num w:numId="199">
    <w:abstractNumId w:val="164"/>
  </w:num>
  <w:num w:numId="200">
    <w:abstractNumId w:val="165"/>
  </w:num>
  <w:num w:numId="201">
    <w:abstractNumId w:val="166"/>
  </w:num>
  <w:num w:numId="202">
    <w:abstractNumId w:val="167"/>
  </w:num>
  <w:num w:numId="203">
    <w:abstractNumId w:val="168"/>
  </w:num>
  <w:num w:numId="204">
    <w:abstractNumId w:val="169"/>
  </w:num>
  <w:num w:numId="205">
    <w:abstractNumId w:val="170"/>
  </w:num>
  <w:num w:numId="206">
    <w:abstractNumId w:val="171"/>
  </w:num>
  <w:num w:numId="207">
    <w:abstractNumId w:val="172"/>
  </w:num>
  <w:num w:numId="208">
    <w:abstractNumId w:val="173"/>
  </w:num>
  <w:num w:numId="209">
    <w:abstractNumId w:val="174"/>
  </w:num>
  <w:num w:numId="210">
    <w:abstractNumId w:val="175"/>
  </w:num>
  <w:num w:numId="211">
    <w:abstractNumId w:val="176"/>
  </w:num>
  <w:num w:numId="212">
    <w:abstractNumId w:val="177"/>
  </w:num>
  <w:num w:numId="213">
    <w:abstractNumId w:val="178"/>
  </w:num>
  <w:num w:numId="214">
    <w:abstractNumId w:val="179"/>
  </w:num>
  <w:num w:numId="215">
    <w:abstractNumId w:val="180"/>
  </w:num>
  <w:num w:numId="216">
    <w:abstractNumId w:val="181"/>
  </w:num>
  <w:num w:numId="217">
    <w:abstractNumId w:val="182"/>
  </w:num>
  <w:num w:numId="218">
    <w:abstractNumId w:val="183"/>
  </w:num>
  <w:num w:numId="219">
    <w:abstractNumId w:val="184"/>
  </w:num>
  <w:num w:numId="220">
    <w:abstractNumId w:val="185"/>
  </w:num>
  <w:num w:numId="221">
    <w:abstractNumId w:val="186"/>
  </w:num>
  <w:num w:numId="222">
    <w:abstractNumId w:val="187"/>
  </w:num>
  <w:num w:numId="223">
    <w:abstractNumId w:val="188"/>
  </w:num>
  <w:num w:numId="224">
    <w:abstractNumId w:val="189"/>
  </w:num>
  <w:num w:numId="225">
    <w:abstractNumId w:val="190"/>
  </w:num>
  <w:num w:numId="226">
    <w:abstractNumId w:val="191"/>
  </w:num>
  <w:num w:numId="227">
    <w:abstractNumId w:val="192"/>
  </w:num>
  <w:num w:numId="228">
    <w:abstractNumId w:val="193"/>
  </w:num>
  <w:num w:numId="229">
    <w:abstractNumId w:val="194"/>
  </w:num>
  <w:num w:numId="230">
    <w:abstractNumId w:val="195"/>
  </w:num>
  <w:num w:numId="231">
    <w:abstractNumId w:val="196"/>
  </w:num>
  <w:num w:numId="232">
    <w:abstractNumId w:val="197"/>
  </w:num>
  <w:num w:numId="233">
    <w:abstractNumId w:val="198"/>
  </w:num>
  <w:num w:numId="234">
    <w:abstractNumId w:val="199"/>
  </w:num>
  <w:num w:numId="235">
    <w:abstractNumId w:val="200"/>
  </w:num>
  <w:num w:numId="236">
    <w:abstractNumId w:val="201"/>
  </w:num>
  <w:num w:numId="237">
    <w:abstractNumId w:val="202"/>
  </w:num>
  <w:num w:numId="238">
    <w:abstractNumId w:val="203"/>
  </w:num>
  <w:num w:numId="239">
    <w:abstractNumId w:val="204"/>
  </w:num>
  <w:num w:numId="240">
    <w:abstractNumId w:val="205"/>
  </w:num>
  <w:num w:numId="241">
    <w:abstractNumId w:val="206"/>
  </w:num>
  <w:num w:numId="242">
    <w:abstractNumId w:val="207"/>
  </w:num>
  <w:num w:numId="243">
    <w:abstractNumId w:val="244"/>
  </w:num>
  <w:num w:numId="244">
    <w:abstractNumId w:val="227"/>
  </w:num>
  <w:num w:numId="245">
    <w:abstractNumId w:val="2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N1-JC5P-G2CF-00000-00&amp;context=" TargetMode="External" /><Relationship Id="rId100" Type="http://schemas.openxmlformats.org/officeDocument/2006/relationships/header" Target="header18.xml" /><Relationship Id="rId101" Type="http://schemas.openxmlformats.org/officeDocument/2006/relationships/footer" Target="footer18.xml" /><Relationship Id="rId102" Type="http://schemas.openxmlformats.org/officeDocument/2006/relationships/hyperlink" Target="https://advance.lexis.com/api/document?collection=cases-ca&amp;id=urn:contentItem:5F7T-S7G1-JBT7-X40F-00000-00&amp;context=" TargetMode="External" /><Relationship Id="rId103" Type="http://schemas.openxmlformats.org/officeDocument/2006/relationships/hyperlink" Target="https://advance.lexis.com/api/document?collection=cases-ca&amp;id=urn:contentItem:5F7T-S6V1-JFKM-6133-00000-00&amp;context=" TargetMode="External" /><Relationship Id="rId104" Type="http://schemas.openxmlformats.org/officeDocument/2006/relationships/hyperlink" Target="https://advance.lexis.com/api/document?collection=cases-ca&amp;id=urn:contentItem:5F7T-S6T1-FJTD-G1NJ-00000-00&amp;context=" TargetMode="External" /><Relationship Id="rId105" Type="http://schemas.openxmlformats.org/officeDocument/2006/relationships/hyperlink" Target="https://advance.lexis.com/api/document?collection=cases-ca&amp;id=urn:contentItem:5F7T-S721-F06F-230Y-00000-00&amp;context=" TargetMode="External" /><Relationship Id="rId106" Type="http://schemas.openxmlformats.org/officeDocument/2006/relationships/hyperlink" Target="https://advance.lexis.com/api/document?collection=cases-ca&amp;id=urn:contentItem:5F7T-S6Y1-JNY7-X296-00000-00&amp;context=" TargetMode="External" /><Relationship Id="rId107" Type="http://schemas.openxmlformats.org/officeDocument/2006/relationships/hyperlink" Target="https://advance.lexis.com/api/document?collection=cases-ca&amp;id=urn:contentItem:5F7T-S761-F81W-21RK-00000-00&amp;context=" TargetMode="External" /><Relationship Id="rId108" Type="http://schemas.openxmlformats.org/officeDocument/2006/relationships/hyperlink" Target="https://advance.lexis.com/api/document?collection=cases-ca&amp;id=urn:contentItem:5F7T-S7F1-F7VM-S475-00000-00&amp;context=" TargetMode="External" /><Relationship Id="rId109" Type="http://schemas.openxmlformats.org/officeDocument/2006/relationships/hyperlink" Target="https://advance.lexis.com/api/document?collection=cases-ca&amp;id=urn:contentItem:5F7T-S7F1-F7VM-S46D-00000-00&amp;context=" TargetMode="External" /><Relationship Id="rId11" Type="http://schemas.openxmlformats.org/officeDocument/2006/relationships/hyperlink" Target="https://advance.lexis.com/api/document?collection=legislation-ca&amp;id=urn:contentItem:5F41-1FG1-FBN1-216B-00000-00&amp;context=" TargetMode="External" /><Relationship Id="rId110" Type="http://schemas.openxmlformats.org/officeDocument/2006/relationships/hyperlink" Target="https://advance.lexis.com/api/document?collection=cases-ca&amp;id=urn:contentItem:5F8T-N3V1-JF75-M3S6-00000-00&amp;context=" TargetMode="External" /><Relationship Id="rId111" Type="http://schemas.openxmlformats.org/officeDocument/2006/relationships/hyperlink" Target="https://advance.lexis.com/api/document?collection=cases-ca&amp;id=urn:contentItem:5F8T-N3V1-JTGH-B18F-00000-00&amp;context=" TargetMode="External" /><Relationship Id="rId112" Type="http://schemas.openxmlformats.org/officeDocument/2006/relationships/hyperlink" Target="https://advance.lexis.com/api/document?collection=cases-ca&amp;id=urn:contentItem:5F8T-N3V1-JTGH-B153-00000-00&amp;context=" TargetMode="External" /><Relationship Id="rId113" Type="http://schemas.openxmlformats.org/officeDocument/2006/relationships/header" Target="header19.xml" /><Relationship Id="rId114" Type="http://schemas.openxmlformats.org/officeDocument/2006/relationships/header" Target="header20.xml" /><Relationship Id="rId115" Type="http://schemas.openxmlformats.org/officeDocument/2006/relationships/footer" Target="footer19.xml" /><Relationship Id="rId116" Type="http://schemas.openxmlformats.org/officeDocument/2006/relationships/footer" Target="footer20.xml" /><Relationship Id="rId117" Type="http://schemas.openxmlformats.org/officeDocument/2006/relationships/header" Target="header21.xml" /><Relationship Id="rId118" Type="http://schemas.openxmlformats.org/officeDocument/2006/relationships/footer" Target="footer21.xml" /><Relationship Id="rId119" Type="http://schemas.openxmlformats.org/officeDocument/2006/relationships/hyperlink" Target="https://advance.lexis.com/api/document?collection=cases-ca&amp;id=urn:contentItem:5X5X-78W1-JWJ0-G139-00000-00&amp;context=" TargetMode="External" /><Relationship Id="rId12" Type="http://schemas.openxmlformats.org/officeDocument/2006/relationships/hyperlink" Target="https://advance.lexis.com/api/document?collection=legislation-ca&amp;id=urn:contentItem:5F41-1FG1-F4NT-X0C2-00000-00&amp;context=" TargetMode="External" /><Relationship Id="rId120" Type="http://schemas.openxmlformats.org/officeDocument/2006/relationships/hyperlink" Target="https://advance.lexis.com/api/document?collection=legislation-ca&amp;id=urn:contentItem:5F97-RC11-JN14-G11K-00000-00&amp;context=" TargetMode="External" /><Relationship Id="rId121" Type="http://schemas.openxmlformats.org/officeDocument/2006/relationships/hyperlink" Target="https://advance.lexis.com/api/document?collection=legislation-ca&amp;id=urn:contentItem:5K9R-8VS1-K0BB-S224-00000-00&amp;context=" TargetMode="External" /><Relationship Id="rId122" Type="http://schemas.openxmlformats.org/officeDocument/2006/relationships/hyperlink" Target="https://advance.lexis.com/api/document?collection=legislation-ca&amp;id=urn:contentItem:5F41-1FJ1-JBDT-B069-00000-00&amp;context=" TargetMode="External" /><Relationship Id="rId123" Type="http://schemas.openxmlformats.org/officeDocument/2006/relationships/hyperlink" Target="https://advance.lexis.com/api/document?collection=legislation-ca&amp;id=urn:contentItem:5W2C-X5K1-F5KY-B02G-00000-00&amp;context=" TargetMode="External" /><Relationship Id="rId124" Type="http://schemas.openxmlformats.org/officeDocument/2006/relationships/hyperlink" Target="https://advance.lexis.com/api/document?collection=cases-ca&amp;id=urn:contentItem:5F7T-S7F1-JX3N-B1KT-00000-00&amp;context=" TargetMode="External" /><Relationship Id="rId125" Type="http://schemas.openxmlformats.org/officeDocument/2006/relationships/hyperlink" Target="https://advance.lexis.com/api/document?collection=cases-ca&amp;id=urn:contentItem:5F7T-S7F1-DXWW-241Y-00000-00&amp;context=" TargetMode="External" /><Relationship Id="rId126" Type="http://schemas.openxmlformats.org/officeDocument/2006/relationships/hyperlink" Target="https://advance.lexis.com/api/document?collection=cases-ca&amp;id=urn:contentItem:5TSR-R2N1-JFSV-G493-00000-00&amp;context=" TargetMode="External" /><Relationship Id="rId127" Type="http://schemas.openxmlformats.org/officeDocument/2006/relationships/hyperlink" Target="https://advance.lexis.com/api/document?collection=cases-ca&amp;id=urn:contentItem:5F8P-SD91-JTGH-B37K-00000-00&amp;context=" TargetMode="External" /><Relationship Id="rId128" Type="http://schemas.openxmlformats.org/officeDocument/2006/relationships/hyperlink" Target="https://advance.lexis.com/api/document?collection=cases-ca&amp;id=urn:contentItem:5F8P-SGB1-FBV7-B45G-00000-00&amp;context=" TargetMode="External" /><Relationship Id="rId129" Type="http://schemas.openxmlformats.org/officeDocument/2006/relationships/hyperlink" Target="https://advance.lexis.com/api/document?collection=cases-ca&amp;id=urn:contentItem:5NGW-P5N1-K0BB-S2WC-00000-00&amp;context=" TargetMode="External" /><Relationship Id="rId13" Type="http://schemas.openxmlformats.org/officeDocument/2006/relationships/hyperlink" Target="https://advance.lexis.com/api/document?collection=cases-ca&amp;id=urn:contentItem:5F7T-S741-F57G-S1F9-00000-00&amp;context=" TargetMode="External" /><Relationship Id="rId130" Type="http://schemas.openxmlformats.org/officeDocument/2006/relationships/hyperlink" Target="https://advance.lexis.com/api/document?collection=cases-ca&amp;id=urn:contentItem:5G6C-VP51-F7VM-S0MS-00000-00&amp;context=" TargetMode="External" /><Relationship Id="rId131" Type="http://schemas.openxmlformats.org/officeDocument/2006/relationships/hyperlink" Target="https://advance.lexis.com/api/document?collection=cases-ca&amp;id=urn:contentItem:5HG9-CT61-FGJR-22X6-00000-00&amp;context=" TargetMode="External" /><Relationship Id="rId132" Type="http://schemas.openxmlformats.org/officeDocument/2006/relationships/hyperlink" Target="https://advance.lexis.com/api/document?collection=cases-ca&amp;id=urn:contentItem:5HDC-MS71-FFFC-B1D7-00000-00&amp;context=" TargetMode="External" /><Relationship Id="rId133" Type="http://schemas.openxmlformats.org/officeDocument/2006/relationships/header" Target="header22.xml" /><Relationship Id="rId134" Type="http://schemas.openxmlformats.org/officeDocument/2006/relationships/header" Target="header23.xml" /><Relationship Id="rId135" Type="http://schemas.openxmlformats.org/officeDocument/2006/relationships/footer" Target="footer22.xml" /><Relationship Id="rId136" Type="http://schemas.openxmlformats.org/officeDocument/2006/relationships/footer" Target="footer23.xml" /><Relationship Id="rId137" Type="http://schemas.openxmlformats.org/officeDocument/2006/relationships/header" Target="header24.xml" /><Relationship Id="rId138" Type="http://schemas.openxmlformats.org/officeDocument/2006/relationships/footer" Target="footer24.xml" /><Relationship Id="rId139" Type="http://schemas.openxmlformats.org/officeDocument/2006/relationships/hyperlink" Target="https://advance.lexis.com/api/document?collection=cases-ca&amp;id=urn:contentItem:5F7T-S7K1-JWXF-213T-00000-00&amp;context=" TargetMode="External" /><Relationship Id="rId14" Type="http://schemas.openxmlformats.org/officeDocument/2006/relationships/hyperlink" Target="https://advance.lexis.com/api/document?collection=cases-ca&amp;id=urn:contentItem:5F7T-S771-JW5H-X1R2-00000-00&amp;context=" TargetMode="External" /><Relationship Id="rId140" Type="http://schemas.openxmlformats.org/officeDocument/2006/relationships/hyperlink" Target="https://advance.lexis.com/api/document?collection=legislation-ca&amp;id=urn:contentItem:5F41-1FN1-JSXV-G1HH-00000-00&amp;context=" TargetMode="External" /><Relationship Id="rId141" Type="http://schemas.openxmlformats.org/officeDocument/2006/relationships/hyperlink" Target="https://advance.lexis.com/api/document?collection=cases-ca&amp;id=urn:contentItem:5F8T-N3S1-JT99-24M9-00000-00&amp;context=" TargetMode="External" /><Relationship Id="rId142" Type="http://schemas.openxmlformats.org/officeDocument/2006/relationships/hyperlink" Target="https://advance.lexis.com/api/document?collection=cases-ca&amp;id=urn:contentItem:5F8T-N3S1-JT99-24KW-00000-00&amp;context=" TargetMode="External" /><Relationship Id="rId143" Type="http://schemas.openxmlformats.org/officeDocument/2006/relationships/hyperlink" Target="https://advance.lexis.com/api/document?collection=cases-ca&amp;id=urn:contentItem:5F8T-N3S1-JT99-2520-00000-00&amp;context=" TargetMode="External" /><Relationship Id="rId144" Type="http://schemas.openxmlformats.org/officeDocument/2006/relationships/hyperlink" Target="https://advance.lexis.com/api/document?collection=cases-ca&amp;id=urn:contentItem:5F81-VJY1-FBN1-22TN-00000-00&amp;context=" TargetMode="External" /><Relationship Id="rId145" Type="http://schemas.openxmlformats.org/officeDocument/2006/relationships/hyperlink" Target="https://advance.lexis.com/api/document?collection=cases-ca&amp;id=urn:contentItem:5F7T-S7D1-JXG3-X0RT-00000-00&amp;context=" TargetMode="External" /><Relationship Id="rId146" Type="http://schemas.openxmlformats.org/officeDocument/2006/relationships/hyperlink" Target="https://advance.lexis.com/api/document?collection=cases-ca&amp;id=urn:contentItem:5F8P-SD91-F27X-61P8-00000-00&amp;context=" TargetMode="External" /><Relationship Id="rId147" Type="http://schemas.openxmlformats.org/officeDocument/2006/relationships/hyperlink" Target="https://advance.lexis.com/api/document?collection=cases-ca&amp;id=urn:contentItem:5F8P-SDD1-FFTT-X1SH-00000-00&amp;context=" TargetMode="External" /><Relationship Id="rId148" Type="http://schemas.openxmlformats.org/officeDocument/2006/relationships/hyperlink" Target="https://advance.lexis.com/api/document?collection=cases-ca&amp;id=urn:contentItem:5F8T-N3V1-JF75-M3DS-00000-00&amp;context=" TargetMode="External" /><Relationship Id="rId149" Type="http://schemas.openxmlformats.org/officeDocument/2006/relationships/hyperlink" Target="https://advance.lexis.com/api/document?collection=cases-ca&amp;id=urn:contentItem:5F7T-S7G1-FCYK-209C-00000-00&amp;context=" TargetMode="External" /><Relationship Id="rId15" Type="http://schemas.openxmlformats.org/officeDocument/2006/relationships/hyperlink" Target="https://advance.lexis.com/api/document?collection=cases-ca&amp;id=urn:contentItem:5F7T-S7G1-JBT7-X40C-00000-00&amp;context=" TargetMode="External" /><Relationship Id="rId150" Type="http://schemas.openxmlformats.org/officeDocument/2006/relationships/hyperlink" Target="https://advance.lexis.com/api/document?collection=cases-ca&amp;id=urn:contentItem:5F7T-S781-JC5P-G1HW-00000-00&amp;context=" TargetMode="External" /><Relationship Id="rId151" Type="http://schemas.openxmlformats.org/officeDocument/2006/relationships/hyperlink" Target="https://advance.lexis.com/api/document?collection=cases-ca&amp;id=urn:contentItem:5F8P-SDS1-F956-S0F0-00000-00&amp;context=" TargetMode="External" /><Relationship Id="rId152" Type="http://schemas.openxmlformats.org/officeDocument/2006/relationships/hyperlink" Target="https://advance.lexis.com/api/document?collection=cases-ca&amp;id=urn:contentItem:5F7T-S7F1-F7VM-S4F2-00000-00&amp;context=" TargetMode="External" /><Relationship Id="rId153" Type="http://schemas.openxmlformats.org/officeDocument/2006/relationships/hyperlink" Target="https://advance.lexis.com/api/document?collection=cases-ca&amp;id=urn:contentItem:5F8T-N3P1-FC6N-X1K2-00000-00&amp;context=" TargetMode="External" /><Relationship Id="rId154" Type="http://schemas.openxmlformats.org/officeDocument/2006/relationships/hyperlink" Target="https://advance.lexis.com/api/document?collection=cases-ca&amp;id=urn:contentItem:5F7T-S6T1-JJ1H-X292-00000-00&amp;context=" TargetMode="External" /><Relationship Id="rId155" Type="http://schemas.openxmlformats.org/officeDocument/2006/relationships/hyperlink" Target="https://advance.lexis.com/api/document?collection=cases-ca&amp;id=urn:contentItem:5F7T-S6V1-JFKM-613G-00000-00&amp;context=" TargetMode="External" /><Relationship Id="rId156" Type="http://schemas.openxmlformats.org/officeDocument/2006/relationships/hyperlink" Target="https://advance.lexis.com/api/document?collection=cases-ca&amp;id=urn:contentItem:5F7T-S7C1-JS0R-22GH-00000-00&amp;context=" TargetMode="External" /><Relationship Id="rId157" Type="http://schemas.openxmlformats.org/officeDocument/2006/relationships/hyperlink" Target="https://advance.lexis.com/api/document?collection=cases-ca&amp;id=urn:contentItem:5F7T-S721-F5T5-M29N-00000-00&amp;context=" TargetMode="External" /><Relationship Id="rId158" Type="http://schemas.openxmlformats.org/officeDocument/2006/relationships/hyperlink" Target="https://advance.lexis.com/api/document?collection=cases-ca&amp;id=urn:contentItem:5F7T-S7D1-JXG3-X10C-00000-00&amp;context=" TargetMode="External" /><Relationship Id="rId159" Type="http://schemas.openxmlformats.org/officeDocument/2006/relationships/header" Target="header25.xml" /><Relationship Id="rId16" Type="http://schemas.openxmlformats.org/officeDocument/2006/relationships/hyperlink" Target="https://advance.lexis.com/api/document?collection=cases-ca&amp;id=urn:contentItem:5F7T-S761-JGHR-M2BD-00000-00&amp;context=" TargetMode="External" /><Relationship Id="rId160" Type="http://schemas.openxmlformats.org/officeDocument/2006/relationships/header" Target="header26.xml" /><Relationship Id="rId161" Type="http://schemas.openxmlformats.org/officeDocument/2006/relationships/footer" Target="footer25.xml" /><Relationship Id="rId162" Type="http://schemas.openxmlformats.org/officeDocument/2006/relationships/footer" Target="footer26.xml" /><Relationship Id="rId163" Type="http://schemas.openxmlformats.org/officeDocument/2006/relationships/header" Target="header27.xml" /><Relationship Id="rId164" Type="http://schemas.openxmlformats.org/officeDocument/2006/relationships/footer" Target="footer27.xml" /><Relationship Id="rId165" Type="http://schemas.openxmlformats.org/officeDocument/2006/relationships/hyperlink" Target="https://advance.lexis.com/api/document?collection=cases-ca&amp;id=urn:contentItem:5F7T-S7J1-DXWW-251Y-00000-00&amp;context=" TargetMode="External" /><Relationship Id="rId166" Type="http://schemas.openxmlformats.org/officeDocument/2006/relationships/hyperlink" Target="https://advance.lexis.com/api/document?collection=cases-ca&amp;id=urn:contentItem:5F8T-N3V1-JTGH-B1GX-00000-00&amp;context=" TargetMode="External" /><Relationship Id="rId167" Type="http://schemas.openxmlformats.org/officeDocument/2006/relationships/hyperlink" Target="https://advance.lexis.com/api/document?collection=cases-ca&amp;id=urn:contentItem:5F7H-KW91-F57G-S0CR-00000-00&amp;context=" TargetMode="External" /><Relationship Id="rId168" Type="http://schemas.openxmlformats.org/officeDocument/2006/relationships/hyperlink" Target="https://advance.lexis.com/api/document?collection=cases-ca&amp;id=urn:contentItem:5F8T-N3V1-JTGH-B1CP-00000-00&amp;context=" TargetMode="External" /><Relationship Id="rId169" Type="http://schemas.openxmlformats.org/officeDocument/2006/relationships/hyperlink" Target="https://advance.lexis.com/api/document?collection=cases-ca&amp;id=urn:contentItem:5F7T-S7G1-JN6B-S1M9-00000-00&amp;context=" TargetMode="External" /><Relationship Id="rId17" Type="http://schemas.openxmlformats.org/officeDocument/2006/relationships/hyperlink" Target="https://advance.lexis.com/api/document?collection=cases-ca&amp;id=urn:contentItem:5F8P-SCP1-JJSF-20V8-00000-00&amp;context=" TargetMode="External" /><Relationship Id="rId170" Type="http://schemas.openxmlformats.org/officeDocument/2006/relationships/hyperlink" Target="https://advance.lexis.com/api/document?collection=cases-ca&amp;id=urn:contentItem:5F7T-S7J1-JGBH-B2FV-00000-00&amp;context=" TargetMode="External" /><Relationship Id="rId171" Type="http://schemas.openxmlformats.org/officeDocument/2006/relationships/hyperlink" Target="https://advance.lexis.com/api/document?collection=cases-ca&amp;id=urn:contentItem:5F7T-S7G1-JPP5-21XC-00000-00&amp;context=" TargetMode="External" /><Relationship Id="rId172" Type="http://schemas.openxmlformats.org/officeDocument/2006/relationships/hyperlink" Target="https://advance.lexis.com/api/document?collection=cases-ca&amp;id=urn:contentItem:5F7T-S741-F57G-S1KJ-00000-00&amp;context=" TargetMode="External" /><Relationship Id="rId173" Type="http://schemas.openxmlformats.org/officeDocument/2006/relationships/hyperlink" Target="https://advance.lexis.com/api/document?collection=cases-ca&amp;id=urn:contentItem:5F7T-S771-JN14-G2C9-00000-00&amp;context=" TargetMode="External" /><Relationship Id="rId174" Type="http://schemas.openxmlformats.org/officeDocument/2006/relationships/hyperlink" Target="https://advance.lexis.com/api/document?collection=cases-ca&amp;id=urn:contentItem:5F7T-XPW1-JW5H-X2J2-00000-00&amp;context=" TargetMode="External" /><Relationship Id="rId175" Type="http://schemas.openxmlformats.org/officeDocument/2006/relationships/hyperlink" Target="https://advance.lexis.com/api/document?collection=cases-ca&amp;id=urn:contentItem:5F81-VJX1-JKPJ-G1VM-00000-00&amp;context=" TargetMode="External" /><Relationship Id="rId176" Type="http://schemas.openxmlformats.org/officeDocument/2006/relationships/hyperlink" Target="https://advance.lexis.com/api/document?collection=cases-ca&amp;id=urn:contentItem:5F7T-S741-F528-G1YH-00000-00&amp;context=" TargetMode="External" /><Relationship Id="rId177" Type="http://schemas.openxmlformats.org/officeDocument/2006/relationships/hyperlink" Target="https://advance.lexis.com/api/document?collection=cases-ca&amp;id=urn:contentItem:5F8T-N3V1-JF75-M3K6-00000-00&amp;context=" TargetMode="External" /><Relationship Id="rId178" Type="http://schemas.openxmlformats.org/officeDocument/2006/relationships/hyperlink" Target="https://advance.lexis.com/api/document?collection=cases-ca&amp;id=urn:contentItem:5F8T-N3S1-JBDT-B032-00000-00&amp;context=" TargetMode="External" /><Relationship Id="rId179" Type="http://schemas.openxmlformats.org/officeDocument/2006/relationships/hyperlink" Target="https://advance.lexis.com/api/document?collection=cases-ca&amp;id=urn:contentItem:5F7T-S7H1-JCRC-B170-00000-00&amp;context=" TargetMode="External" /><Relationship Id="rId18" Type="http://schemas.openxmlformats.org/officeDocument/2006/relationships/hyperlink" Target="https://advance.lexis.com/api/document?collection=cases-ca&amp;id=urn:contentItem:5F7T-S7M1-JCRC-B1XN-00000-00&amp;context=" TargetMode="External" /><Relationship Id="rId180" Type="http://schemas.openxmlformats.org/officeDocument/2006/relationships/hyperlink" Target="https://advance.lexis.com/api/document?collection=cases-ca&amp;id=urn:contentItem:5F8T-N3S1-JT99-255N-00000-00&amp;context=" TargetMode="External" /><Relationship Id="rId181" Type="http://schemas.openxmlformats.org/officeDocument/2006/relationships/hyperlink" Target="https://advance.lexis.com/api/document?collection=cases-ca&amp;id=urn:contentItem:5F8T-N3V1-JF75-M3K1-00000-00&amp;context=" TargetMode="External" /><Relationship Id="rId182" Type="http://schemas.openxmlformats.org/officeDocument/2006/relationships/hyperlink" Target="https://advance.lexis.com/api/document?collection=cases-ca&amp;id=urn:contentItem:5F8T-N3T1-JT99-200H-00000-00&amp;context=" TargetMode="External" /><Relationship Id="rId183" Type="http://schemas.openxmlformats.org/officeDocument/2006/relationships/image" Target="media/image1.png" /><Relationship Id="rId184" Type="http://schemas.openxmlformats.org/officeDocument/2006/relationships/header" Target="header28.xml" /><Relationship Id="rId185" Type="http://schemas.openxmlformats.org/officeDocument/2006/relationships/header" Target="header29.xml" /><Relationship Id="rId186" Type="http://schemas.openxmlformats.org/officeDocument/2006/relationships/footer" Target="footer28.xml" /><Relationship Id="rId187" Type="http://schemas.openxmlformats.org/officeDocument/2006/relationships/footer" Target="footer29.xml" /><Relationship Id="rId188" Type="http://schemas.openxmlformats.org/officeDocument/2006/relationships/header" Target="header30.xml" /><Relationship Id="rId189" Type="http://schemas.openxmlformats.org/officeDocument/2006/relationships/footer" Target="footer30.xml" /><Relationship Id="rId19" Type="http://schemas.openxmlformats.org/officeDocument/2006/relationships/hyperlink" Target="https://advance.lexis.com/api/document?collection=cases-ca&amp;id=urn:contentItem:5F7T-S711-F5KY-B12P-00000-00&amp;context=" TargetMode="External" /><Relationship Id="rId190" Type="http://schemas.openxmlformats.org/officeDocument/2006/relationships/hyperlink" Target="https://advance.lexis.com/api/document?collection=cases-ca&amp;id=urn:contentItem:5F7T-S781-F27X-61FG-00000-00&amp;context=" TargetMode="External" /><Relationship Id="rId191" Type="http://schemas.openxmlformats.org/officeDocument/2006/relationships/hyperlink" Target="https://advance.lexis.com/api/document?collection=legislation-ca&amp;id=urn:contentItem:5F3B-B911-DXWW-22B4-00000-00&amp;context=" TargetMode="External" /><Relationship Id="rId192" Type="http://schemas.openxmlformats.org/officeDocument/2006/relationships/hyperlink" Target="https://advance.lexis.com/api/document?collection=cases-ca&amp;id=urn:contentItem:5F7T-S731-F016-S3K6-00000-00&amp;context=" TargetMode="External" /><Relationship Id="rId193" Type="http://schemas.openxmlformats.org/officeDocument/2006/relationships/hyperlink" Target="https://advance.lexis.com/api/document?collection=cases-ca&amp;id=urn:contentItem:5F7T-S6Y1-F81W-21B6-00000-00&amp;context=" TargetMode="External" /><Relationship Id="rId194" Type="http://schemas.openxmlformats.org/officeDocument/2006/relationships/hyperlink" Target="https://advance.lexis.com/api/document?collection=legislation-ca&amp;id=urn:contentItem:5VYK-WB61-JJD0-G4F3-00000-00&amp;context=" TargetMode="External" /><Relationship Id="rId195" Type="http://schemas.openxmlformats.org/officeDocument/2006/relationships/hyperlink" Target="https://advance.lexis.com/api/document?collection=cases-ca&amp;id=urn:contentItem:5F2P-NNM1-JCRC-B52T-00000-00&amp;context=" TargetMode="External" /><Relationship Id="rId196" Type="http://schemas.openxmlformats.org/officeDocument/2006/relationships/hyperlink" Target="https://advance.lexis.com/api/document?collection=cases-ca&amp;id=urn:contentItem:5F7T-S761-F81W-21NY-00000-00&amp;context=" TargetMode="External" /><Relationship Id="rId197" Type="http://schemas.openxmlformats.org/officeDocument/2006/relationships/hyperlink" Target="https://advance.lexis.com/api/document?collection=cases-ca&amp;id=urn:contentItem:5F8T-N3T1-JJSF-23P9-00000-00&amp;context=" TargetMode="External" /><Relationship Id="rId198" Type="http://schemas.openxmlformats.org/officeDocument/2006/relationships/hyperlink" Target="https://advance.lexis.com/api/document?collection=cases-ca&amp;id=urn:contentItem:5F7T-S711-JNS1-M137-00000-00&amp;context=" TargetMode="External" /><Relationship Id="rId199" Type="http://schemas.openxmlformats.org/officeDocument/2006/relationships/hyperlink" Target="https://advance.lexis.com/api/document?collection=cases-ca&amp;id=urn:contentItem:5F7T-S701-FJDY-X2FC-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H1-K054-G271-00000-00&amp;context=" TargetMode="External" /><Relationship Id="rId200" Type="http://schemas.openxmlformats.org/officeDocument/2006/relationships/hyperlink" Target="https://advance.lexis.com/api/document?collection=cases-ca&amp;id=urn:contentItem:5F7T-S6R1-JCJ5-23S9-00000-00&amp;context=" TargetMode="External" /><Relationship Id="rId201" Type="http://schemas.openxmlformats.org/officeDocument/2006/relationships/hyperlink" Target="https://advance.lexis.com/api/document?collection=cases-ca&amp;id=urn:contentItem:5F7T-S6T1-FD4T-B028-00000-00&amp;context=" TargetMode="External" /><Relationship Id="rId202" Type="http://schemas.openxmlformats.org/officeDocument/2006/relationships/hyperlink" Target="https://advance.lexis.com/api/document?collection=cases-ca&amp;id=urn:contentItem:5F7T-S761-F7ND-G4H7-00000-00&amp;context=" TargetMode="External" /><Relationship Id="rId203" Type="http://schemas.openxmlformats.org/officeDocument/2006/relationships/hyperlink" Target="https://advance.lexis.com/api/document?collection=cases-ca&amp;id=urn:contentItem:5F7T-S7H1-JFKM-62H0-00000-00&amp;context=" TargetMode="External" /><Relationship Id="rId204" Type="http://schemas.openxmlformats.org/officeDocument/2006/relationships/header" Target="header31.xml" /><Relationship Id="rId205" Type="http://schemas.openxmlformats.org/officeDocument/2006/relationships/header" Target="header32.xml" /><Relationship Id="rId206" Type="http://schemas.openxmlformats.org/officeDocument/2006/relationships/footer" Target="footer31.xml" /><Relationship Id="rId207" Type="http://schemas.openxmlformats.org/officeDocument/2006/relationships/footer" Target="footer32.xml" /><Relationship Id="rId208" Type="http://schemas.openxmlformats.org/officeDocument/2006/relationships/header" Target="header33.xml" /><Relationship Id="rId209" Type="http://schemas.openxmlformats.org/officeDocument/2006/relationships/footer" Target="footer33.xml" /><Relationship Id="rId21" Type="http://schemas.openxmlformats.org/officeDocument/2006/relationships/hyperlink" Target="https://advance.lexis.com/api/document?collection=cases-ca&amp;id=urn:contentItem:5F81-VJV1-JK4W-M532-00000-00&amp;context=" TargetMode="External" /><Relationship Id="rId210" Type="http://schemas.openxmlformats.org/officeDocument/2006/relationships/hyperlink" Target="https://advance.lexis.com/api/document?collection=cases-ca&amp;id=urn:contentItem:5F7T-S7H1-FCSB-S3VG-00000-00&amp;context=" TargetMode="External" /><Relationship Id="rId211" Type="http://schemas.openxmlformats.org/officeDocument/2006/relationships/hyperlink" Target="https://advance.lexis.com/api/document?collection=legislation-ca&amp;id=urn:contentItem:5F41-1FG1-JGHR-M2RG-00000-00&amp;context=" TargetMode="External" /><Relationship Id="rId212" Type="http://schemas.openxmlformats.org/officeDocument/2006/relationships/hyperlink" Target="https://advance.lexis.com/api/document?collection=legislation-ca&amp;id=urn:contentItem:5F41-1FG1-JJYN-B0DY-00000-00&amp;context=" TargetMode="External" /><Relationship Id="rId213" Type="http://schemas.openxmlformats.org/officeDocument/2006/relationships/hyperlink" Target="https://advance.lexis.com/api/document?collection=cases-ca&amp;id=urn:contentItem:5F81-YGH1-F1P7-B370-00000-00&amp;context=" TargetMode="External" /><Relationship Id="rId214" Type="http://schemas.openxmlformats.org/officeDocument/2006/relationships/hyperlink" Target="https://advance.lexis.com/api/document?collection=cases-ca&amp;id=urn:contentItem:5F7T-S771-JSJC-X08M-00000-00&amp;context=" TargetMode="External" /><Relationship Id="rId215" Type="http://schemas.openxmlformats.org/officeDocument/2006/relationships/hyperlink" Target="https://advance.lexis.com/api/document?collection=cases-ca&amp;id=urn:contentItem:5F81-VJX1-JJYN-B4XV-00000-00&amp;context=" TargetMode="External" /><Relationship Id="rId216" Type="http://schemas.openxmlformats.org/officeDocument/2006/relationships/hyperlink" Target="https://advance.lexis.com/api/document?collection=cases-ca&amp;id=urn:contentItem:5F82-1SF1-K054-G43W-00000-00&amp;context=" TargetMode="External" /><Relationship Id="rId217" Type="http://schemas.openxmlformats.org/officeDocument/2006/relationships/hyperlink" Target="https://advance.lexis.com/api/document?collection=cases-ca&amp;id=urn:contentItem:5F7T-S781-F06F-23YC-00000-00&amp;context=" TargetMode="External" /><Relationship Id="rId218" Type="http://schemas.openxmlformats.org/officeDocument/2006/relationships/hyperlink" Target="https://advance.lexis.com/api/document?collection=cases-ca&amp;id=urn:contentItem:5F8T-N3V1-FC1F-M44H-00000-00&amp;context=" TargetMode="External" /><Relationship Id="rId219" Type="http://schemas.openxmlformats.org/officeDocument/2006/relationships/hyperlink" Target="https://advance.lexis.com/api/document?collection=cases-ca&amp;id=urn:contentItem:5F8T-N3V1-JTGH-B11H-00000-00&amp;context=" TargetMode="External" /><Relationship Id="rId22" Type="http://schemas.openxmlformats.org/officeDocument/2006/relationships/hyperlink" Target="https://advance.lexis.com/api/document?collection=cases-ca&amp;id=urn:contentItem:5F7T-S711-F4GK-M2F0-00000-00&amp;context=" TargetMode="External" /><Relationship Id="rId220" Type="http://schemas.openxmlformats.org/officeDocument/2006/relationships/hyperlink" Target="https://advance.lexis.com/api/document?collection=cases-ca&amp;id=urn:contentItem:5F8P-SGB1-JBT7-X364-00000-00&amp;context=" TargetMode="External" /><Relationship Id="rId221" Type="http://schemas.openxmlformats.org/officeDocument/2006/relationships/hyperlink" Target="https://advance.lexis.com/api/document?collection=cases-ca&amp;id=urn:contentItem:5F8T-N3V1-JF75-M3JV-00000-00&amp;context=" TargetMode="External" /><Relationship Id="rId222" Type="http://schemas.openxmlformats.org/officeDocument/2006/relationships/hyperlink" Target="https://advance.lexis.com/api/document?collection=cases-ca&amp;id=urn:contentItem:5F8T-N3T1-JJSF-23B2-00000-00&amp;context=" TargetMode="External" /><Relationship Id="rId223" Type="http://schemas.openxmlformats.org/officeDocument/2006/relationships/hyperlink" Target="https://advance.lexis.com/api/document?collection=cases-ca&amp;id=urn:contentItem:5F7H-KW51-JX8W-M1W1-00000-00&amp;context=" TargetMode="External" /><Relationship Id="rId224" Type="http://schemas.openxmlformats.org/officeDocument/2006/relationships/hyperlink" Target="https://advance.lexis.com/api/document?collection=cases-ca&amp;id=urn:contentItem:5F7T-S6X1-JXNB-6359-00000-00&amp;context=" TargetMode="External" /><Relationship Id="rId225" Type="http://schemas.openxmlformats.org/officeDocument/2006/relationships/hyperlink" Target="https://advance.lexis.com/api/document?collection=cases-ca&amp;id=urn:contentItem:5F81-VJX1-F5T5-M3YF-00000-00&amp;context=" TargetMode="External" /><Relationship Id="rId226" Type="http://schemas.openxmlformats.org/officeDocument/2006/relationships/hyperlink" Target="https://advance.lexis.com/api/document?collection=cases-ca&amp;id=urn:contentItem:5F8T-N3V1-JF75-M3JW-00000-00&amp;context=" TargetMode="External" /><Relationship Id="rId227" Type="http://schemas.openxmlformats.org/officeDocument/2006/relationships/hyperlink" Target="https://advance.lexis.com/api/document?collection=cases-ca&amp;id=urn:contentItem:5F7T-S7B1-F7ND-G4YN-00000-00&amp;context=" TargetMode="External" /><Relationship Id="rId228" Type="http://schemas.openxmlformats.org/officeDocument/2006/relationships/header" Target="header34.xml" /><Relationship Id="rId229" Type="http://schemas.openxmlformats.org/officeDocument/2006/relationships/header" Target="header35.xml" /><Relationship Id="rId23" Type="http://schemas.openxmlformats.org/officeDocument/2006/relationships/hyperlink" Target="https://advance.lexis.com/api/document?collection=cases-ca&amp;id=urn:contentItem:5F8P-T8S1-JXNB-60GM-00000-00&amp;context=" TargetMode="External" /><Relationship Id="rId230" Type="http://schemas.openxmlformats.org/officeDocument/2006/relationships/footer" Target="footer34.xml" /><Relationship Id="rId231" Type="http://schemas.openxmlformats.org/officeDocument/2006/relationships/footer" Target="footer35.xml" /><Relationship Id="rId232" Type="http://schemas.openxmlformats.org/officeDocument/2006/relationships/header" Target="header36.xml" /><Relationship Id="rId233" Type="http://schemas.openxmlformats.org/officeDocument/2006/relationships/footer" Target="footer36.xml" /><Relationship Id="rId234" Type="http://schemas.openxmlformats.org/officeDocument/2006/relationships/hyperlink" Target="https://advance.lexis.com/api/document?collection=cases-ca&amp;id=urn:contentItem:5F7T-S781-JC5P-G1FM-00000-00&amp;context=" TargetMode="External" /><Relationship Id="rId235" Type="http://schemas.openxmlformats.org/officeDocument/2006/relationships/hyperlink" Target="https://advance.lexis.com/api/document?collection=cases-ca&amp;id=urn:contentItem:5F8T-N3V1-JFKM-60BG-00000-00&amp;context=" TargetMode="External" /><Relationship Id="rId236" Type="http://schemas.openxmlformats.org/officeDocument/2006/relationships/hyperlink" Target="https://advance.lexis.com/api/document?collection=cases-ca&amp;id=urn:contentItem:5F81-VJW1-JF75-M1CT-00000-00&amp;context=" TargetMode="External" /><Relationship Id="rId237" Type="http://schemas.openxmlformats.org/officeDocument/2006/relationships/header" Target="header37.xml" /><Relationship Id="rId238" Type="http://schemas.openxmlformats.org/officeDocument/2006/relationships/header" Target="header38.xml" /><Relationship Id="rId239" Type="http://schemas.openxmlformats.org/officeDocument/2006/relationships/footer" Target="footer37.xml" /><Relationship Id="rId24" Type="http://schemas.openxmlformats.org/officeDocument/2006/relationships/hyperlink" Target="https://advance.lexis.com/api/document?collection=cases-ca&amp;id=urn:contentItem:5F7T-S771-JWBS-61H4-00000-00&amp;context=" TargetMode="External" /><Relationship Id="rId240" Type="http://schemas.openxmlformats.org/officeDocument/2006/relationships/footer" Target="footer38.xml" /><Relationship Id="rId241" Type="http://schemas.openxmlformats.org/officeDocument/2006/relationships/header" Target="header39.xml" /><Relationship Id="rId242" Type="http://schemas.openxmlformats.org/officeDocument/2006/relationships/footer" Target="footer39.xml" /><Relationship Id="rId243" Type="http://schemas.openxmlformats.org/officeDocument/2006/relationships/hyperlink" Target="https://advance.lexis.com/api/document?collection=cases-ca&amp;id=urn:contentItem:5GCC-XVB1-JGHR-M47S-00000-00&amp;context=" TargetMode="External" /><Relationship Id="rId244" Type="http://schemas.openxmlformats.org/officeDocument/2006/relationships/hyperlink" Target="https://advance.lexis.com/api/document?collection=cases-ca&amp;id=urn:contentItem:5F7T-S7N1-JW09-M0WH-00000-00&amp;context=" TargetMode="External" /><Relationship Id="rId245" Type="http://schemas.openxmlformats.org/officeDocument/2006/relationships/hyperlink" Target="https://advance.lexis.com/api/document?collection=cases-ca&amp;id=urn:contentItem:5F7T-S7P1-JSJC-X1P3-00000-00&amp;context=" TargetMode="External" /><Relationship Id="rId246" Type="http://schemas.openxmlformats.org/officeDocument/2006/relationships/hyperlink" Target="https://advance.lexis.com/api/document?collection=cases-ca&amp;id=urn:contentItem:5F7T-S7B1-F7ND-G53V-00000-00&amp;context=" TargetMode="External" /><Relationship Id="rId247" Type="http://schemas.openxmlformats.org/officeDocument/2006/relationships/hyperlink" Target="https://advance.lexis.com/api/document?collection=cases-ca&amp;id=urn:contentItem:5F7T-S6V1-F956-S051-00000-00&amp;context=" TargetMode="External" /><Relationship Id="rId248" Type="http://schemas.openxmlformats.org/officeDocument/2006/relationships/hyperlink" Target="https://advance.lexis.com/api/document?collection=cases-ca&amp;id=urn:contentItem:5F7T-S7D1-JN6B-S10F-00000-00&amp;context=" TargetMode="External" /><Relationship Id="rId249" Type="http://schemas.openxmlformats.org/officeDocument/2006/relationships/hyperlink" Target="https://advance.lexis.com/api/document?collection=cases-ca&amp;id=urn:contentItem:5F7T-S6T1-JJ1H-X20X-00000-00&amp;context=" TargetMode="External" /><Relationship Id="rId25" Type="http://schemas.openxmlformats.org/officeDocument/2006/relationships/hyperlink" Target="https://advance.lexis.com/api/document?collection=cases-ca&amp;id=urn:contentItem:5F7T-S7G1-FCYK-20BH-00000-00&amp;context=" TargetMode="External" /><Relationship Id="rId250" Type="http://schemas.openxmlformats.org/officeDocument/2006/relationships/hyperlink" Target="https://advance.lexis.com/api/document?collection=cases-ca&amp;id=urn:contentItem:5F7T-S771-JJD0-G1M3-00000-00&amp;context=" TargetMode="External" /><Relationship Id="rId251" Type="http://schemas.openxmlformats.org/officeDocument/2006/relationships/hyperlink" Target="https://advance.lexis.com/api/document?collection=cases-ca&amp;id=urn:contentItem:5F7T-S7D1-JG02-S2WW-00000-00&amp;context=" TargetMode="External" /><Relationship Id="rId252" Type="http://schemas.openxmlformats.org/officeDocument/2006/relationships/hyperlink" Target="https://advance.lexis.com/api/document?collection=cases-ca&amp;id=urn:contentItem:5F7T-S7N1-DXWW-207X-00000-00&amp;context=" TargetMode="External" /><Relationship Id="rId253" Type="http://schemas.openxmlformats.org/officeDocument/2006/relationships/hyperlink" Target="https://advance.lexis.com/api/document?collection=cases-ca&amp;id=urn:contentItem:5F7T-S7N1-F57G-S2BK-00000-00&amp;context=" TargetMode="External" /><Relationship Id="rId254" Type="http://schemas.openxmlformats.org/officeDocument/2006/relationships/hyperlink" Target="https://advance.lexis.com/api/document?collection=cases-ca&amp;id=urn:contentItem:5F7T-S6V1-JFKM-6197-00000-00&amp;context=" TargetMode="External" /><Relationship Id="rId255" Type="http://schemas.openxmlformats.org/officeDocument/2006/relationships/hyperlink" Target="https://advance.lexis.com/api/document?collection=cases-ca&amp;id=urn:contentItem:5F7T-S7K1-JNY7-X4B6-00000-00&amp;context=" TargetMode="External" /><Relationship Id="rId256" Type="http://schemas.openxmlformats.org/officeDocument/2006/relationships/hyperlink" Target="https://advance.lexis.com/api/document?collection=cases-ca&amp;id=urn:contentItem:5F7T-S7F1-JK4W-M1GJ-00000-00&amp;context=" TargetMode="External" /><Relationship Id="rId257" Type="http://schemas.openxmlformats.org/officeDocument/2006/relationships/hyperlink" Target="https://advance.lexis.com/api/document?collection=cases-ca&amp;id=urn:contentItem:5F7T-S7M1-F4W2-620S-00000-00&amp;context=" TargetMode="External" /><Relationship Id="rId258" Type="http://schemas.openxmlformats.org/officeDocument/2006/relationships/hyperlink" Target="https://advance.lexis.com/api/document?collection=cases-ca&amp;id=urn:contentItem:5F7T-S7K1-JWXF-2122-00000-00&amp;context=" TargetMode="External" /><Relationship Id="rId259" Type="http://schemas.openxmlformats.org/officeDocument/2006/relationships/hyperlink" Target="https://advance.lexis.com/api/document?collection=cases-ca&amp;id=urn:contentItem:5F7T-S7P1-F2TK-23RG-00000-00&amp;context=" TargetMode="External" /><Relationship Id="rId26" Type="http://schemas.openxmlformats.org/officeDocument/2006/relationships/hyperlink" Target="https://advance.lexis.com/api/document?collection=cases-ca&amp;id=urn:contentItem:5F8T-N3V1-JFKM-609G-00000-00&amp;context=" TargetMode="External" /><Relationship Id="rId260" Type="http://schemas.openxmlformats.org/officeDocument/2006/relationships/hyperlink" Target="https://advance.lexis.com/api/document?collection=cases-ca&amp;id=urn:contentItem:5F7T-S7P1-JNJT-B2JB-00000-00&amp;context=" TargetMode="External" /><Relationship Id="rId261" Type="http://schemas.openxmlformats.org/officeDocument/2006/relationships/header" Target="header40.xml" /><Relationship Id="rId262" Type="http://schemas.openxmlformats.org/officeDocument/2006/relationships/header" Target="header41.xml" /><Relationship Id="rId263" Type="http://schemas.openxmlformats.org/officeDocument/2006/relationships/footer" Target="footer40.xml" /><Relationship Id="rId264" Type="http://schemas.openxmlformats.org/officeDocument/2006/relationships/footer" Target="footer41.xml" /><Relationship Id="rId265" Type="http://schemas.openxmlformats.org/officeDocument/2006/relationships/header" Target="header42.xml" /><Relationship Id="rId266" Type="http://schemas.openxmlformats.org/officeDocument/2006/relationships/footer" Target="footer42.xml" /><Relationship Id="rId267" Type="http://schemas.openxmlformats.org/officeDocument/2006/relationships/hyperlink" Target="https://advance.lexis.com/api/document?collection=cases-ca&amp;id=urn:contentItem:5GDF-9NJ1-F016-S165-00000-00&amp;context=" TargetMode="External" /><Relationship Id="rId268" Type="http://schemas.openxmlformats.org/officeDocument/2006/relationships/hyperlink" Target="https://advance.lexis.com/api/document?collection=legislation-ca&amp;id=urn:contentItem:5W2C-X5M1-JPP5-23CD-00000-00&amp;context=" TargetMode="External" /><Relationship Id="rId269" Type="http://schemas.openxmlformats.org/officeDocument/2006/relationships/hyperlink" Target="https://advance.lexis.com/api/document?collection=cases-ca&amp;id=urn:contentItem:5F7T-S771-JWBS-61D0-00000-00&amp;context=" TargetMode="External" /><Relationship Id="rId27" Type="http://schemas.openxmlformats.org/officeDocument/2006/relationships/hyperlink" Target="https://advance.lexis.com/api/document?collection=cases-ca&amp;id=urn:contentItem:5F8P-SDB1-JJ6S-6515-00000-00&amp;context=" TargetMode="External" /><Relationship Id="rId270" Type="http://schemas.openxmlformats.org/officeDocument/2006/relationships/hyperlink" Target="https://advance.lexis.com/api/document?collection=cases-ca&amp;id=urn:contentItem:5F7T-S7N1-JJ1H-X2VM-00000-00&amp;context=" TargetMode="External" /><Relationship Id="rId271" Type="http://schemas.openxmlformats.org/officeDocument/2006/relationships/hyperlink" Target="https://advance.lexis.com/api/document?collection=cases-ca&amp;id=urn:contentItem:5GCC-XVC1-JSRM-60MF-00000-00&amp;context=" TargetMode="External" /><Relationship Id="rId272" Type="http://schemas.openxmlformats.org/officeDocument/2006/relationships/hyperlink" Target="https://advance.lexis.com/api/document?collection=cases-ca&amp;id=urn:contentItem:5F7T-S6Y1-FJDY-X23K-00000-00&amp;context=" TargetMode="External" /><Relationship Id="rId273" Type="http://schemas.openxmlformats.org/officeDocument/2006/relationships/hyperlink" Target="https://advance.lexis.com/api/document?collection=cases-ca&amp;id=urn:contentItem:5F8T-N3V1-FH4C-X252-00000-00&amp;context=" TargetMode="External" /><Relationship Id="rId274" Type="http://schemas.openxmlformats.org/officeDocument/2006/relationships/hyperlink" Target="https://advance.lexis.com/api/document?collection=cases-ca&amp;id=urn:contentItem:5F7T-S7H1-F4GK-M39T-00000-00&amp;context=" TargetMode="External" /><Relationship Id="rId275" Type="http://schemas.openxmlformats.org/officeDocument/2006/relationships/hyperlink" Target="https://advance.lexis.com/api/document?collection=cases-ca&amp;id=urn:contentItem:5F7T-S7H1-F4GK-M33P-00000-00&amp;context=" TargetMode="External" /><Relationship Id="rId276" Type="http://schemas.openxmlformats.org/officeDocument/2006/relationships/hyperlink" Target="https://advance.lexis.com/api/document?collection=cases-ca&amp;id=urn:contentItem:5F7T-S7H1-K054-G2DR-00000-00&amp;context=" TargetMode="External" /><Relationship Id="rId277" Type="http://schemas.openxmlformats.org/officeDocument/2006/relationships/hyperlink" Target="https://advance.lexis.com/api/document?collection=cases-ca&amp;id=urn:contentItem:5F7T-S711-JC0G-62TK-00000-00&amp;context=" TargetMode="External" /><Relationship Id="rId278" Type="http://schemas.openxmlformats.org/officeDocument/2006/relationships/hyperlink" Target="https://advance.lexis.com/api/document?collection=cases-ca&amp;id=urn:contentItem:5F7T-S781-F06F-23X6-00000-00&amp;context=" TargetMode="External" /><Relationship Id="rId279" Type="http://schemas.openxmlformats.org/officeDocument/2006/relationships/hyperlink" Target="https://advance.lexis.com/api/document?collection=cases-ca&amp;id=urn:contentItem:5F7T-S7F1-FJTD-G3K4-00000-00&amp;context=" TargetMode="External" /><Relationship Id="rId28" Type="http://schemas.openxmlformats.org/officeDocument/2006/relationships/hyperlink" Target="https://advance.lexis.com/api/document?collection=cases-ca&amp;id=urn:contentItem:5F7T-S7C1-JCJ5-20H6-00000-00&amp;context=" TargetMode="External" /><Relationship Id="rId280" Type="http://schemas.openxmlformats.org/officeDocument/2006/relationships/hyperlink" Target="https://advance.lexis.com/api/document?collection=cases-ca&amp;id=urn:contentItem:5F7T-S7N1-JC5P-G29R-00000-00&amp;context=" TargetMode="External" /><Relationship Id="rId281" Type="http://schemas.openxmlformats.org/officeDocument/2006/relationships/hyperlink" Target="https://advance.lexis.com/api/document?collection=cases-ca&amp;id=urn:contentItem:5G6F-0731-JSJC-X1B1-00000-00&amp;context=" TargetMode="External" /><Relationship Id="rId282" Type="http://schemas.openxmlformats.org/officeDocument/2006/relationships/hyperlink" Target="https://advance.lexis.com/api/document?collection=cases-ca&amp;id=urn:contentItem:5F7T-S7N1-JC5P-G1X3-00000-00&amp;context=" TargetMode="External" /><Relationship Id="rId283" Type="http://schemas.openxmlformats.org/officeDocument/2006/relationships/header" Target="header43.xml" /><Relationship Id="rId284" Type="http://schemas.openxmlformats.org/officeDocument/2006/relationships/header" Target="header44.xml" /><Relationship Id="rId285" Type="http://schemas.openxmlformats.org/officeDocument/2006/relationships/footer" Target="footer43.xml" /><Relationship Id="rId286" Type="http://schemas.openxmlformats.org/officeDocument/2006/relationships/footer" Target="footer44.xml" /><Relationship Id="rId287" Type="http://schemas.openxmlformats.org/officeDocument/2006/relationships/header" Target="header45.xml" /><Relationship Id="rId288" Type="http://schemas.openxmlformats.org/officeDocument/2006/relationships/footer" Target="footer45.xml" /><Relationship Id="rId289" Type="http://schemas.openxmlformats.org/officeDocument/2006/relationships/hyperlink" Target="https://advance.lexis.com/api/document?collection=cases-ca&amp;id=urn:contentItem:5JWR-WYC1-JB7K-24J2-00000-00&amp;context=" TargetMode="External" /><Relationship Id="rId29" Type="http://schemas.openxmlformats.org/officeDocument/2006/relationships/hyperlink" Target="https://advance.lexis.com/api/document?collection=cases-ca&amp;id=urn:contentItem:5F8W-M4F1-F1WF-M37R-00000-00&amp;context=" TargetMode="External" /><Relationship Id="rId290" Type="http://schemas.openxmlformats.org/officeDocument/2006/relationships/hyperlink" Target="https://advance.lexis.com/api/document?collection=legislation-ca&amp;id=urn:contentItem:5F41-1FK1-JSXV-G0KB-00000-00&amp;context=" TargetMode="External" /><Relationship Id="rId291" Type="http://schemas.openxmlformats.org/officeDocument/2006/relationships/hyperlink" Target="https://advance.lexis.com/api/document?collection=cases-ca&amp;id=urn:contentItem:5F7T-S7H1-JS5Y-B2X9-00000-00&amp;context=" TargetMode="External" /><Relationship Id="rId292" Type="http://schemas.openxmlformats.org/officeDocument/2006/relationships/hyperlink" Target="https://advance.lexis.com/api/document?collection=cases-ca&amp;id=urn:contentItem:5F7T-S6R1-F06F-21VH-00000-00&amp;context=" TargetMode="External" /><Relationship Id="rId293" Type="http://schemas.openxmlformats.org/officeDocument/2006/relationships/hyperlink" Target="https://advance.lexis.com/api/document?collection=cases-ca&amp;id=urn:contentItem:5F7T-S6P1-JSC5-M2G2-00000-00&amp;context=" TargetMode="External" /><Relationship Id="rId294" Type="http://schemas.openxmlformats.org/officeDocument/2006/relationships/hyperlink" Target="https://advance.lexis.com/api/document?collection=cases-ca&amp;id=urn:contentItem:5F8T-N3P1-F7ND-G1GP-00000-00&amp;context=" TargetMode="External" /><Relationship Id="rId295" Type="http://schemas.openxmlformats.org/officeDocument/2006/relationships/hyperlink" Target="https://advance.lexis.com/api/document?collection=cases-ca&amp;id=urn:contentItem:5F8T-N3R1-JJSF-230B-00000-00&amp;context=" TargetMode="External" /><Relationship Id="rId296" Type="http://schemas.openxmlformats.org/officeDocument/2006/relationships/hyperlink" Target="https://advance.lexis.com/api/document?collection=cases-ca&amp;id=urn:contentItem:5F7T-S7G1-JX3N-B2J7-00000-00&amp;context=" TargetMode="External" /><Relationship Id="rId297" Type="http://schemas.openxmlformats.org/officeDocument/2006/relationships/hyperlink" Target="https://advance.lexis.com/api/document?collection=cases-ca&amp;id=urn:contentItem:5F7T-S6R1-JSXV-G132-00000-00&amp;context=" TargetMode="External" /><Relationship Id="rId298" Type="http://schemas.openxmlformats.org/officeDocument/2006/relationships/hyperlink" Target="https://advance.lexis.com/api/document?collection=cases-ca&amp;id=urn:contentItem:5F7T-S6X1-FCCX-60KC-00000-00&amp;context=" TargetMode="External" /><Relationship Id="rId299" Type="http://schemas.openxmlformats.org/officeDocument/2006/relationships/hyperlink" Target="https://advance.lexis.com/api/document?collection=cases-ca&amp;id=urn:contentItem:5F81-WC31-F5KY-B4V9-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C1-F7ND-G05C-00000-00&amp;context=" TargetMode="External" /><Relationship Id="rId300" Type="http://schemas.openxmlformats.org/officeDocument/2006/relationships/hyperlink" Target="https://advance.lexis.com/api/document?collection=cases-ca&amp;id=urn:contentItem:5F8T-N3R1-JJSF-22YW-00000-00&amp;context=" TargetMode="External" /><Relationship Id="rId301" Type="http://schemas.openxmlformats.org/officeDocument/2006/relationships/hyperlink" Target="https://advance.lexis.com/api/document?collection=cases-ca&amp;id=urn:contentItem:5F81-YGV1-DYFH-X51T-00000-00&amp;context=" TargetMode="External" /><Relationship Id="rId302" Type="http://schemas.openxmlformats.org/officeDocument/2006/relationships/hyperlink" Target="https://advance.lexis.com/api/document?collection=cases-ca&amp;id=urn:contentItem:5F7T-S731-JNJT-B26G-00000-00&amp;context=" TargetMode="External" /><Relationship Id="rId303" Type="http://schemas.openxmlformats.org/officeDocument/2006/relationships/hyperlink" Target="https://advance.lexis.com/api/document?collection=cases-ca&amp;id=urn:contentItem:5F7T-S751-F361-M14J-00000-00&amp;context=" TargetMode="External" /><Relationship Id="rId304" Type="http://schemas.openxmlformats.org/officeDocument/2006/relationships/hyperlink" Target="https://advance.lexis.com/api/document?collection=cases-ca&amp;id=urn:contentItem:5F7T-S7H1-JS5Y-B2TC-00000-00&amp;context=" TargetMode="External" /><Relationship Id="rId305" Type="http://schemas.openxmlformats.org/officeDocument/2006/relationships/hyperlink" Target="https://advance.lexis.com/api/document?collection=cases-ca&amp;id=urn:contentItem:5JCF-TK21-JCBX-S2RX-00000-00&amp;context=" TargetMode="External" /><Relationship Id="rId306" Type="http://schemas.openxmlformats.org/officeDocument/2006/relationships/hyperlink" Target="https://advance.lexis.com/api/document?collection=cases-ca&amp;id=urn:contentItem:5F7T-S7F1-JK4W-M194-00000-00&amp;context=" TargetMode="External" /><Relationship Id="rId307" Type="http://schemas.openxmlformats.org/officeDocument/2006/relationships/header" Target="header46.xml" /><Relationship Id="rId308" Type="http://schemas.openxmlformats.org/officeDocument/2006/relationships/header" Target="header47.xml" /><Relationship Id="rId309" Type="http://schemas.openxmlformats.org/officeDocument/2006/relationships/footer" Target="footer46.xml" /><Relationship Id="rId31" Type="http://schemas.openxmlformats.org/officeDocument/2006/relationships/hyperlink" Target="https://advance.lexis.com/api/document?collection=cases-ca&amp;id=urn:contentItem:5F16-93C1-JSJC-X518-00000-00&amp;context=" TargetMode="External" /><Relationship Id="rId310" Type="http://schemas.openxmlformats.org/officeDocument/2006/relationships/footer" Target="footer47.xml" /><Relationship Id="rId311" Type="http://schemas.openxmlformats.org/officeDocument/2006/relationships/header" Target="header48.xml" /><Relationship Id="rId312" Type="http://schemas.openxmlformats.org/officeDocument/2006/relationships/footer" Target="footer48.xml" /><Relationship Id="rId313" Type="http://schemas.openxmlformats.org/officeDocument/2006/relationships/hyperlink" Target="https://advance.lexis.com/api/document?collection=cases-ca&amp;id=urn:contentItem:5F7T-S7C1-JS0R-22F2-00000-00&amp;context=" TargetMode="External" /><Relationship Id="rId314" Type="http://schemas.openxmlformats.org/officeDocument/2006/relationships/hyperlink" Target="https://advance.lexis.com/api/document?collection=legislation-ca&amp;id=urn:contentItem:5W2C-X5J1-JJ1H-X0F6-00000-00&amp;context=" TargetMode="External" /><Relationship Id="rId315" Type="http://schemas.openxmlformats.org/officeDocument/2006/relationships/hyperlink" Target="https://advance.lexis.com/api/document?collection=cases-ca&amp;id=urn:contentItem:5F8T-N3T1-JFKM-6545-00000-00&amp;context=" TargetMode="External" /><Relationship Id="rId316" Type="http://schemas.openxmlformats.org/officeDocument/2006/relationships/hyperlink" Target="https://advance.lexis.com/api/document?collection=cases-ca&amp;id=urn:contentItem:5F7T-S741-F528-G2CX-00000-00&amp;context=" TargetMode="External" /><Relationship Id="rId317" Type="http://schemas.openxmlformats.org/officeDocument/2006/relationships/hyperlink" Target="https://advance.lexis.com/api/document?collection=cases-ca&amp;id=urn:contentItem:5F81-VJX1-F22N-X21D-00000-00&amp;context=" TargetMode="External" /><Relationship Id="rId318" Type="http://schemas.openxmlformats.org/officeDocument/2006/relationships/hyperlink" Target="https://advance.lexis.com/api/document?collection=cases-ca&amp;id=urn:contentItem:5F8P-SCS1-FBFS-S0HK-00000-00&amp;context=" TargetMode="External" /><Relationship Id="rId319" Type="http://schemas.openxmlformats.org/officeDocument/2006/relationships/hyperlink" Target="https://advance.lexis.com/api/document?collection=cases-ca&amp;id=urn:contentItem:5F8T-N3V1-JF75-M3KC-00000-00&amp;context=" TargetMode="External" /><Relationship Id="rId32" Type="http://schemas.openxmlformats.org/officeDocument/2006/relationships/hyperlink" Target="https://advance.lexis.com/api/document?collection=cases-ca&amp;id=urn:contentItem:5F7T-S7F1-JBT7-X2P8-00000-00&amp;context=" TargetMode="External" /><Relationship Id="rId320" Type="http://schemas.openxmlformats.org/officeDocument/2006/relationships/hyperlink" Target="https://advance.lexis.com/api/document?collection=cases-ca&amp;id=urn:contentItem:5F8T-N3R1-JNS1-M12X-00000-00&amp;context=" TargetMode="External" /><Relationship Id="rId321" Type="http://schemas.openxmlformats.org/officeDocument/2006/relationships/hyperlink" Target="https://advance.lexis.com/api/document?collection=cases-ca&amp;id=urn:contentItem:5F8T-N3R1-FJDY-X2VJ-00000-00&amp;context=" TargetMode="External" /><Relationship Id="rId322" Type="http://schemas.openxmlformats.org/officeDocument/2006/relationships/header" Target="header49.xml" /><Relationship Id="rId323" Type="http://schemas.openxmlformats.org/officeDocument/2006/relationships/header" Target="header50.xml" /><Relationship Id="rId324" Type="http://schemas.openxmlformats.org/officeDocument/2006/relationships/footer" Target="footer49.xml" /><Relationship Id="rId325" Type="http://schemas.openxmlformats.org/officeDocument/2006/relationships/footer" Target="footer50.xml" /><Relationship Id="rId326" Type="http://schemas.openxmlformats.org/officeDocument/2006/relationships/header" Target="header51.xml" /><Relationship Id="rId327" Type="http://schemas.openxmlformats.org/officeDocument/2006/relationships/footer" Target="footer51.xml" /><Relationship Id="rId328" Type="http://schemas.openxmlformats.org/officeDocument/2006/relationships/hyperlink" Target="https://advance.lexis.com/api/document?collection=cases-ca&amp;id=urn:contentItem:5F7T-S791-FJTD-G2W2-00000-00&amp;context=" TargetMode="External" /><Relationship Id="rId329" Type="http://schemas.openxmlformats.org/officeDocument/2006/relationships/hyperlink" Target="https://advance.lexis.com/api/document?collection=legislation-ca&amp;id=urn:contentItem:5VYK-W9P1-JJ1H-X205-00000-00&amp;context=" TargetMode="External" /><Relationship Id="rId33" Type="http://schemas.openxmlformats.org/officeDocument/2006/relationships/hyperlink" Target="https://advance.lexis.com/api/document?collection=cases-ca&amp;id=urn:contentItem:5F16-9361-F27X-60W4-00000-00&amp;context=" TargetMode="External" /><Relationship Id="rId330" Type="http://schemas.openxmlformats.org/officeDocument/2006/relationships/hyperlink" Target="https://advance.lexis.com/api/document?collection=legislation-ca&amp;id=urn:contentItem:5VYK-WB51-FC1F-M3KS-00000-00&amp;context=" TargetMode="External" /><Relationship Id="rId331" Type="http://schemas.openxmlformats.org/officeDocument/2006/relationships/hyperlink" Target="https://advance.lexis.com/api/document?collection=cases-ca&amp;id=urn:contentItem:5F8W-M471-JC0G-615R-00000-00&amp;context=" TargetMode="External" /><Relationship Id="rId332" Type="http://schemas.openxmlformats.org/officeDocument/2006/relationships/hyperlink" Target="https://advance.lexis.com/api/document?collection=cases-ca&amp;id=urn:contentItem:5F8T-N3V1-FC1F-M48G-00000-00&amp;context=" TargetMode="External" /><Relationship Id="rId333" Type="http://schemas.openxmlformats.org/officeDocument/2006/relationships/hyperlink" Target="https://advance.lexis.com/api/document?collection=cases-ca&amp;id=urn:contentItem:5F8P-SBV1-DXWW-2288-00000-00&amp;context=" TargetMode="External" /><Relationship Id="rId334" Type="http://schemas.openxmlformats.org/officeDocument/2006/relationships/hyperlink" Target="https://advance.lexis.com/api/document?collection=cases-ca&amp;id=urn:contentItem:5F8T-N3S1-JBDT-B0CD-00000-00&amp;context=" TargetMode="External" /><Relationship Id="rId335" Type="http://schemas.openxmlformats.org/officeDocument/2006/relationships/hyperlink" Target="https://advance.lexis.com/api/document?collection=cases-ca&amp;id=urn:contentItem:5F7T-S6X1-F06F-22C1-00000-00&amp;context=" TargetMode="External" /><Relationship Id="rId336" Type="http://schemas.openxmlformats.org/officeDocument/2006/relationships/hyperlink" Target="https://advance.lexis.com/api/document?collection=cases-ca&amp;id=urn:contentItem:5F8P-SCJ1-FGJR-23N1-00000-00&amp;context=" TargetMode="External" /><Relationship Id="rId337" Type="http://schemas.openxmlformats.org/officeDocument/2006/relationships/hyperlink" Target="https://advance.lexis.com/api/document?collection=cases-ca&amp;id=urn:contentItem:5F81-VJX1-JKPJ-G1KW-00000-00&amp;context=" TargetMode="External" /><Relationship Id="rId338" Type="http://schemas.openxmlformats.org/officeDocument/2006/relationships/hyperlink" Target="https://advance.lexis.com/api/document?collection=cases-ca&amp;id=urn:contentItem:5F82-1SF1-JXG3-X2DX-00000-00&amp;context=" TargetMode="External" /><Relationship Id="rId339" Type="http://schemas.openxmlformats.org/officeDocument/2006/relationships/hyperlink" Target="https://advance.lexis.com/api/document?collection=cases-ca&amp;id=urn:contentItem:5F8T-N3V1-JF75-M3CB-00000-00&amp;context=" TargetMode="External" /><Relationship Id="rId34" Type="http://schemas.openxmlformats.org/officeDocument/2006/relationships/hyperlink" Target="https://advance.lexis.com/api/document?collection=cases-ca&amp;id=urn:contentItem:5F7T-XPW1-JFKM-63WS-00000-00&amp;context=" TargetMode="External" /><Relationship Id="rId340" Type="http://schemas.openxmlformats.org/officeDocument/2006/relationships/hyperlink" Target="https://advance.lexis.com/api/document?collection=cases-ca&amp;id=urn:contentItem:5F8W-M411-JP4G-63DR-00000-00&amp;context=" TargetMode="External" /><Relationship Id="rId341" Type="http://schemas.openxmlformats.org/officeDocument/2006/relationships/hyperlink" Target="https://advance.lexis.com/api/document?collection=cases-ca&amp;id=urn:contentItem:5F7T-S761-FFMK-M162-00000-00&amp;context=" TargetMode="External" /><Relationship Id="rId342" Type="http://schemas.openxmlformats.org/officeDocument/2006/relationships/hyperlink" Target="https://advance.lexis.com/api/document?collection=cases-ca&amp;id=urn:contentItem:5F7T-S771-JSJC-X0HG-00000-00&amp;context=" TargetMode="External" /><Relationship Id="rId343" Type="http://schemas.openxmlformats.org/officeDocument/2006/relationships/hyperlink" Target="https://advance.lexis.com/api/document?collection=cases-ca&amp;id=urn:contentItem:5F7T-S751-JG02-S279-00000-00&amp;context=" TargetMode="External" /><Relationship Id="rId344" Type="http://schemas.openxmlformats.org/officeDocument/2006/relationships/hyperlink" Target="https://advance.lexis.com/api/document?collection=cases-ca&amp;id=urn:contentItem:5F8T-N3S1-JBDT-B0C1-00000-00&amp;context=" TargetMode="External" /><Relationship Id="rId345" Type="http://schemas.openxmlformats.org/officeDocument/2006/relationships/header" Target="header52.xml" /><Relationship Id="rId346" Type="http://schemas.openxmlformats.org/officeDocument/2006/relationships/header" Target="header53.xml" /><Relationship Id="rId347" Type="http://schemas.openxmlformats.org/officeDocument/2006/relationships/footer" Target="footer52.xml" /><Relationship Id="rId348" Type="http://schemas.openxmlformats.org/officeDocument/2006/relationships/footer" Target="footer53.xml" /><Relationship Id="rId349" Type="http://schemas.openxmlformats.org/officeDocument/2006/relationships/header" Target="header54.xml" /><Relationship Id="rId35" Type="http://schemas.openxmlformats.org/officeDocument/2006/relationships/hyperlink" Target="https://advance.lexis.com/api/document?collection=cases-ca&amp;id=urn:contentItem:5F7T-S771-JSJC-X088-00000-00&amp;context=" TargetMode="External" /><Relationship Id="rId350" Type="http://schemas.openxmlformats.org/officeDocument/2006/relationships/footer" Target="footer54.xml" /><Relationship Id="rId351" Type="http://schemas.openxmlformats.org/officeDocument/2006/relationships/hyperlink" Target="https://advance.lexis.com/api/document?collection=cases-ca&amp;id=urn:contentItem:5F7T-S7D1-JXG3-X0RM-00000-00&amp;context=" TargetMode="External" /><Relationship Id="rId352" Type="http://schemas.openxmlformats.org/officeDocument/2006/relationships/header" Target="header55.xml" /><Relationship Id="rId353" Type="http://schemas.openxmlformats.org/officeDocument/2006/relationships/header" Target="header56.xml" /><Relationship Id="rId354" Type="http://schemas.openxmlformats.org/officeDocument/2006/relationships/footer" Target="footer55.xml" /><Relationship Id="rId355" Type="http://schemas.openxmlformats.org/officeDocument/2006/relationships/footer" Target="footer56.xml" /><Relationship Id="rId356" Type="http://schemas.openxmlformats.org/officeDocument/2006/relationships/header" Target="header57.xml" /><Relationship Id="rId357" Type="http://schemas.openxmlformats.org/officeDocument/2006/relationships/footer" Target="footer57.xml" /><Relationship Id="rId358" Type="http://schemas.openxmlformats.org/officeDocument/2006/relationships/hyperlink" Target="https://advance.lexis.com/api/document?collection=cases-ca&amp;id=urn:contentItem:5F7T-S7H1-JS5Y-B2NJ-00000-00&amp;context=" TargetMode="External" /><Relationship Id="rId359" Type="http://schemas.openxmlformats.org/officeDocument/2006/relationships/hyperlink" Target="https://advance.lexis.com/api/document?collection=legislation-ca&amp;id=urn:contentItem:5F41-1FJ1-JPGX-S0RN-00000-00&amp;context=" TargetMode="External" /><Relationship Id="rId36" Type="http://schemas.openxmlformats.org/officeDocument/2006/relationships/hyperlink" Target="https://advance.lexis.com/api/document?collection=cases-ca&amp;id=urn:contentItem:5F7T-S751-JX3N-B16N-00000-00&amp;context=" TargetMode="External" /><Relationship Id="rId360" Type="http://schemas.openxmlformats.org/officeDocument/2006/relationships/hyperlink" Target="https://advance.lexis.com/api/document?collection=cases-ca&amp;id=urn:contentItem:5F7T-S741-F528-G21K-00000-00&amp;context=" TargetMode="External" /><Relationship Id="rId361" Type="http://schemas.openxmlformats.org/officeDocument/2006/relationships/header" Target="header58.xml" /><Relationship Id="rId362" Type="http://schemas.openxmlformats.org/officeDocument/2006/relationships/header" Target="header59.xml" /><Relationship Id="rId363" Type="http://schemas.openxmlformats.org/officeDocument/2006/relationships/footer" Target="footer58.xml" /><Relationship Id="rId364" Type="http://schemas.openxmlformats.org/officeDocument/2006/relationships/footer" Target="footer59.xml" /><Relationship Id="rId365" Type="http://schemas.openxmlformats.org/officeDocument/2006/relationships/header" Target="header60.xml" /><Relationship Id="rId366" Type="http://schemas.openxmlformats.org/officeDocument/2006/relationships/footer" Target="footer60.xml" /><Relationship Id="rId367" Type="http://schemas.openxmlformats.org/officeDocument/2006/relationships/hyperlink" Target="https://advance.lexis.com/api/document?collection=cases-ca&amp;id=urn:contentItem:5F7T-S7C1-JXG3-X04W-00000-00&amp;context=" TargetMode="External" /><Relationship Id="rId368" Type="http://schemas.openxmlformats.org/officeDocument/2006/relationships/hyperlink" Target="https://advance.lexis.com/api/document?collection=cases-ca&amp;id=urn:contentItem:5F7T-S791-FJTD-G2F9-00000-00&amp;context=" TargetMode="External" /><Relationship Id="rId369" Type="http://schemas.openxmlformats.org/officeDocument/2006/relationships/hyperlink" Target="https://advance.lexis.com/api/document?collection=cases-ca&amp;id=urn:contentItem:5F7T-S721-F4NT-X2J1-00000-00&amp;context=" TargetMode="External" /><Relationship Id="rId37" Type="http://schemas.openxmlformats.org/officeDocument/2006/relationships/hyperlink" Target="https://advance.lexis.com/api/document?collection=cases-ca&amp;id=urn:contentItem:5F7T-S781-F7G6-639Y-00000-00&amp;context=" TargetMode="External" /><Relationship Id="rId370" Type="http://schemas.openxmlformats.org/officeDocument/2006/relationships/hyperlink" Target="https://advance.lexis.com/api/document?collection=cases-ca&amp;id=urn:contentItem:5F8P-SC71-JJ1H-X4VC-00000-00&amp;context=" TargetMode="External" /><Relationship Id="rId371" Type="http://schemas.openxmlformats.org/officeDocument/2006/relationships/hyperlink" Target="https://advance.lexis.com/api/document?collection=cases-ca&amp;id=urn:contentItem:5F7T-S6Y1-JSC5-M2V3-00000-00&amp;context=" TargetMode="External" /><Relationship Id="rId372" Type="http://schemas.openxmlformats.org/officeDocument/2006/relationships/hyperlink" Target="https://advance.lexis.com/api/document?collection=cases-ca&amp;id=urn:contentItem:5F7T-S6Y1-JP9P-G1M0-00000-00&amp;context=" TargetMode="External" /><Relationship Id="rId373" Type="http://schemas.openxmlformats.org/officeDocument/2006/relationships/hyperlink" Target="https://advance.lexis.com/api/document?collection=cases-ca&amp;id=urn:contentItem:5F7T-S6Y1-JPP5-21CF-00000-00&amp;context=" TargetMode="External" /><Relationship Id="rId374" Type="http://schemas.openxmlformats.org/officeDocument/2006/relationships/header" Target="header61.xml" /><Relationship Id="rId375" Type="http://schemas.openxmlformats.org/officeDocument/2006/relationships/header" Target="header62.xml" /><Relationship Id="rId376" Type="http://schemas.openxmlformats.org/officeDocument/2006/relationships/footer" Target="footer61.xml" /><Relationship Id="rId377" Type="http://schemas.openxmlformats.org/officeDocument/2006/relationships/footer" Target="footer62.xml" /><Relationship Id="rId378" Type="http://schemas.openxmlformats.org/officeDocument/2006/relationships/header" Target="header63.xml" /><Relationship Id="rId379" Type="http://schemas.openxmlformats.org/officeDocument/2006/relationships/footer" Target="footer63.xml" /><Relationship Id="rId38" Type="http://schemas.openxmlformats.org/officeDocument/2006/relationships/header" Target="header4.xml" /><Relationship Id="rId380" Type="http://schemas.openxmlformats.org/officeDocument/2006/relationships/hyperlink" Target="https://advance.lexis.com/api/document?collection=cases-ca&amp;id=urn:contentItem:5F7T-S7C1-F4NT-X418-00000-00&amp;context=" TargetMode="External" /><Relationship Id="rId381" Type="http://schemas.openxmlformats.org/officeDocument/2006/relationships/hyperlink" Target="https://advance.lexis.com/api/document?collection=cases-ca&amp;id=urn:contentItem:5F7T-S6V1-JFKM-61CW-00000-00&amp;context=" TargetMode="External" /><Relationship Id="rId382" Type="http://schemas.openxmlformats.org/officeDocument/2006/relationships/hyperlink" Target="https://advance.lexis.com/api/document?collection=cases-ca&amp;id=urn:contentItem:5F7T-S751-JGHR-M1V2-00000-00&amp;context=" TargetMode="External" /><Relationship Id="rId383" Type="http://schemas.openxmlformats.org/officeDocument/2006/relationships/header" Target="header64.xml" /><Relationship Id="rId384" Type="http://schemas.openxmlformats.org/officeDocument/2006/relationships/header" Target="header65.xml" /><Relationship Id="rId385" Type="http://schemas.openxmlformats.org/officeDocument/2006/relationships/footer" Target="footer64.xml" /><Relationship Id="rId386" Type="http://schemas.openxmlformats.org/officeDocument/2006/relationships/footer" Target="footer65.xml" /><Relationship Id="rId387" Type="http://schemas.openxmlformats.org/officeDocument/2006/relationships/header" Target="header66.xml" /><Relationship Id="rId388" Type="http://schemas.openxmlformats.org/officeDocument/2006/relationships/footer" Target="footer66.xml" /><Relationship Id="rId389" Type="http://schemas.openxmlformats.org/officeDocument/2006/relationships/hyperlink" Target="https://advance.lexis.com/api/document?collection=cases-ca&amp;id=urn:contentItem:5K6X-H241-JNS1-M0KK-00000-00&amp;context=" TargetMode="External" /><Relationship Id="rId39" Type="http://schemas.openxmlformats.org/officeDocument/2006/relationships/header" Target="header5.xml" /><Relationship Id="rId390" Type="http://schemas.openxmlformats.org/officeDocument/2006/relationships/hyperlink" Target="https://advance.lexis.com/api/document?collection=cases-ca&amp;id=urn:contentItem:5F7T-S7F1-DXWW-2429-00000-00&amp;context=" TargetMode="External" /><Relationship Id="rId391" Type="http://schemas.openxmlformats.org/officeDocument/2006/relationships/hyperlink" Target="https://advance.lexis.com/api/document?collection=legislation-ca&amp;id=urn:contentItem:5F41-1FJ1-JKPJ-G0P7-00000-00&amp;context=" TargetMode="External" /><Relationship Id="rId392" Type="http://schemas.openxmlformats.org/officeDocument/2006/relationships/header" Target="header67.xml" /><Relationship Id="rId393" Type="http://schemas.openxmlformats.org/officeDocument/2006/relationships/header" Target="header68.xml" /><Relationship Id="rId394" Type="http://schemas.openxmlformats.org/officeDocument/2006/relationships/footer" Target="footer67.xml" /><Relationship Id="rId395" Type="http://schemas.openxmlformats.org/officeDocument/2006/relationships/footer" Target="footer68.xml" /><Relationship Id="rId396" Type="http://schemas.openxmlformats.org/officeDocument/2006/relationships/header" Target="header69.xml" /><Relationship Id="rId397" Type="http://schemas.openxmlformats.org/officeDocument/2006/relationships/footer" Target="footer69.xml" /><Relationship Id="rId398" Type="http://schemas.openxmlformats.org/officeDocument/2006/relationships/hyperlink" Target="https://advance.lexis.com/api/document?collection=cases-ca&amp;id=urn:contentItem:5F7T-S791-FJTD-G2JJ-00000-00&amp;context=" TargetMode="External" /><Relationship Id="rId399" Type="http://schemas.openxmlformats.org/officeDocument/2006/relationships/hyperlink" Target="https://advance.lexis.com/api/document?collection=legislation-ca&amp;id=urn:contentItem:5F41-1FN1-JSXV-G18R-00000-00&amp;context=" TargetMode="External" /><Relationship Id="rId4" Type="http://schemas.openxmlformats.org/officeDocument/2006/relationships/header" Target="header1.xml" /><Relationship Id="rId40" Type="http://schemas.openxmlformats.org/officeDocument/2006/relationships/footer" Target="footer4.xml" /><Relationship Id="rId400" Type="http://schemas.openxmlformats.org/officeDocument/2006/relationships/hyperlink" Target="https://advance.lexis.com/api/document?collection=cases-ca&amp;id=urn:contentItem:5F81-VJX1-JP9P-G403-00000-00&amp;context=" TargetMode="External" /><Relationship Id="rId401" Type="http://schemas.openxmlformats.org/officeDocument/2006/relationships/header" Target="header70.xml" /><Relationship Id="rId402" Type="http://schemas.openxmlformats.org/officeDocument/2006/relationships/header" Target="header71.xml" /><Relationship Id="rId403" Type="http://schemas.openxmlformats.org/officeDocument/2006/relationships/footer" Target="footer70.xml" /><Relationship Id="rId404" Type="http://schemas.openxmlformats.org/officeDocument/2006/relationships/footer" Target="footer71.xml" /><Relationship Id="rId405" Type="http://schemas.openxmlformats.org/officeDocument/2006/relationships/header" Target="header72.xml" /><Relationship Id="rId406" Type="http://schemas.openxmlformats.org/officeDocument/2006/relationships/footer" Target="footer72.xml" /><Relationship Id="rId407" Type="http://schemas.openxmlformats.org/officeDocument/2006/relationships/hyperlink" Target="https://advance.lexis.com/api/document?collection=cases-ca&amp;id=urn:contentItem:5F7T-S771-JSJC-X059-00000-00&amp;context=" TargetMode="External" /><Relationship Id="rId408" Type="http://schemas.openxmlformats.org/officeDocument/2006/relationships/hyperlink" Target="https://advance.lexis.com/api/document?collection=cases-ca&amp;id=urn:contentItem:5F7T-S6Y1-JPP5-215W-00000-00&amp;context=" TargetMode="External" /><Relationship Id="rId409" Type="http://schemas.openxmlformats.org/officeDocument/2006/relationships/hyperlink" Target="https://advance.lexis.com/api/document?collection=cases-ca&amp;id=urn:contentItem:5F8P-SD51-JB2B-S0JF-00000-00&amp;context=" TargetMode="External" /><Relationship Id="rId41" Type="http://schemas.openxmlformats.org/officeDocument/2006/relationships/footer" Target="footer5.xml" /><Relationship Id="rId410" Type="http://schemas.openxmlformats.org/officeDocument/2006/relationships/hyperlink" Target="https://advance.lexis.com/api/document?collection=cases-ca&amp;id=urn:contentItem:5F7T-S771-F2TK-22T7-00000-00&amp;context=" TargetMode="External" /><Relationship Id="rId411" Type="http://schemas.openxmlformats.org/officeDocument/2006/relationships/hyperlink" Target="https://advance.lexis.com/api/document?collection=cases-ca&amp;id=urn:contentItem:5F81-VJX1-JJYN-B4JR-00000-00&amp;context=" TargetMode="External" /><Relationship Id="rId412" Type="http://schemas.openxmlformats.org/officeDocument/2006/relationships/hyperlink" Target="https://advance.lexis.com/api/document?collection=cases-ca&amp;id=urn:contentItem:5F16-9351-F7VM-S3C9-00000-00&amp;context=" TargetMode="External" /><Relationship Id="rId413" Type="http://schemas.openxmlformats.org/officeDocument/2006/relationships/hyperlink" Target="https://advance.lexis.com/api/document?collection=cases-ca&amp;id=urn:contentItem:5F16-9351-JTNR-M4PY-00000-00&amp;context=" TargetMode="External" /><Relationship Id="rId414" Type="http://schemas.openxmlformats.org/officeDocument/2006/relationships/header" Target="header73.xml" /><Relationship Id="rId415" Type="http://schemas.openxmlformats.org/officeDocument/2006/relationships/header" Target="header74.xml" /><Relationship Id="rId416" Type="http://schemas.openxmlformats.org/officeDocument/2006/relationships/footer" Target="footer73.xml" /><Relationship Id="rId417" Type="http://schemas.openxmlformats.org/officeDocument/2006/relationships/footer" Target="footer74.xml" /><Relationship Id="rId418" Type="http://schemas.openxmlformats.org/officeDocument/2006/relationships/header" Target="header75.xml" /><Relationship Id="rId419" Type="http://schemas.openxmlformats.org/officeDocument/2006/relationships/footer" Target="footer75.xml" /><Relationship Id="rId42" Type="http://schemas.openxmlformats.org/officeDocument/2006/relationships/header" Target="header6.xml" /><Relationship Id="rId420" Type="http://schemas.openxmlformats.org/officeDocument/2006/relationships/hyperlink" Target="https://advance.lexis.com/api/document?collection=cases-ca&amp;id=urn:contentItem:5F7T-S7C1-F7ND-G06R-00000-00&amp;context=" TargetMode="External" /><Relationship Id="rId421" Type="http://schemas.openxmlformats.org/officeDocument/2006/relationships/hyperlink" Target="https://advance.lexis.com/api/document?collection=cases-ca&amp;id=urn:contentItem:5F7T-S6Y1-JNY7-X2NF-00000-00&amp;context=" TargetMode="External" /><Relationship Id="rId422" Type="http://schemas.openxmlformats.org/officeDocument/2006/relationships/hyperlink" Target="https://advance.lexis.com/api/document?collection=cases-ca&amp;id=urn:contentItem:5F7T-S731-F1WF-M2C0-00000-00&amp;context=" TargetMode="External" /><Relationship Id="rId423" Type="http://schemas.openxmlformats.org/officeDocument/2006/relationships/hyperlink" Target="https://advance.lexis.com/api/document?collection=cases-ca&amp;id=urn:contentItem:5F7T-S751-JBM1-M2H8-00000-00&amp;context=" TargetMode="External" /><Relationship Id="rId424" Type="http://schemas.openxmlformats.org/officeDocument/2006/relationships/hyperlink" Target="https://advance.lexis.com/api/document?collection=cases-ca&amp;id=urn:contentItem:5F7T-S731-JC0G-6384-00000-00&amp;context=" TargetMode="External" /><Relationship Id="rId425" Type="http://schemas.openxmlformats.org/officeDocument/2006/relationships/hyperlink" Target="https://advance.lexis.com/api/document?collection=cases-ca&amp;id=urn:contentItem:5F7T-S751-JCJ5-24PJ-00000-00&amp;context=" TargetMode="External" /><Relationship Id="rId426" Type="http://schemas.openxmlformats.org/officeDocument/2006/relationships/hyperlink" Target="https://advance.lexis.com/api/document?collection=cases-ca&amp;id=urn:contentItem:5F7T-S7B1-JCJ5-200M-00000-00&amp;context=" TargetMode="External" /><Relationship Id="rId427" Type="http://schemas.openxmlformats.org/officeDocument/2006/relationships/hyperlink" Target="https://advance.lexis.com/api/document?collection=cases-ca&amp;id=urn:contentItem:5F7T-S761-FGJR-22C3-00000-00&amp;context=" TargetMode="External" /><Relationship Id="rId428" Type="http://schemas.openxmlformats.org/officeDocument/2006/relationships/header" Target="header76.xml" /><Relationship Id="rId429" Type="http://schemas.openxmlformats.org/officeDocument/2006/relationships/header" Target="header77.xml" /><Relationship Id="rId43" Type="http://schemas.openxmlformats.org/officeDocument/2006/relationships/footer" Target="footer6.xml" /><Relationship Id="rId430" Type="http://schemas.openxmlformats.org/officeDocument/2006/relationships/footer" Target="footer76.xml" /><Relationship Id="rId431" Type="http://schemas.openxmlformats.org/officeDocument/2006/relationships/footer" Target="footer77.xml" /><Relationship Id="rId432" Type="http://schemas.openxmlformats.org/officeDocument/2006/relationships/header" Target="header78.xml" /><Relationship Id="rId433" Type="http://schemas.openxmlformats.org/officeDocument/2006/relationships/footer" Target="footer78.xml" /><Relationship Id="rId434" Type="http://schemas.openxmlformats.org/officeDocument/2006/relationships/hyperlink" Target="https://advance.lexis.com/api/document?collection=cases-ca&amp;id=urn:contentItem:5RGS-CBH1-F1WF-M4WC-00000-00&amp;context=" TargetMode="External" /><Relationship Id="rId435" Type="http://schemas.openxmlformats.org/officeDocument/2006/relationships/hyperlink" Target="https://advance.lexis.com/api/document?collection=legislation-ca&amp;id=urn:contentItem:5F41-1FJ1-JBDT-B06F-00000-00&amp;context=" TargetMode="External" /><Relationship Id="rId436" Type="http://schemas.openxmlformats.org/officeDocument/2006/relationships/hyperlink" Target="https://advance.lexis.com/api/document?collection=cases-ca&amp;id=urn:contentItem:5F7T-S741-F1H1-21RG-00000-00&amp;context=" TargetMode="External" /><Relationship Id="rId437" Type="http://schemas.openxmlformats.org/officeDocument/2006/relationships/hyperlink" Target="https://advance.lexis.com/api/document?collection=cases-ca&amp;id=urn:contentItem:5F7T-S721-F06F-2327-00000-00&amp;context=" TargetMode="External" /><Relationship Id="rId438" Type="http://schemas.openxmlformats.org/officeDocument/2006/relationships/hyperlink" Target="https://advance.lexis.com/api/document?collection=cases-ca&amp;id=urn:contentItem:5N5Y-0C91-JF1Y-B3TC-00000-00&amp;context=" TargetMode="External" /><Relationship Id="rId439" Type="http://schemas.openxmlformats.org/officeDocument/2006/relationships/hyperlink" Target="https://advance.lexis.com/api/document?collection=cases-ca&amp;id=urn:contentItem:5F7T-S7G1-JPP5-21X4-00000-00&amp;context=" TargetMode="External" /><Relationship Id="rId44" Type="http://schemas.openxmlformats.org/officeDocument/2006/relationships/hyperlink" Target="https://advance.lexis.com/api/document?collection=cases-ca&amp;id=urn:contentItem:5F7T-S771-JJD0-G134-00000-00&amp;context=" TargetMode="External" /><Relationship Id="rId440" Type="http://schemas.openxmlformats.org/officeDocument/2006/relationships/hyperlink" Target="https://advance.lexis.com/api/document?collection=cases-ca&amp;id=urn:contentItem:5F7T-S751-JP4G-61JG-00000-00&amp;context=" TargetMode="External" /><Relationship Id="rId441" Type="http://schemas.openxmlformats.org/officeDocument/2006/relationships/header" Target="header79.xml" /><Relationship Id="rId442" Type="http://schemas.openxmlformats.org/officeDocument/2006/relationships/header" Target="header80.xml" /><Relationship Id="rId443" Type="http://schemas.openxmlformats.org/officeDocument/2006/relationships/footer" Target="footer79.xml" /><Relationship Id="rId444" Type="http://schemas.openxmlformats.org/officeDocument/2006/relationships/footer" Target="footer80.xml" /><Relationship Id="rId445" Type="http://schemas.openxmlformats.org/officeDocument/2006/relationships/header" Target="header81.xml" /><Relationship Id="rId446" Type="http://schemas.openxmlformats.org/officeDocument/2006/relationships/footer" Target="footer81.xml" /><Relationship Id="rId447" Type="http://schemas.openxmlformats.org/officeDocument/2006/relationships/hyperlink" Target="https://advance.lexis.com/api/document?collection=cases-ca&amp;id=urn:contentItem:5F7T-S7B1-FH4C-X3TF-00000-00&amp;context=" TargetMode="External" /><Relationship Id="rId448" Type="http://schemas.openxmlformats.org/officeDocument/2006/relationships/hyperlink" Target="https://advance.lexis.com/api/document?collection=legislation-ca&amp;id=urn:contentItem:5VYK-W9X1-JN6B-S1KB-00000-00&amp;context=" TargetMode="External" /><Relationship Id="rId449" Type="http://schemas.openxmlformats.org/officeDocument/2006/relationships/hyperlink" Target="https://advance.lexis.com/api/document?collection=cases-ca&amp;id=urn:contentItem:5F7T-S711-JG02-S1GR-00000-00&amp;context=" TargetMode="External" /><Relationship Id="rId45" Type="http://schemas.openxmlformats.org/officeDocument/2006/relationships/hyperlink" Target="https://advance.lexis.com/api/document?collection=cases-ca&amp;id=urn:contentItem:5F7T-S771-F81W-22HR-00000-00&amp;context=" TargetMode="External" /><Relationship Id="rId450" Type="http://schemas.openxmlformats.org/officeDocument/2006/relationships/hyperlink" Target="https://advance.lexis.com/api/document?collection=cases-ca&amp;id=urn:contentItem:5F8T-N3T1-JJSF-2339-00000-00&amp;context=" TargetMode="External" /><Relationship Id="rId451" Type="http://schemas.openxmlformats.org/officeDocument/2006/relationships/hyperlink" Target="https://advance.lexis.com/api/document?collection=cases-ca&amp;id=urn:contentItem:5F8P-SD81-JX8W-M4RR-00000-00&amp;context=" TargetMode="External" /><Relationship Id="rId452" Type="http://schemas.openxmlformats.org/officeDocument/2006/relationships/hyperlink" Target="https://advance.lexis.com/api/document?collection=cases-ca&amp;id=urn:contentItem:5F8T-N3T1-JJSF-235C-00000-00&amp;context=" TargetMode="External" /><Relationship Id="rId453" Type="http://schemas.openxmlformats.org/officeDocument/2006/relationships/hyperlink" Target="https://advance.lexis.com/api/document?collection=cases-ca&amp;id=urn:contentItem:5F81-VJX1-JJYN-B4N5-00000-00&amp;context=" TargetMode="External" /><Relationship Id="rId454" Type="http://schemas.openxmlformats.org/officeDocument/2006/relationships/hyperlink" Target="https://advance.lexis.com/api/document?collection=cases-ca&amp;id=urn:contentItem:5F7T-S731-F1WF-M21D-00000-00&amp;context=" TargetMode="External" /><Relationship Id="rId455" Type="http://schemas.openxmlformats.org/officeDocument/2006/relationships/hyperlink" Target="https://advance.lexis.com/api/document?collection=cases-ca&amp;id=urn:contentItem:5F7T-S6Y1-F4GK-M22D-00000-00&amp;context=" TargetMode="External" /><Relationship Id="rId456" Type="http://schemas.openxmlformats.org/officeDocument/2006/relationships/hyperlink" Target="https://advance.lexis.com/api/document?collection=cases-ca&amp;id=urn:contentItem:5F7T-S751-JX3N-B12X-00000-00&amp;context=" TargetMode="External" /><Relationship Id="rId457" Type="http://schemas.openxmlformats.org/officeDocument/2006/relationships/header" Target="header82.xml" /><Relationship Id="rId458" Type="http://schemas.openxmlformats.org/officeDocument/2006/relationships/header" Target="header83.xml" /><Relationship Id="rId459" Type="http://schemas.openxmlformats.org/officeDocument/2006/relationships/footer" Target="footer82.xml" /><Relationship Id="rId46" Type="http://schemas.openxmlformats.org/officeDocument/2006/relationships/hyperlink" Target="https://advance.lexis.com/api/document?collection=cases-ca&amp;id=urn:contentItem:5F7T-S711-F27X-60R5-00000-00&amp;context=" TargetMode="External" /><Relationship Id="rId460" Type="http://schemas.openxmlformats.org/officeDocument/2006/relationships/footer" Target="footer83.xml" /><Relationship Id="rId461" Type="http://schemas.openxmlformats.org/officeDocument/2006/relationships/header" Target="header84.xml" /><Relationship Id="rId462" Type="http://schemas.openxmlformats.org/officeDocument/2006/relationships/footer" Target="footer84.xml" /><Relationship Id="rId463" Type="http://schemas.openxmlformats.org/officeDocument/2006/relationships/hyperlink" Target="https://advance.lexis.com/api/document?collection=cases-ca&amp;id=urn:contentItem:5F7T-S7C1-F4NT-X41C-00000-00&amp;context=" TargetMode="External" /><Relationship Id="rId464" Type="http://schemas.openxmlformats.org/officeDocument/2006/relationships/hyperlink" Target="https://advance.lexis.com/api/document?collection=cases-ca&amp;id=urn:contentItem:5F7T-S6T1-FJTD-G1P0-00000-00&amp;context=" TargetMode="External" /><Relationship Id="rId465" Type="http://schemas.openxmlformats.org/officeDocument/2006/relationships/hyperlink" Target="https://advance.lexis.com/api/document?collection=cases-ca&amp;id=urn:contentItem:5F7T-S6S1-F60C-X0PK-00000-00&amp;context=" TargetMode="External" /><Relationship Id="rId466" Type="http://schemas.openxmlformats.org/officeDocument/2006/relationships/hyperlink" Target="https://advance.lexis.com/api/document?collection=cases-ca&amp;id=urn:contentItem:5F7T-S771-JN14-G2D9-00000-00&amp;context=" TargetMode="External" /><Relationship Id="rId467" Type="http://schemas.openxmlformats.org/officeDocument/2006/relationships/hyperlink" Target="https://advance.lexis.com/api/document?collection=cases-ca&amp;id=urn:contentItem:5F7T-S6X1-F7G6-627K-00000-00&amp;context=" TargetMode="External" /><Relationship Id="rId468" Type="http://schemas.openxmlformats.org/officeDocument/2006/relationships/header" Target="header85.xml" /><Relationship Id="rId469" Type="http://schemas.openxmlformats.org/officeDocument/2006/relationships/header" Target="header86.xml" /><Relationship Id="rId47" Type="http://schemas.openxmlformats.org/officeDocument/2006/relationships/hyperlink" Target="https://advance.lexis.com/api/document?collection=cases-ca&amp;id=urn:contentItem:5F7T-S741-DY89-M3J2-00000-00&amp;context=" TargetMode="External" /><Relationship Id="rId470" Type="http://schemas.openxmlformats.org/officeDocument/2006/relationships/footer" Target="footer85.xml" /><Relationship Id="rId471" Type="http://schemas.openxmlformats.org/officeDocument/2006/relationships/footer" Target="footer86.xml" /><Relationship Id="rId472" Type="http://schemas.openxmlformats.org/officeDocument/2006/relationships/header" Target="header87.xml" /><Relationship Id="rId473" Type="http://schemas.openxmlformats.org/officeDocument/2006/relationships/footer" Target="footer87.xml" /><Relationship Id="rId474" Type="http://schemas.openxmlformats.org/officeDocument/2006/relationships/hyperlink" Target="https://advance.lexis.com/api/document?collection=cases-ca&amp;id=urn:contentItem:5F7T-S781-F7G6-637W-00000-00&amp;context=" TargetMode="External" /><Relationship Id="rId475" Type="http://schemas.openxmlformats.org/officeDocument/2006/relationships/header" Target="header88.xml" /><Relationship Id="rId476" Type="http://schemas.openxmlformats.org/officeDocument/2006/relationships/header" Target="header89.xml" /><Relationship Id="rId477" Type="http://schemas.openxmlformats.org/officeDocument/2006/relationships/footer" Target="footer88.xml" /><Relationship Id="rId478" Type="http://schemas.openxmlformats.org/officeDocument/2006/relationships/footer" Target="footer89.xml" /><Relationship Id="rId479" Type="http://schemas.openxmlformats.org/officeDocument/2006/relationships/header" Target="header90.xml" /><Relationship Id="rId48" Type="http://schemas.openxmlformats.org/officeDocument/2006/relationships/hyperlink" Target="https://advance.lexis.com/api/document?collection=cases-ca&amp;id=urn:contentItem:5F7T-S6T1-FJTD-G17V-00000-00&amp;context=" TargetMode="External" /><Relationship Id="rId480" Type="http://schemas.openxmlformats.org/officeDocument/2006/relationships/footer" Target="footer90.xml" /><Relationship Id="rId481" Type="http://schemas.openxmlformats.org/officeDocument/2006/relationships/hyperlink" Target="https://advance.lexis.com/api/document?collection=cases-ca&amp;id=urn:contentItem:5F7T-S7M1-JNCK-22W6-00000-00&amp;context=" TargetMode="External" /><Relationship Id="rId482" Type="http://schemas.openxmlformats.org/officeDocument/2006/relationships/hyperlink" Target="https://advance.lexis.com/api/document?collection=legislation-ca&amp;id=urn:contentItem:5F41-1FJ1-F5KY-B23W-00000-00&amp;context=" TargetMode="External" /><Relationship Id="rId483" Type="http://schemas.openxmlformats.org/officeDocument/2006/relationships/hyperlink" Target="https://advance.lexis.com/api/document?collection=legislation-ca&amp;id=urn:contentItem:5TBM-3RN1-FBV7-B0M1-00000-00&amp;context=" TargetMode="External" /><Relationship Id="rId484" Type="http://schemas.openxmlformats.org/officeDocument/2006/relationships/hyperlink" Target="https://advance.lexis.com/api/document?collection=legislation-ca&amp;id=urn:contentItem:5W3Y-TSR1-FC6N-X0HD-00000-00&amp;context=" TargetMode="External" /><Relationship Id="rId485" Type="http://schemas.openxmlformats.org/officeDocument/2006/relationships/hyperlink" Target="https://advance.lexis.com/api/document?collection=cases-ca&amp;id=urn:contentItem:5F8T-N3V1-FC1F-M46D-00000-00&amp;context=" TargetMode="External" /><Relationship Id="rId486" Type="http://schemas.openxmlformats.org/officeDocument/2006/relationships/hyperlink" Target="https://advance.lexis.com/api/document?collection=cases-ca&amp;id=urn:contentItem:5F7T-S771-JTGH-B1KF-00000-00&amp;context=" TargetMode="External" /><Relationship Id="rId487" Type="http://schemas.openxmlformats.org/officeDocument/2006/relationships/hyperlink" Target="https://advance.lexis.com/api/document?collection=legislation-ca&amp;id=urn:contentItem:5F41-1FG1-FC1F-M0TW-00000-00&amp;context=" TargetMode="External" /><Relationship Id="rId488" Type="http://schemas.openxmlformats.org/officeDocument/2006/relationships/header" Target="header91.xml" /><Relationship Id="rId489" Type="http://schemas.openxmlformats.org/officeDocument/2006/relationships/header" Target="header92.xml" /><Relationship Id="rId49" Type="http://schemas.openxmlformats.org/officeDocument/2006/relationships/hyperlink" Target="https://advance.lexis.com/api/document?collection=cases-ca&amp;id=urn:contentItem:5F7T-S751-JP4G-61HR-00000-00&amp;context=" TargetMode="External" /><Relationship Id="rId490" Type="http://schemas.openxmlformats.org/officeDocument/2006/relationships/footer" Target="footer91.xml" /><Relationship Id="rId491" Type="http://schemas.openxmlformats.org/officeDocument/2006/relationships/footer" Target="footer92.xml" /><Relationship Id="rId492" Type="http://schemas.openxmlformats.org/officeDocument/2006/relationships/header" Target="header93.xml" /><Relationship Id="rId493" Type="http://schemas.openxmlformats.org/officeDocument/2006/relationships/footer" Target="footer93.xml" /><Relationship Id="rId494" Type="http://schemas.openxmlformats.org/officeDocument/2006/relationships/hyperlink" Target="https://advance.lexis.com/api/document?collection=cases-ca&amp;id=urn:contentItem:5F7T-S7G1-FCYK-2093-00000-00&amp;context=" TargetMode="External" /><Relationship Id="rId495" Type="http://schemas.openxmlformats.org/officeDocument/2006/relationships/hyperlink" Target="https://advance.lexis.com/api/document?collection=cases-ca&amp;id=urn:contentItem:5F81-YH41-JX8W-M05P-00000-00&amp;context=" TargetMode="External" /><Relationship Id="rId496" Type="http://schemas.openxmlformats.org/officeDocument/2006/relationships/hyperlink" Target="https://advance.lexis.com/api/document?collection=cases-ca&amp;id=urn:contentItem:5F8P-SC81-JN14-G258-00000-00&amp;context=" TargetMode="External" /><Relationship Id="rId497" Type="http://schemas.openxmlformats.org/officeDocument/2006/relationships/hyperlink" Target="https://advance.lexis.com/api/document?collection=cases-ca&amp;id=urn:contentItem:5F81-YH41-JX8W-M05N-00000-00&amp;context=" TargetMode="External" /><Relationship Id="rId498" Type="http://schemas.openxmlformats.org/officeDocument/2006/relationships/hyperlink" Target="https://advance.lexis.com/api/document?collection=cases-ca&amp;id=urn:contentItem:5F81-WC31-F5KY-B4SM-00000-00&amp;context=" TargetMode="External" /><Relationship Id="rId499" Type="http://schemas.openxmlformats.org/officeDocument/2006/relationships/hyperlink" Target="https://advance.lexis.com/api/document?collection=cases-ca&amp;id=urn:contentItem:5F7T-S6T1-JK4W-M0DV-00000-00&amp;context=" TargetMode="External" /><Relationship Id="rId5" Type="http://schemas.openxmlformats.org/officeDocument/2006/relationships/header" Target="header2.xml" /><Relationship Id="rId50" Type="http://schemas.openxmlformats.org/officeDocument/2006/relationships/header" Target="header7.xml" /><Relationship Id="rId500" Type="http://schemas.openxmlformats.org/officeDocument/2006/relationships/hyperlink" Target="https://advance.lexis.com/api/document?collection=cases-ca&amp;id=urn:contentItem:5F7T-S7H1-JG02-S3RS-00000-00&amp;context=" TargetMode="External" /><Relationship Id="rId501" Type="http://schemas.openxmlformats.org/officeDocument/2006/relationships/hyperlink" Target="https://advance.lexis.com/api/document?collection=cases-ca&amp;id=urn:contentItem:5K6Y-81N1-JT99-219Y-00000-00&amp;context=" TargetMode="External" /><Relationship Id="rId502" Type="http://schemas.openxmlformats.org/officeDocument/2006/relationships/hyperlink" Target="https://advance.lexis.com/api/document?collection=cases-ca&amp;id=urn:contentItem:5F8T-N3P1-FC6N-X1BS-00000-00&amp;context=" TargetMode="External" /><Relationship Id="rId503" Type="http://schemas.openxmlformats.org/officeDocument/2006/relationships/hyperlink" Target="https://advance.lexis.com/api/document?collection=cases-ca&amp;id=urn:contentItem:5F7T-S7D1-FC6N-X0DR-00000-00&amp;context=" TargetMode="External" /><Relationship Id="rId504" Type="http://schemas.openxmlformats.org/officeDocument/2006/relationships/hyperlink" Target="https://advance.lexis.com/api/document?collection=cases-ca&amp;id=urn:contentItem:5F8T-N3R1-JNS1-M17Y-00000-00&amp;context=" TargetMode="External" /><Relationship Id="rId505" Type="http://schemas.openxmlformats.org/officeDocument/2006/relationships/hyperlink" Target="https://advance.lexis.com/api/document?collection=cases-ca&amp;id=urn:contentItem:5F7T-S711-F5KY-B118-00000-00&amp;context=" TargetMode="External" /><Relationship Id="rId506" Type="http://schemas.openxmlformats.org/officeDocument/2006/relationships/hyperlink" Target="https://advance.lexis.com/api/document?collection=cases-ca&amp;id=urn:contentItem:5F7T-S751-JG02-S2B2-00000-00&amp;context=" TargetMode="External" /><Relationship Id="rId507" Type="http://schemas.openxmlformats.org/officeDocument/2006/relationships/hyperlink" Target="https://advance.lexis.com/api/document?collection=cases-ca&amp;id=urn:contentItem:5F7T-S731-F016-S325-00000-00&amp;context=" TargetMode="External" /><Relationship Id="rId508" Type="http://schemas.openxmlformats.org/officeDocument/2006/relationships/hyperlink" Target="https://advance.lexis.com/api/document?collection=cases-ca&amp;id=urn:contentItem:5F7T-S7C1-F7ND-G00K-00000-00&amp;context=" TargetMode="External" /><Relationship Id="rId509" Type="http://schemas.openxmlformats.org/officeDocument/2006/relationships/hyperlink" Target="https://advance.lexis.com/api/document?collection=cases-ca&amp;id=urn:contentItem:5F7T-S7D1-FFFC-B1HB-00000-00&amp;context=" TargetMode="External" /><Relationship Id="rId51" Type="http://schemas.openxmlformats.org/officeDocument/2006/relationships/header" Target="header8.xml" /><Relationship Id="rId510" Type="http://schemas.openxmlformats.org/officeDocument/2006/relationships/hyperlink" Target="https://advance.lexis.com/api/document?collection=cases-ca&amp;id=urn:contentItem:5F7T-S771-F2TK-22WY-00000-00&amp;context=" TargetMode="External" /><Relationship Id="rId511" Type="http://schemas.openxmlformats.org/officeDocument/2006/relationships/header" Target="header94.xml" /><Relationship Id="rId512" Type="http://schemas.openxmlformats.org/officeDocument/2006/relationships/header" Target="header95.xml" /><Relationship Id="rId513" Type="http://schemas.openxmlformats.org/officeDocument/2006/relationships/footer" Target="footer94.xml" /><Relationship Id="rId514" Type="http://schemas.openxmlformats.org/officeDocument/2006/relationships/footer" Target="footer95.xml" /><Relationship Id="rId515" Type="http://schemas.openxmlformats.org/officeDocument/2006/relationships/header" Target="header96.xml" /><Relationship Id="rId516" Type="http://schemas.openxmlformats.org/officeDocument/2006/relationships/footer" Target="footer96.xml" /><Relationship Id="rId517" Type="http://schemas.openxmlformats.org/officeDocument/2006/relationships/hyperlink" Target="https://advance.lexis.com/api/document?collection=cases-ca&amp;id=urn:contentItem:5F7T-S7F1-FFFC-B26H-00000-00&amp;context=" TargetMode="External" /><Relationship Id="rId518" Type="http://schemas.openxmlformats.org/officeDocument/2006/relationships/header" Target="header97.xml" /><Relationship Id="rId519" Type="http://schemas.openxmlformats.org/officeDocument/2006/relationships/header" Target="header98.xml" /><Relationship Id="rId52" Type="http://schemas.openxmlformats.org/officeDocument/2006/relationships/footer" Target="footer7.xml" /><Relationship Id="rId520" Type="http://schemas.openxmlformats.org/officeDocument/2006/relationships/footer" Target="footer97.xml" /><Relationship Id="rId521" Type="http://schemas.openxmlformats.org/officeDocument/2006/relationships/footer" Target="footer98.xml" /><Relationship Id="rId522" Type="http://schemas.openxmlformats.org/officeDocument/2006/relationships/header" Target="header99.xml" /><Relationship Id="rId523" Type="http://schemas.openxmlformats.org/officeDocument/2006/relationships/footer" Target="footer99.xml" /><Relationship Id="rId524" Type="http://schemas.openxmlformats.org/officeDocument/2006/relationships/hyperlink" Target="https://advance.lexis.com/api/document?collection=cases-ca&amp;id=urn:contentItem:5F7T-S7P1-JBDT-B159-00000-00&amp;context=" TargetMode="External" /><Relationship Id="rId525" Type="http://schemas.openxmlformats.org/officeDocument/2006/relationships/hyperlink" Target="https://advance.lexis.com/api/document?collection=legislation-ca&amp;id=urn:contentItem:5F41-1FH1-F361-M0G8-00000-00&amp;context=" TargetMode="External" /><Relationship Id="rId526" Type="http://schemas.openxmlformats.org/officeDocument/2006/relationships/hyperlink" Target="https://advance.lexis.com/api/document?collection=cases-ca&amp;id=urn:contentItem:5F7T-S7C1-FCSB-S2BK-00000-00&amp;context=" TargetMode="External" /><Relationship Id="rId527" Type="http://schemas.openxmlformats.org/officeDocument/2006/relationships/hyperlink" Target="https://advance.lexis.com/api/document?collection=cases-ca&amp;id=urn:contentItem:5F7T-S7K1-JKHB-631C-00000-00&amp;context=" TargetMode="External" /><Relationship Id="rId528" Type="http://schemas.openxmlformats.org/officeDocument/2006/relationships/hyperlink" Target="https://advance.lexis.com/api/document?collection=cases-ca&amp;id=urn:contentItem:5F7T-S7P1-JCRC-B2DP-00000-00&amp;context=" TargetMode="External" /><Relationship Id="rId529" Type="http://schemas.openxmlformats.org/officeDocument/2006/relationships/header" Target="header100.xml" /><Relationship Id="rId53" Type="http://schemas.openxmlformats.org/officeDocument/2006/relationships/footer" Target="footer8.xml" /><Relationship Id="rId530" Type="http://schemas.openxmlformats.org/officeDocument/2006/relationships/header" Target="header101.xml" /><Relationship Id="rId531" Type="http://schemas.openxmlformats.org/officeDocument/2006/relationships/footer" Target="footer100.xml" /><Relationship Id="rId532" Type="http://schemas.openxmlformats.org/officeDocument/2006/relationships/footer" Target="footer101.xml" /><Relationship Id="rId533" Type="http://schemas.openxmlformats.org/officeDocument/2006/relationships/header" Target="header102.xml" /><Relationship Id="rId534" Type="http://schemas.openxmlformats.org/officeDocument/2006/relationships/footer" Target="footer102.xml" /><Relationship Id="rId535" Type="http://schemas.openxmlformats.org/officeDocument/2006/relationships/hyperlink" Target="https://advance.lexis.com/api/document?collection=cases-ca&amp;id=urn:contentItem:5GCC-XVC1-F900-G516-00000-00&amp;context=" TargetMode="External" /><Relationship Id="rId536" Type="http://schemas.openxmlformats.org/officeDocument/2006/relationships/header" Target="header103.xml" /><Relationship Id="rId537" Type="http://schemas.openxmlformats.org/officeDocument/2006/relationships/header" Target="header104.xml" /><Relationship Id="rId538" Type="http://schemas.openxmlformats.org/officeDocument/2006/relationships/footer" Target="footer103.xml" /><Relationship Id="rId539" Type="http://schemas.openxmlformats.org/officeDocument/2006/relationships/footer" Target="footer104.xml" /><Relationship Id="rId54" Type="http://schemas.openxmlformats.org/officeDocument/2006/relationships/header" Target="header9.xml" /><Relationship Id="rId540" Type="http://schemas.openxmlformats.org/officeDocument/2006/relationships/header" Target="header105.xml" /><Relationship Id="rId541" Type="http://schemas.openxmlformats.org/officeDocument/2006/relationships/footer" Target="footer105.xml" /><Relationship Id="rId542" Type="http://schemas.openxmlformats.org/officeDocument/2006/relationships/hyperlink" Target="https://advance.lexis.com/api/document?collection=cases-ca&amp;id=urn:contentItem:5JJT-53R1-K054-G2CG-00000-00&amp;context=" TargetMode="External" /><Relationship Id="rId543" Type="http://schemas.openxmlformats.org/officeDocument/2006/relationships/hyperlink" Target="https://advance.lexis.com/api/document?collection=legislation-ca&amp;id=urn:contentItem:5F41-1FP1-JXNB-60KG-00000-00&amp;context=" TargetMode="External" /><Relationship Id="rId544" Type="http://schemas.openxmlformats.org/officeDocument/2006/relationships/hyperlink" Target="https://advance.lexis.com/api/document?collection=cases-ca&amp;id=urn:contentItem:5F7T-S7K1-JKHB-62XG-00000-00&amp;context=" TargetMode="External" /><Relationship Id="rId545" Type="http://schemas.openxmlformats.org/officeDocument/2006/relationships/hyperlink" Target="https://advance.lexis.com/api/document?collection=cases-ca&amp;id=urn:contentItem:5F8T-N3T1-JJSF-238R-00000-00&amp;context=" TargetMode="External" /><Relationship Id="rId546" Type="http://schemas.openxmlformats.org/officeDocument/2006/relationships/hyperlink" Target="https://advance.lexis.com/api/document?collection=cases-ca&amp;id=urn:contentItem:5F8T-N3V1-JTGH-B1GJ-00000-00&amp;context=" TargetMode="External" /><Relationship Id="rId547" Type="http://schemas.openxmlformats.org/officeDocument/2006/relationships/header" Target="header106.xml" /><Relationship Id="rId548" Type="http://schemas.openxmlformats.org/officeDocument/2006/relationships/header" Target="header107.xml" /><Relationship Id="rId549" Type="http://schemas.openxmlformats.org/officeDocument/2006/relationships/footer" Target="footer106.xml" /><Relationship Id="rId55" Type="http://schemas.openxmlformats.org/officeDocument/2006/relationships/footer" Target="footer9.xml" /><Relationship Id="rId550" Type="http://schemas.openxmlformats.org/officeDocument/2006/relationships/footer" Target="footer107.xml" /><Relationship Id="rId551" Type="http://schemas.openxmlformats.org/officeDocument/2006/relationships/header" Target="header108.xml" /><Relationship Id="rId552" Type="http://schemas.openxmlformats.org/officeDocument/2006/relationships/footer" Target="footer108.xml" /><Relationship Id="rId553" Type="http://schemas.openxmlformats.org/officeDocument/2006/relationships/hyperlink" Target="https://advance.lexis.com/api/document?collection=cases-ca&amp;id=urn:contentItem:5K6X-H241-JNS1-M0GM-00000-00&amp;context=" TargetMode="External" /><Relationship Id="rId554" Type="http://schemas.openxmlformats.org/officeDocument/2006/relationships/hyperlink" Target="https://advance.lexis.com/api/document?collection=cases-ca&amp;id=urn:contentItem:5F7T-S7D1-FCSB-S2XG-00000-00&amp;context=" TargetMode="External" /><Relationship Id="rId555" Type="http://schemas.openxmlformats.org/officeDocument/2006/relationships/header" Target="header109.xml" /><Relationship Id="rId556" Type="http://schemas.openxmlformats.org/officeDocument/2006/relationships/header" Target="header110.xml" /><Relationship Id="rId557" Type="http://schemas.openxmlformats.org/officeDocument/2006/relationships/footer" Target="footer109.xml" /><Relationship Id="rId558" Type="http://schemas.openxmlformats.org/officeDocument/2006/relationships/footer" Target="footer110.xml" /><Relationship Id="rId559" Type="http://schemas.openxmlformats.org/officeDocument/2006/relationships/header" Target="header111.xml" /><Relationship Id="rId56" Type="http://schemas.openxmlformats.org/officeDocument/2006/relationships/hyperlink" Target="https://advance.lexis.com/api/document?collection=cases-ca&amp;id=urn:contentItem:5JSS-9XD1-F4W2-62XD-00000-00&amp;context=" TargetMode="External" /><Relationship Id="rId560" Type="http://schemas.openxmlformats.org/officeDocument/2006/relationships/footer" Target="footer111.xml" /><Relationship Id="rId561" Type="http://schemas.openxmlformats.org/officeDocument/2006/relationships/hyperlink" Target="https://advance.lexis.com/api/document?collection=cases-ca&amp;id=urn:contentItem:5Y4S-NFS1-FK0M-S1DT-00000-00&amp;context=" TargetMode="External" /><Relationship Id="rId562" Type="http://schemas.openxmlformats.org/officeDocument/2006/relationships/hyperlink" Target="https://advance.lexis.com/api/document?collection=legislation-ca&amp;id=urn:contentItem:5F41-1FM1-FCK4-G051-00000-00&amp;context=" TargetMode="External" /><Relationship Id="rId563" Type="http://schemas.openxmlformats.org/officeDocument/2006/relationships/hyperlink" Target="https://advance.lexis.com/api/document?collection=legislation-ca&amp;id=urn:contentItem:5F9J-MWV1-JBDT-B36K-00000-00&amp;context=" TargetMode="External" /><Relationship Id="rId564" Type="http://schemas.openxmlformats.org/officeDocument/2006/relationships/hyperlink" Target="https://advance.lexis.com/api/document?collection=cases-ca&amp;id=urn:contentItem:5F8T-N3S1-JT99-2510-00000-00&amp;context=" TargetMode="External" /><Relationship Id="rId565" Type="http://schemas.openxmlformats.org/officeDocument/2006/relationships/hyperlink" Target="https://advance.lexis.com/api/document?collection=cases-ca&amp;id=urn:contentItem:5F8T-N3N1-FCYK-23BN-00000-00&amp;context=" TargetMode="External" /><Relationship Id="rId566" Type="http://schemas.openxmlformats.org/officeDocument/2006/relationships/hyperlink" Target="https://advance.lexis.com/api/document?collection=cases-ca&amp;id=urn:contentItem:5F8T-N3R1-JJSF-22R8-00000-00&amp;context=" TargetMode="External" /><Relationship Id="rId567" Type="http://schemas.openxmlformats.org/officeDocument/2006/relationships/hyperlink" Target="https://advance.lexis.com/api/document?collection=cases-ca&amp;id=urn:contentItem:5F7T-S7M1-F4W2-62BB-00000-00&amp;context=" TargetMode="External" /><Relationship Id="rId568" Type="http://schemas.openxmlformats.org/officeDocument/2006/relationships/hyperlink" Target="https://advance.lexis.com/api/document?collection=cases-ca&amp;id=urn:contentItem:5F7T-S761-JGHR-M2BH-00000-00&amp;context=" TargetMode="External" /><Relationship Id="rId569" Type="http://schemas.openxmlformats.org/officeDocument/2006/relationships/hyperlink" Target="https://advance.lexis.com/api/document?collection=cases-ca&amp;id=urn:contentItem:5F7T-S761-FFMK-M16Y-00000-00&amp;context=" TargetMode="External" /><Relationship Id="rId57" Type="http://schemas.openxmlformats.org/officeDocument/2006/relationships/hyperlink" Target="https://advance.lexis.com/api/document?collection=legislation-ca&amp;id=urn:contentItem:5F41-1FJ1-JBDT-B02W-00000-00&amp;context=" TargetMode="External" /><Relationship Id="rId570" Type="http://schemas.openxmlformats.org/officeDocument/2006/relationships/hyperlink" Target="https://advance.lexis.com/api/document?collection=cases-ca&amp;id=urn:contentItem:5F8T-N3V1-FC1F-M412-00000-00&amp;context=" TargetMode="External" /><Relationship Id="rId571" Type="http://schemas.openxmlformats.org/officeDocument/2006/relationships/hyperlink" Target="https://advance.lexis.com/api/document?collection=legislation-ca&amp;id=urn:contentItem:5W07-7G31-JFKM-62K1-00000-00&amp;context=" TargetMode="External" /><Relationship Id="rId572" Type="http://schemas.openxmlformats.org/officeDocument/2006/relationships/hyperlink" Target="https://advance.lexis.com/api/document?collection=cases-ca&amp;id=urn:contentItem:5F81-VJV1-DXWW-231K-00000-00&amp;context=" TargetMode="External" /><Relationship Id="rId573" Type="http://schemas.openxmlformats.org/officeDocument/2006/relationships/hyperlink" Target="https://advance.lexis.com/api/document?collection=cases-ca&amp;id=urn:contentItem:5F7T-S751-JBM1-M21M-00000-00&amp;context=" TargetMode="External" /><Relationship Id="rId574" Type="http://schemas.openxmlformats.org/officeDocument/2006/relationships/header" Target="header112.xml" /><Relationship Id="rId575" Type="http://schemas.openxmlformats.org/officeDocument/2006/relationships/header" Target="header113.xml" /><Relationship Id="rId576" Type="http://schemas.openxmlformats.org/officeDocument/2006/relationships/footer" Target="footer112.xml" /><Relationship Id="rId577" Type="http://schemas.openxmlformats.org/officeDocument/2006/relationships/footer" Target="footer113.xml" /><Relationship Id="rId578" Type="http://schemas.openxmlformats.org/officeDocument/2006/relationships/header" Target="header114.xml" /><Relationship Id="rId579" Type="http://schemas.openxmlformats.org/officeDocument/2006/relationships/footer" Target="footer114.xml" /><Relationship Id="rId58" Type="http://schemas.openxmlformats.org/officeDocument/2006/relationships/hyperlink" Target="https://advance.lexis.com/api/document?collection=legislation-ca&amp;id=urn:contentItem:5F41-1FJ1-JPGX-S03R-00000-00&amp;context=" TargetMode="External" /><Relationship Id="rId580" Type="http://schemas.openxmlformats.org/officeDocument/2006/relationships/hyperlink" Target="https://advance.lexis.com/api/document?collection=cases-ca&amp;id=urn:contentItem:5F7T-S7F1-DXWW-24KH-00000-00&amp;context=" TargetMode="External" /><Relationship Id="rId581" Type="http://schemas.openxmlformats.org/officeDocument/2006/relationships/hyperlink" Target="https://advance.lexis.com/api/document?collection=legislation-ca&amp;id=urn:contentItem:5F41-1FH1-F361-M0H8-00000-00&amp;context=" TargetMode="External" /><Relationship Id="rId582" Type="http://schemas.openxmlformats.org/officeDocument/2006/relationships/hyperlink" Target="https://advance.lexis.com/api/document?collection=cases-ca&amp;id=urn:contentItem:5F7T-S711-JG02-S1F6-00000-00&amp;context=" TargetMode="External" /><Relationship Id="rId583" Type="http://schemas.openxmlformats.org/officeDocument/2006/relationships/header" Target="header115.xml" /><Relationship Id="rId584" Type="http://schemas.openxmlformats.org/officeDocument/2006/relationships/header" Target="header116.xml" /><Relationship Id="rId585" Type="http://schemas.openxmlformats.org/officeDocument/2006/relationships/footer" Target="footer115.xml" /><Relationship Id="rId586" Type="http://schemas.openxmlformats.org/officeDocument/2006/relationships/footer" Target="footer116.xml" /><Relationship Id="rId587" Type="http://schemas.openxmlformats.org/officeDocument/2006/relationships/header" Target="header117.xml" /><Relationship Id="rId588" Type="http://schemas.openxmlformats.org/officeDocument/2006/relationships/footer" Target="footer117.xml" /><Relationship Id="rId589" Type="http://schemas.openxmlformats.org/officeDocument/2006/relationships/hyperlink" Target="https://advance.lexis.com/api/document?collection=cases-ca&amp;id=urn:contentItem:5F7T-S7N1-JC5P-G23F-00000-00&amp;context=" TargetMode="External" /><Relationship Id="rId59" Type="http://schemas.openxmlformats.org/officeDocument/2006/relationships/hyperlink" Target="https://advance.lexis.com/api/document?collection=cases-ca&amp;id=urn:contentItem:5GGK-45G1-F7VM-S3C5-00000-00&amp;context=" TargetMode="External" /><Relationship Id="rId590" Type="http://schemas.openxmlformats.org/officeDocument/2006/relationships/hyperlink" Target="https://advance.lexis.com/api/document?collection=legislation-ca&amp;id=urn:contentItem:5F41-1FH1-JSRM-60KK-00000-00&amp;context=" TargetMode="External" /><Relationship Id="rId591" Type="http://schemas.openxmlformats.org/officeDocument/2006/relationships/hyperlink" Target="https://advance.lexis.com/api/document?collection=cases-ca&amp;id=urn:contentItem:5F7T-S7F1-FFFC-B22N-00000-00&amp;context=" TargetMode="External" /><Relationship Id="rId592" Type="http://schemas.openxmlformats.org/officeDocument/2006/relationships/hyperlink" Target="https://advance.lexis.com/api/document?collection=cases-ca&amp;id=urn:contentItem:5F7T-S741-DY89-M3BS-00000-00&amp;context=" TargetMode="External" /><Relationship Id="rId593" Type="http://schemas.openxmlformats.org/officeDocument/2006/relationships/header" Target="header118.xml" /><Relationship Id="rId594" Type="http://schemas.openxmlformats.org/officeDocument/2006/relationships/header" Target="header119.xml" /><Relationship Id="rId595" Type="http://schemas.openxmlformats.org/officeDocument/2006/relationships/footer" Target="footer118.xml" /><Relationship Id="rId596" Type="http://schemas.openxmlformats.org/officeDocument/2006/relationships/footer" Target="footer119.xml" /><Relationship Id="rId597" Type="http://schemas.openxmlformats.org/officeDocument/2006/relationships/header" Target="header120.xml" /><Relationship Id="rId598" Type="http://schemas.openxmlformats.org/officeDocument/2006/relationships/footer" Target="footer120.xml" /><Relationship Id="rId599" Type="http://schemas.openxmlformats.org/officeDocument/2006/relationships/hyperlink" Target="https://advance.lexis.com/api/document?collection=cases-ca&amp;id=urn:contentItem:5JVG-2XS1-JN14-G1JW-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K1-JX3N-B2V4-00000-00&amp;context=" TargetMode="External" /><Relationship Id="rId600" Type="http://schemas.openxmlformats.org/officeDocument/2006/relationships/hyperlink" Target="https://advance.lexis.com/api/document?collection=cases-ca&amp;id=urn:contentItem:5F7T-S7C1-F7VM-S3PP-00000-00&amp;context=" TargetMode="External" /><Relationship Id="rId601" Type="http://schemas.openxmlformats.org/officeDocument/2006/relationships/hyperlink" Target="https://advance.lexis.com/api/document?collection=cases-ca&amp;id=urn:contentItem:5F16-9351-JN6B-S15V-00000-00&amp;context=" TargetMode="External" /><Relationship Id="rId602" Type="http://schemas.openxmlformats.org/officeDocument/2006/relationships/hyperlink" Target="https://advance.lexis.com/api/document?collection=cases-ca&amp;id=urn:contentItem:5F8T-N3V1-JTGH-B166-00000-00&amp;context=" TargetMode="External" /><Relationship Id="rId603" Type="http://schemas.openxmlformats.org/officeDocument/2006/relationships/header" Target="header121.xml" /><Relationship Id="rId604" Type="http://schemas.openxmlformats.org/officeDocument/2006/relationships/header" Target="header122.xml" /><Relationship Id="rId605" Type="http://schemas.openxmlformats.org/officeDocument/2006/relationships/footer" Target="footer121.xml" /><Relationship Id="rId606" Type="http://schemas.openxmlformats.org/officeDocument/2006/relationships/footer" Target="footer122.xml" /><Relationship Id="rId607" Type="http://schemas.openxmlformats.org/officeDocument/2006/relationships/header" Target="header123.xml" /><Relationship Id="rId608" Type="http://schemas.openxmlformats.org/officeDocument/2006/relationships/footer" Target="footer123.xml" /><Relationship Id="rId609" Type="http://schemas.openxmlformats.org/officeDocument/2006/relationships/hyperlink" Target="https://advance.lexis.com/api/document?collection=cases-ca&amp;id=urn:contentItem:5F7T-S781-FH4C-X36M-00000-00&amp;context=" TargetMode="External" /><Relationship Id="rId61" Type="http://schemas.openxmlformats.org/officeDocument/2006/relationships/hyperlink" Target="https://advance.lexis.com/api/document?collection=cases-ca&amp;id=urn:contentItem:5F8T-N3P1-F7ND-G14C-00000-00&amp;context=" TargetMode="External" /><Relationship Id="rId610" Type="http://schemas.openxmlformats.org/officeDocument/2006/relationships/hyperlink" Target="https://advance.lexis.com/api/document?collection=cases-ca&amp;id=urn:contentItem:5F81-VJV1-F8D9-M0NM-00000-00&amp;context=" TargetMode="External" /><Relationship Id="rId611" Type="http://schemas.openxmlformats.org/officeDocument/2006/relationships/hyperlink" Target="https://advance.lexis.com/api/document?collection=cases-ca&amp;id=urn:contentItem:5F8T-N3V1-JFKM-6011-00000-00&amp;context=" TargetMode="External" /><Relationship Id="rId612" Type="http://schemas.openxmlformats.org/officeDocument/2006/relationships/hyperlink" Target="https://advance.lexis.com/api/document?collection=cases-ca&amp;id=urn:contentItem:5F8P-SCH1-JSJC-X3X2-00000-00&amp;context=" TargetMode="External" /><Relationship Id="rId613" Type="http://schemas.openxmlformats.org/officeDocument/2006/relationships/hyperlink" Target="https://advance.lexis.com/api/document?collection=cases-ca&amp;id=urn:contentItem:5K6Y-81K1-JC0G-61G1-00000-00&amp;context=" TargetMode="External" /><Relationship Id="rId614" Type="http://schemas.openxmlformats.org/officeDocument/2006/relationships/hyperlink" Target="https://advance.lexis.com/api/document?collection=cases-ca&amp;id=urn:contentItem:5F8P-SCJ1-JJ6S-62RM-00000-00&amp;context=" TargetMode="External" /><Relationship Id="rId615" Type="http://schemas.openxmlformats.org/officeDocument/2006/relationships/hyperlink" Target="https://advance.lexis.com/api/document?collection=cases-ca&amp;id=urn:contentItem:5F81-VJX1-FGCG-S34R-00000-00&amp;context=" TargetMode="External" /><Relationship Id="rId616" Type="http://schemas.openxmlformats.org/officeDocument/2006/relationships/header" Target="header124.xml" /><Relationship Id="rId617" Type="http://schemas.openxmlformats.org/officeDocument/2006/relationships/header" Target="header125.xml" /><Relationship Id="rId618" Type="http://schemas.openxmlformats.org/officeDocument/2006/relationships/footer" Target="footer124.xml" /><Relationship Id="rId619" Type="http://schemas.openxmlformats.org/officeDocument/2006/relationships/footer" Target="footer125.xml" /><Relationship Id="rId62" Type="http://schemas.openxmlformats.org/officeDocument/2006/relationships/hyperlink" Target="https://advance.lexis.com/api/document?collection=cases-ca&amp;id=urn:contentItem:5F81-YGW1-DYFH-X025-00000-00&amp;context=" TargetMode="External" /><Relationship Id="rId620" Type="http://schemas.openxmlformats.org/officeDocument/2006/relationships/header" Target="header126.xml" /><Relationship Id="rId621" Type="http://schemas.openxmlformats.org/officeDocument/2006/relationships/footer" Target="footer126.xml" /><Relationship Id="rId622" Type="http://schemas.openxmlformats.org/officeDocument/2006/relationships/hyperlink" Target="https://advance.lexis.com/api/document?collection=cases-ca&amp;id=urn:contentItem:5F7T-S7C1-FGRY-B044-00000-00&amp;context=" TargetMode="External" /><Relationship Id="rId623" Type="http://schemas.openxmlformats.org/officeDocument/2006/relationships/hyperlink" Target="https://advance.lexis.com/api/document?collection=cases-ca&amp;id=urn:contentItem:5F7T-S731-FFFC-B0D7-00000-00&amp;context=" TargetMode="External" /><Relationship Id="rId624" Type="http://schemas.openxmlformats.org/officeDocument/2006/relationships/hyperlink" Target="https://advance.lexis.com/api/document?collection=cases-ca&amp;id=urn:contentItem:5F8T-N3T1-JGHR-M1VY-00000-00&amp;context=" TargetMode="External" /><Relationship Id="rId625" Type="http://schemas.openxmlformats.org/officeDocument/2006/relationships/hyperlink" Target="https://advance.lexis.com/api/document?collection=cases-ca&amp;id=urn:contentItem:5F8T-N3R1-JBDT-B551-00000-00&amp;context=" TargetMode="External" /><Relationship Id="rId626" Type="http://schemas.openxmlformats.org/officeDocument/2006/relationships/hyperlink" Target="https://advance.lexis.com/api/document?collection=cases-ca&amp;id=urn:contentItem:5F7T-S711-JNY7-X3DS-00000-00&amp;context=" TargetMode="External" /><Relationship Id="rId627" Type="http://schemas.openxmlformats.org/officeDocument/2006/relationships/hyperlink" Target="https://advance.lexis.com/api/document?collection=cases-ca&amp;id=urn:contentItem:5F7T-S741-F57G-S1S7-00000-00&amp;context=" TargetMode="External" /><Relationship Id="rId628" Type="http://schemas.openxmlformats.org/officeDocument/2006/relationships/hyperlink" Target="https://advance.lexis.com/api/document?collection=cases-ca&amp;id=urn:contentItem:5F8T-N3V1-FC1F-M469-00000-00&amp;context=" TargetMode="External" /><Relationship Id="rId629" Type="http://schemas.openxmlformats.org/officeDocument/2006/relationships/hyperlink" Target="https://advance.lexis.com/api/document?collection=cases-ca&amp;id=urn:contentItem:5F8T-N3V1-JFKM-6070-00000-00&amp;context=" TargetMode="External" /><Relationship Id="rId63" Type="http://schemas.openxmlformats.org/officeDocument/2006/relationships/hyperlink" Target="https://advance.lexis.com/api/document?collection=cases-ca&amp;id=urn:contentItem:5F8P-SC71-JK4W-M2MK-00000-00&amp;context=" TargetMode="External" /><Relationship Id="rId630" Type="http://schemas.openxmlformats.org/officeDocument/2006/relationships/header" Target="header127.xml" /><Relationship Id="rId631" Type="http://schemas.openxmlformats.org/officeDocument/2006/relationships/header" Target="header128.xml" /><Relationship Id="rId632" Type="http://schemas.openxmlformats.org/officeDocument/2006/relationships/footer" Target="footer127.xml" /><Relationship Id="rId633" Type="http://schemas.openxmlformats.org/officeDocument/2006/relationships/footer" Target="footer128.xml" /><Relationship Id="rId634" Type="http://schemas.openxmlformats.org/officeDocument/2006/relationships/header" Target="header129.xml" /><Relationship Id="rId635" Type="http://schemas.openxmlformats.org/officeDocument/2006/relationships/footer" Target="footer129.xml" /><Relationship Id="rId636" Type="http://schemas.openxmlformats.org/officeDocument/2006/relationships/hyperlink" Target="https://advance.lexis.com/api/document?collection=cases-ca&amp;id=urn:contentItem:5MN1-S7H1-JS5Y-B36B-00000-00&amp;context=" TargetMode="External" /><Relationship Id="rId637" Type="http://schemas.openxmlformats.org/officeDocument/2006/relationships/hyperlink" Target="https://advance.lexis.com/api/document?collection=legislation-ca&amp;id=urn:contentItem:5F41-1FK1-JSJC-X1PM-00000-00&amp;context=" TargetMode="External" /><Relationship Id="rId638" Type="http://schemas.openxmlformats.org/officeDocument/2006/relationships/hyperlink" Target="https://advance.lexis.com/api/document?collection=cases-ca&amp;id=urn:contentItem:5F7T-S7G1-JBT7-X413-00000-00&amp;context=" TargetMode="External" /><Relationship Id="rId639" Type="http://schemas.openxmlformats.org/officeDocument/2006/relationships/hyperlink" Target="https://advance.lexis.com/api/document?collection=cases-ca&amp;id=urn:contentItem:5JWR-WYC1-JB7K-24JB-00000-00&amp;context=" TargetMode="External" /><Relationship Id="rId64" Type="http://schemas.openxmlformats.org/officeDocument/2006/relationships/hyperlink" Target="https://advance.lexis.com/api/document?collection=cases-ca&amp;id=urn:contentItem:5F8T-N3V1-JF75-M3WX-00000-00&amp;context=" TargetMode="External" /><Relationship Id="rId640" Type="http://schemas.openxmlformats.org/officeDocument/2006/relationships/hyperlink" Target="https://advance.lexis.com/api/document?collection=cases-ca&amp;id=urn:contentItem:5F8T-N3V1-FC1F-M49J-00000-00&amp;context=" TargetMode="External" /><Relationship Id="rId641" Type="http://schemas.openxmlformats.org/officeDocument/2006/relationships/hyperlink" Target="https://advance.lexis.com/api/document?collection=cases-ca&amp;id=urn:contentItem:5F8T-N3V1-FH4C-X1XK-00000-00&amp;context=" TargetMode="External" /><Relationship Id="rId642" Type="http://schemas.openxmlformats.org/officeDocument/2006/relationships/hyperlink" Target="https://advance.lexis.com/api/document?collection=cases-ca&amp;id=urn:contentItem:5F8T-N3V1-JTGH-B19J-00000-00&amp;context=" TargetMode="External" /><Relationship Id="rId643" Type="http://schemas.openxmlformats.org/officeDocument/2006/relationships/hyperlink" Target="https://advance.lexis.com/api/document?collection=cases-ca&amp;id=urn:contentItem:5F8T-N3V1-JTGH-B1H4-00000-00&amp;context=" TargetMode="External" /><Relationship Id="rId644" Type="http://schemas.openxmlformats.org/officeDocument/2006/relationships/hyperlink" Target="https://advance.lexis.com/api/document?collection=cases-ca&amp;id=urn:contentItem:5F81-VJX1-FCK4-G1NM-00000-00&amp;context=" TargetMode="External" /><Relationship Id="rId645" Type="http://schemas.openxmlformats.org/officeDocument/2006/relationships/header" Target="header130.xml" /><Relationship Id="rId646" Type="http://schemas.openxmlformats.org/officeDocument/2006/relationships/header" Target="header131.xml" /><Relationship Id="rId647" Type="http://schemas.openxmlformats.org/officeDocument/2006/relationships/footer" Target="footer130.xml" /><Relationship Id="rId648" Type="http://schemas.openxmlformats.org/officeDocument/2006/relationships/footer" Target="footer131.xml" /><Relationship Id="rId649" Type="http://schemas.openxmlformats.org/officeDocument/2006/relationships/header" Target="header132.xml" /><Relationship Id="rId65" Type="http://schemas.openxmlformats.org/officeDocument/2006/relationships/hyperlink" Target="https://advance.lexis.com/api/document?collection=cases-ca&amp;id=urn:contentItem:5F8T-N3P1-F81W-21TF-00000-00&amp;context=" TargetMode="External" /><Relationship Id="rId650" Type="http://schemas.openxmlformats.org/officeDocument/2006/relationships/footer" Target="footer132.xml" /><Relationship Id="rId651" Type="http://schemas.openxmlformats.org/officeDocument/2006/relationships/hyperlink" Target="https://advance.lexis.com/api/document?collection=cases-ca&amp;id=urn:contentItem:5YKS-T7V1-FH4C-X3R8-00000-00&amp;context=" TargetMode="External" /><Relationship Id="rId652" Type="http://schemas.openxmlformats.org/officeDocument/2006/relationships/hyperlink" Target="https://advance.lexis.com/api/document?collection=cases-ca&amp;id=urn:contentItem:5HBF-Y861-FGRY-B2CW-00000-00&amp;context=" TargetMode="External" /><Relationship Id="rId653" Type="http://schemas.openxmlformats.org/officeDocument/2006/relationships/hyperlink" Target="https://advance.lexis.com/api/document?collection=cases-ca&amp;id=urn:contentItem:5F8T-N3V1-JTGH-B1H3-00000-00&amp;context=" TargetMode="External" /><Relationship Id="rId654" Type="http://schemas.openxmlformats.org/officeDocument/2006/relationships/hyperlink" Target="https://advance.lexis.com/api/document?collection=cases-ca&amp;id=urn:contentItem:5F7T-S7C1-FGRY-B04P-00000-00&amp;context=" TargetMode="External" /><Relationship Id="rId655" Type="http://schemas.openxmlformats.org/officeDocument/2006/relationships/hyperlink" Target="https://advance.lexis.com/api/document?collection=cases-ca&amp;id=urn:contentItem:5F7T-S7P1-JNJT-B2C6-00000-00&amp;context=" TargetMode="External" /><Relationship Id="rId656" Type="http://schemas.openxmlformats.org/officeDocument/2006/relationships/hyperlink" Target="https://advance.lexis.com/api/document?collection=cases-ca&amp;id=urn:contentItem:5F7T-S711-JC0G-632S-00000-00&amp;context=" TargetMode="External" /><Relationship Id="rId657" Type="http://schemas.openxmlformats.org/officeDocument/2006/relationships/hyperlink" Target="https://advance.lexis.com/api/document?collection=cases-ca&amp;id=urn:contentItem:5F8T-N3V1-JTGH-B1J4-00000-00&amp;context=" TargetMode="External" /><Relationship Id="rId658" Type="http://schemas.openxmlformats.org/officeDocument/2006/relationships/hyperlink" Target="https://advance.lexis.com/api/document?collection=cases-ca&amp;id=urn:contentItem:5F81-WC31-F5KY-B4S7-00000-00&amp;context=" TargetMode="External" /><Relationship Id="rId659" Type="http://schemas.openxmlformats.org/officeDocument/2006/relationships/hyperlink" Target="https://advance.lexis.com/api/document?collection=cases-ca&amp;id=urn:contentItem:5F8T-N3T1-JJSF-23B6-00000-00&amp;context=" TargetMode="External" /><Relationship Id="rId66" Type="http://schemas.openxmlformats.org/officeDocument/2006/relationships/hyperlink" Target="https://advance.lexis.com/api/document?collection=cases-ca&amp;id=urn:contentItem:5F7T-S7K1-F528-G324-00000-00&amp;context=" TargetMode="External" /><Relationship Id="rId660" Type="http://schemas.openxmlformats.org/officeDocument/2006/relationships/hyperlink" Target="https://advance.lexis.com/api/document?collection=cases-ca&amp;id=urn:contentItem:5HWD-0T41-JP9P-G0GR-00000-00&amp;context=" TargetMode="External" /><Relationship Id="rId661" Type="http://schemas.openxmlformats.org/officeDocument/2006/relationships/hyperlink" Target="https://advance.lexis.com/api/document?collection=cases-ca&amp;id=urn:contentItem:5F8T-N3V1-FC1F-M3WX-00000-00&amp;context=" TargetMode="External" /><Relationship Id="rId662" Type="http://schemas.openxmlformats.org/officeDocument/2006/relationships/hyperlink" Target="https://advance.lexis.com/api/document?collection=cases-ca&amp;id=urn:contentItem:5F81-VJX1-FCK4-G1P1-00000-00&amp;context=" TargetMode="External" /><Relationship Id="rId663" Type="http://schemas.openxmlformats.org/officeDocument/2006/relationships/hyperlink" Target="https://advance.lexis.com/api/document?collection=cases-ca&amp;id=urn:contentItem:5Y6P-KC61-JJYN-B0GV-00000-00&amp;context=" TargetMode="External" /><Relationship Id="rId664" Type="http://schemas.openxmlformats.org/officeDocument/2006/relationships/hyperlink" Target="https://advance.lexis.com/api/document?collection=cases-ca&amp;id=urn:contentItem:5F8T-N3T1-JJSF-23NF-00000-00&amp;context=" TargetMode="External" /><Relationship Id="rId665" Type="http://schemas.openxmlformats.org/officeDocument/2006/relationships/hyperlink" Target="https://advance.lexis.com/api/document?collection=cases-ca&amp;id=urn:contentItem:5VYB-X071-JJD0-G0RT-00000-00&amp;context=" TargetMode="External" /><Relationship Id="rId666" Type="http://schemas.openxmlformats.org/officeDocument/2006/relationships/hyperlink" Target="https://advance.lexis.com/api/document?collection=cases-ca&amp;id=urn:contentItem:5F8T-N3V1-JTGH-B1C7-00000-00&amp;context=" TargetMode="External" /><Relationship Id="rId667" Type="http://schemas.openxmlformats.org/officeDocument/2006/relationships/hyperlink" Target="https://advance.lexis.com/api/document?collection=cases-ca&amp;id=urn:contentItem:5F8T-N3T1-JFKM-652N-00000-00&amp;context=" TargetMode="External" /><Relationship Id="rId668" Type="http://schemas.openxmlformats.org/officeDocument/2006/relationships/hyperlink" Target="https://advance.lexis.com/api/document?collection=cases-ca&amp;id=urn:contentItem:5G77-HXG1-FCK4-G3XK-00000-00&amp;context=" TargetMode="External" /><Relationship Id="rId669" Type="http://schemas.openxmlformats.org/officeDocument/2006/relationships/hyperlink" Target="https://advance.lexis.com/api/document?collection=cases-ca&amp;id=urn:contentItem:5P5N-C621-F27X-6231-00000-00&amp;context=" TargetMode="External" /><Relationship Id="rId67" Type="http://schemas.openxmlformats.org/officeDocument/2006/relationships/hyperlink" Target="https://advance.lexis.com/api/document?collection=cases-ca&amp;id=urn:contentItem:5F7T-S7J1-JNS1-M252-00000-00&amp;context=" TargetMode="External" /><Relationship Id="rId670" Type="http://schemas.openxmlformats.org/officeDocument/2006/relationships/hyperlink" Target="https://advance.lexis.com/api/document?collection=cases-ca&amp;id=urn:contentItem:5F8T-N3T1-JGHR-M278-00000-00&amp;context=" TargetMode="External" /><Relationship Id="rId671" Type="http://schemas.openxmlformats.org/officeDocument/2006/relationships/hyperlink" Target="https://advance.lexis.com/api/document?collection=cases-ca&amp;id=urn:contentItem:5F8T-N3V1-FH4C-X20M-00000-00&amp;context=" TargetMode="External" /><Relationship Id="rId672" Type="http://schemas.openxmlformats.org/officeDocument/2006/relationships/hyperlink" Target="https://advance.lexis.com/api/document?collection=cases-ca&amp;id=urn:contentItem:5F8T-N3V1-FC1F-M491-00000-00&amp;context=" TargetMode="External" /><Relationship Id="rId673" Type="http://schemas.openxmlformats.org/officeDocument/2006/relationships/hyperlink" Target="https://advance.lexis.com/api/document?collection=cases-ca&amp;id=urn:contentItem:5F8T-N3V1-FC1F-M3WV-00000-00&amp;context=" TargetMode="External" /><Relationship Id="rId674" Type="http://schemas.openxmlformats.org/officeDocument/2006/relationships/hyperlink" Target="https://advance.lexis.com/api/document?collection=cases-ca&amp;id=urn:contentItem:5F7T-S7N1-JGHR-M35K-00000-00&amp;context=" TargetMode="External" /><Relationship Id="rId675" Type="http://schemas.openxmlformats.org/officeDocument/2006/relationships/hyperlink" Target="https://advance.lexis.com/api/document?collection=cases-ca&amp;id=urn:contentItem:5SV9-5YT1-JJ6S-63YM-00000-00&amp;context=" TargetMode="External" /><Relationship Id="rId676" Type="http://schemas.openxmlformats.org/officeDocument/2006/relationships/hyperlink" Target="https://advance.lexis.com/api/document?collection=cases-ca&amp;id=urn:contentItem:5F8T-N3V1-FH4C-X22N-00000-00&amp;context=" TargetMode="External" /><Relationship Id="rId677" Type="http://schemas.openxmlformats.org/officeDocument/2006/relationships/hyperlink" Target="https://advance.lexis.com/api/document?collection=cases-ca&amp;id=urn:contentItem:5MXP-54B1-JJD0-G4CG-00000-00&amp;context=" TargetMode="External" /><Relationship Id="rId678" Type="http://schemas.openxmlformats.org/officeDocument/2006/relationships/hyperlink" Target="https://advance.lexis.com/api/document?collection=cases-ca&amp;id=urn:contentItem:5F7T-S7H1-K054-G2BY-00000-00&amp;context=" TargetMode="External" /><Relationship Id="rId679" Type="http://schemas.openxmlformats.org/officeDocument/2006/relationships/hyperlink" Target="https://advance.lexis.com/api/document?collection=cases-ca&amp;id=urn:contentItem:5F8P-SBT1-F8KH-X2JH-00000-00&amp;context=" TargetMode="External" /><Relationship Id="rId68" Type="http://schemas.openxmlformats.org/officeDocument/2006/relationships/hyperlink" Target="https://advance.lexis.com/api/document?collection=cases-ca&amp;id=urn:contentItem:5F7T-S731-DY33-B176-00000-00&amp;context=" TargetMode="External" /><Relationship Id="rId680" Type="http://schemas.openxmlformats.org/officeDocument/2006/relationships/hyperlink" Target="https://advance.lexis.com/api/document?collection=cases-ca&amp;id=urn:contentItem:5F8T-N3T1-JFKM-652P-00000-00&amp;context=" TargetMode="External" /><Relationship Id="rId681" Type="http://schemas.openxmlformats.org/officeDocument/2006/relationships/hyperlink" Target="https://advance.lexis.com/api/document?collection=cases-ca&amp;id=urn:contentItem:5F7T-S7K1-JSJC-X0NF-00000-00&amp;context=" TargetMode="External" /><Relationship Id="rId682" Type="http://schemas.openxmlformats.org/officeDocument/2006/relationships/hyperlink" Target="https://advance.lexis.com/api/document?collection=cases-ca&amp;id=urn:contentItem:5F7T-S7B1-FH4C-X391-00000-00&amp;context=" TargetMode="External" /><Relationship Id="rId683" Type="http://schemas.openxmlformats.org/officeDocument/2006/relationships/header" Target="header133.xml" /><Relationship Id="rId684" Type="http://schemas.openxmlformats.org/officeDocument/2006/relationships/header" Target="header134.xml" /><Relationship Id="rId685" Type="http://schemas.openxmlformats.org/officeDocument/2006/relationships/footer" Target="footer133.xml" /><Relationship Id="rId686" Type="http://schemas.openxmlformats.org/officeDocument/2006/relationships/footer" Target="footer134.xml" /><Relationship Id="rId687" Type="http://schemas.openxmlformats.org/officeDocument/2006/relationships/header" Target="header135.xml" /><Relationship Id="rId688" Type="http://schemas.openxmlformats.org/officeDocument/2006/relationships/footer" Target="footer135.xml" /><Relationship Id="rId689" Type="http://schemas.openxmlformats.org/officeDocument/2006/relationships/image" Target="media/image2.png" /><Relationship Id="rId69" Type="http://schemas.openxmlformats.org/officeDocument/2006/relationships/header" Target="header10.xml" /><Relationship Id="rId690" Type="http://schemas.openxmlformats.org/officeDocument/2006/relationships/image" Target="media/image3.png" /><Relationship Id="rId691" Type="http://schemas.openxmlformats.org/officeDocument/2006/relationships/image" Target="media/image4.png" /><Relationship Id="rId692" Type="http://schemas.openxmlformats.org/officeDocument/2006/relationships/hyperlink" Target="https://advance.lexis.com/api/document?collection=legislation-ca&amp;id=urn:contentItem:5W2C-X5M1-JB2B-S2S2-00000-00&amp;context=" TargetMode="External" /><Relationship Id="rId693" Type="http://schemas.openxmlformats.org/officeDocument/2006/relationships/hyperlink" Target="https://advance.lexis.com/api/document?collection=legislation-ca&amp;id=urn:contentItem:5JBT-P241-DY33-B3XP-00000-00&amp;context=" TargetMode="External" /><Relationship Id="rId694" Type="http://schemas.openxmlformats.org/officeDocument/2006/relationships/hyperlink" Target="https://advance.lexis.com/api/document?collection=cases-ca&amp;id=urn:contentItem:5F8T-N3V1-FC1F-M4CN-00000-00&amp;context=" TargetMode="External" /><Relationship Id="rId695" Type="http://schemas.openxmlformats.org/officeDocument/2006/relationships/hyperlink" Target="https://advance.lexis.com/api/document?collection=cases-ca&amp;id=urn:contentItem:5F8T-N3S1-JT99-2530-00000-00&amp;context=" TargetMode="External" /><Relationship Id="rId696" Type="http://schemas.openxmlformats.org/officeDocument/2006/relationships/hyperlink" Target="https://advance.lexis.com/api/document?collection=cases-ca&amp;id=urn:contentItem:5F8T-N3V1-JTGH-B16R-00000-00&amp;context=" TargetMode="External" /><Relationship Id="rId697" Type="http://schemas.openxmlformats.org/officeDocument/2006/relationships/hyperlink" Target="https://advance.lexis.com/api/document?collection=cases-ca&amp;id=urn:contentItem:5V9V-RDJ1-F5T5-M1Y7-00000-00&amp;context=" TargetMode="External" /><Relationship Id="rId698" Type="http://schemas.openxmlformats.org/officeDocument/2006/relationships/hyperlink" Target="https://advance.lexis.com/api/document?collection=cases-ca&amp;id=urn:contentItem:5F8T-N3V1-JTGH-B19N-00000-00&amp;context=" TargetMode="External" /><Relationship Id="rId699" Type="http://schemas.openxmlformats.org/officeDocument/2006/relationships/hyperlink" Target="https://advance.lexis.com/api/document?collection=cases-ca&amp;id=urn:contentItem:5F81-VJY1-JPGX-S4WK-00000-00&amp;context=" TargetMode="External" /><Relationship Id="rId7" Type="http://schemas.openxmlformats.org/officeDocument/2006/relationships/footer" Target="footer2.xml" /><Relationship Id="rId70" Type="http://schemas.openxmlformats.org/officeDocument/2006/relationships/header" Target="header11.xml" /><Relationship Id="rId700" Type="http://schemas.openxmlformats.org/officeDocument/2006/relationships/hyperlink" Target="https://advance.lexis.com/api/document?collection=cases-ca&amp;id=urn:contentItem:5V8C-MV51-F5DR-202M-00000-00&amp;context=" TargetMode="External" /><Relationship Id="rId701" Type="http://schemas.openxmlformats.org/officeDocument/2006/relationships/hyperlink" Target="https://advance.lexis.com/api/document?collection=cases-ca&amp;id=urn:contentItem:5KX9-G921-JF1Y-B000-00000-00&amp;context=" TargetMode="External" /><Relationship Id="rId702" Type="http://schemas.openxmlformats.org/officeDocument/2006/relationships/hyperlink" Target="https://advance.lexis.com/api/document?collection=cases-ca&amp;id=urn:contentItem:5F8T-N3V1-JTGH-B0YX-00000-00&amp;context=" TargetMode="External" /><Relationship Id="rId703" Type="http://schemas.openxmlformats.org/officeDocument/2006/relationships/hyperlink" Target="https://advance.lexis.com/api/document?collection=cases-ca&amp;id=urn:contentItem:5F8T-N3V1-FC1F-M49K-00000-00&amp;context=" TargetMode="External" /><Relationship Id="rId704" Type="http://schemas.openxmlformats.org/officeDocument/2006/relationships/hyperlink" Target="https://advance.lexis.com/api/document?collection=cases-ca&amp;id=urn:contentItem:5F8T-N3V1-JTGH-B1CS-00000-00&amp;context=" TargetMode="External" /><Relationship Id="rId705" Type="http://schemas.openxmlformats.org/officeDocument/2006/relationships/hyperlink" Target="https://advance.lexis.com/api/document?collection=cases-ca&amp;id=urn:contentItem:5G45-PB41-JJ6S-60TB-00000-00&amp;context=" TargetMode="External" /><Relationship Id="rId706" Type="http://schemas.openxmlformats.org/officeDocument/2006/relationships/hyperlink" Target="https://advance.lexis.com/api/document?collection=cases-ca&amp;id=urn:contentItem:5PVD-M721-JWJ0-G15G-00000-00&amp;context=" TargetMode="External" /><Relationship Id="rId707" Type="http://schemas.openxmlformats.org/officeDocument/2006/relationships/hyperlink" Target="https://advance.lexis.com/api/document?collection=cases-ca&amp;id=urn:contentItem:5F8T-N3V1-FH4C-X1WY-00000-00&amp;context=" TargetMode="External" /><Relationship Id="rId708" Type="http://schemas.openxmlformats.org/officeDocument/2006/relationships/hyperlink" Target="https://advance.lexis.com/api/document?collection=cases-ca&amp;id=urn:contentItem:5F8T-N3R1-JBDT-B566-00000-00&amp;context=" TargetMode="External" /><Relationship Id="rId709" Type="http://schemas.openxmlformats.org/officeDocument/2006/relationships/hyperlink" Target="https://advance.lexis.com/api/document?collection=cases-ca&amp;id=urn:contentItem:5F8T-N3V1-JTGH-B1C2-00000-00&amp;context=" TargetMode="External" /><Relationship Id="rId71" Type="http://schemas.openxmlformats.org/officeDocument/2006/relationships/footer" Target="footer10.xml" /><Relationship Id="rId710" Type="http://schemas.openxmlformats.org/officeDocument/2006/relationships/hyperlink" Target="https://advance.lexis.com/api/document?collection=cases-ca&amp;id=urn:contentItem:5F8T-N3V1-FC1F-M41J-00000-00&amp;context=" TargetMode="External" /><Relationship Id="rId711" Type="http://schemas.openxmlformats.org/officeDocument/2006/relationships/hyperlink" Target="https://advance.lexis.com/api/document?collection=cases-ca&amp;id=urn:contentItem:5F8T-N3T1-JFKM-652M-00000-00&amp;context=" TargetMode="External" /><Relationship Id="rId712" Type="http://schemas.openxmlformats.org/officeDocument/2006/relationships/hyperlink" Target="https://advance.lexis.com/api/document?collection=cases-ca&amp;id=urn:contentItem:5F8T-N3V1-FC1F-M44F-00000-00&amp;context=" TargetMode="External" /><Relationship Id="rId713" Type="http://schemas.openxmlformats.org/officeDocument/2006/relationships/hyperlink" Target="https://advance.lexis.com/api/document?collection=cases-ca&amp;id=urn:contentItem:5GCC-XVB1-JGHR-M4BR-00000-00&amp;context=" TargetMode="External" /><Relationship Id="rId714" Type="http://schemas.openxmlformats.org/officeDocument/2006/relationships/hyperlink" Target="https://advance.lexis.com/api/document?collection=cases-ca&amp;id=urn:contentItem:5F7T-S7G1-JWR6-S1MK-00000-00&amp;context=" TargetMode="External" /><Relationship Id="rId715" Type="http://schemas.openxmlformats.org/officeDocument/2006/relationships/hyperlink" Target="https://advance.lexis.com/api/document?collection=cases-ca&amp;id=urn:contentItem:5K2W-7K31-F06F-212R-00000-00&amp;context=" TargetMode="External" /><Relationship Id="rId716" Type="http://schemas.openxmlformats.org/officeDocument/2006/relationships/hyperlink" Target="https://iclr.co.uk/pubrefLookup/redirectTo?ref=1924+P.+140" TargetMode="External" /><Relationship Id="rId717" Type="http://schemas.openxmlformats.org/officeDocument/2006/relationships/image" Target="media/image5.png" /><Relationship Id="rId718" Type="http://schemas.openxmlformats.org/officeDocument/2006/relationships/hyperlink" Target="https://advance.lexis.com/api/document?collection=cases-ca&amp;id=urn:contentItem:5F8T-N3V1-JTGH-B1DH-00000-00&amp;context=" TargetMode="External" /><Relationship Id="rId719" Type="http://schemas.openxmlformats.org/officeDocument/2006/relationships/hyperlink" Target="https://advance.lexis.com/api/document?collection=cases-ca&amp;id=urn:contentItem:5F7T-S6W1-FBFS-S138-00000-00&amp;context=" TargetMode="External" /><Relationship Id="rId72" Type="http://schemas.openxmlformats.org/officeDocument/2006/relationships/footer" Target="footer11.xml" /><Relationship Id="rId720" Type="http://schemas.openxmlformats.org/officeDocument/2006/relationships/hyperlink" Target="https://advance.lexis.com/api/document?collection=cases-ca&amp;id=urn:contentItem:5F8N-K711-FG68-G455-00000-00&amp;context=" TargetMode="External" /><Relationship Id="rId721" Type="http://schemas.openxmlformats.org/officeDocument/2006/relationships/hyperlink" Target="https://advance.lexis.com/api/document?collection=cases-ca&amp;id=urn:contentItem:5N82-XP61-JX8W-M518-00000-00&amp;context=" TargetMode="External" /><Relationship Id="rId722" Type="http://schemas.openxmlformats.org/officeDocument/2006/relationships/hyperlink" Target="https://advance.lexis.com/api/document?collection=cases-ca&amp;id=urn:contentItem:5N24-5XB1-FGY5-M10V-00000-00&amp;context=" TargetMode="External" /><Relationship Id="rId723" Type="http://schemas.openxmlformats.org/officeDocument/2006/relationships/hyperlink" Target="https://advance.lexis.com/api/document?collection=cases-ca&amp;id=urn:contentItem:5S30-4KC1-JSXV-G1PG-00000-00&amp;context=" TargetMode="External" /><Relationship Id="rId724" Type="http://schemas.openxmlformats.org/officeDocument/2006/relationships/hyperlink" Target="https://advance.lexis.com/api/document?collection=cases-ca&amp;id=urn:contentItem:5F7T-S7N1-JJ1H-X2WS-00000-00&amp;context=" TargetMode="External" /><Relationship Id="rId725" Type="http://schemas.openxmlformats.org/officeDocument/2006/relationships/hyperlink" Target="https://advance.lexis.com/api/document?collection=cases-ca&amp;id=urn:contentItem:5S4W-RF21-JC0G-63PV-00000-00&amp;context=" TargetMode="External" /><Relationship Id="rId726" Type="http://schemas.openxmlformats.org/officeDocument/2006/relationships/hyperlink" Target="https://advance.lexis.com/api/document?collection=cases-ca&amp;id=urn:contentItem:5PDG-D481-FJDY-X20H-00000-00&amp;context=" TargetMode="External" /><Relationship Id="rId727" Type="http://schemas.openxmlformats.org/officeDocument/2006/relationships/hyperlink" Target="https://advance.lexis.com/api/document?collection=cases-ca&amp;id=urn:contentItem:5F8T-N3T1-JFKM-654Y-00000-00&amp;context=" TargetMode="External" /><Relationship Id="rId728" Type="http://schemas.openxmlformats.org/officeDocument/2006/relationships/image" Target="media/image6.jpeg" /><Relationship Id="rId729" Type="http://schemas.openxmlformats.org/officeDocument/2006/relationships/image" Target="media/image7.png" /><Relationship Id="rId73" Type="http://schemas.openxmlformats.org/officeDocument/2006/relationships/header" Target="header12.xml" /><Relationship Id="rId730" Type="http://schemas.openxmlformats.org/officeDocument/2006/relationships/header" Target="header136.xml" /><Relationship Id="rId731" Type="http://schemas.openxmlformats.org/officeDocument/2006/relationships/header" Target="header137.xml" /><Relationship Id="rId732" Type="http://schemas.openxmlformats.org/officeDocument/2006/relationships/footer" Target="footer136.xml" /><Relationship Id="rId733" Type="http://schemas.openxmlformats.org/officeDocument/2006/relationships/footer" Target="footer137.xml" /><Relationship Id="rId734" Type="http://schemas.openxmlformats.org/officeDocument/2006/relationships/header" Target="header138.xml" /><Relationship Id="rId735" Type="http://schemas.openxmlformats.org/officeDocument/2006/relationships/footer" Target="footer138.xml" /><Relationship Id="rId736" Type="http://schemas.openxmlformats.org/officeDocument/2006/relationships/hyperlink" Target="https://advance.lexis.com/api/document?collection=cases-ca&amp;id=urn:contentItem:5F7T-S7C1-F30T-B200-00000-00&amp;context=" TargetMode="External" /><Relationship Id="rId737" Type="http://schemas.openxmlformats.org/officeDocument/2006/relationships/hyperlink" Target="https://advance.lexis.com/api/document?collection=cases-ca&amp;id=urn:contentItem:5F7T-S741-F8D9-M19X-00000-00&amp;context=" TargetMode="External" /><Relationship Id="rId738" Type="http://schemas.openxmlformats.org/officeDocument/2006/relationships/hyperlink" Target="https://advance.lexis.com/api/document?collection=cases-ca&amp;id=urn:contentItem:5F7T-S761-FGJR-22VW-00000-00&amp;context=" TargetMode="External" /><Relationship Id="rId739" Type="http://schemas.openxmlformats.org/officeDocument/2006/relationships/hyperlink" Target="https://advance.lexis.com/api/document?collection=cases-ca&amp;id=urn:contentItem:5F7T-S761-JCBX-S0WY-00000-00&amp;context=" TargetMode="External" /><Relationship Id="rId74" Type="http://schemas.openxmlformats.org/officeDocument/2006/relationships/footer" Target="footer12.xml" /><Relationship Id="rId740" Type="http://schemas.openxmlformats.org/officeDocument/2006/relationships/hyperlink" Target="https://advance.lexis.com/api/document?collection=cases-ca&amp;id=urn:contentItem:5F7T-S771-JSJC-X0H7-00000-00&amp;context=" TargetMode="External" /><Relationship Id="rId741" Type="http://schemas.openxmlformats.org/officeDocument/2006/relationships/hyperlink" Target="https://advance.lexis.com/api/document?collection=cases-ca&amp;id=urn:contentItem:5F7T-S781-F7G6-63B8-00000-00&amp;context=" TargetMode="External" /><Relationship Id="rId742" Type="http://schemas.openxmlformats.org/officeDocument/2006/relationships/hyperlink" Target="https://advance.lexis.com/api/document?collection=cases-ca&amp;id=urn:contentItem:5F8T-N3T1-JJSF-23BG-00000-00&amp;context=" TargetMode="External" /><Relationship Id="rId743" Type="http://schemas.openxmlformats.org/officeDocument/2006/relationships/hyperlink" Target="https://advance.lexis.com/api/document?collection=cases-ca&amp;id=urn:contentItem:5F7T-S701-F8KH-X13M-00000-00&amp;context=" TargetMode="External" /><Relationship Id="rId744" Type="http://schemas.openxmlformats.org/officeDocument/2006/relationships/header" Target="header139.xml" /><Relationship Id="rId745" Type="http://schemas.openxmlformats.org/officeDocument/2006/relationships/header" Target="header140.xml" /><Relationship Id="rId746" Type="http://schemas.openxmlformats.org/officeDocument/2006/relationships/footer" Target="footer139.xml" /><Relationship Id="rId747" Type="http://schemas.openxmlformats.org/officeDocument/2006/relationships/footer" Target="footer140.xml" /><Relationship Id="rId748" Type="http://schemas.openxmlformats.org/officeDocument/2006/relationships/header" Target="header141.xml" /><Relationship Id="rId749" Type="http://schemas.openxmlformats.org/officeDocument/2006/relationships/footer" Target="footer141.xml" /><Relationship Id="rId75" Type="http://schemas.openxmlformats.org/officeDocument/2006/relationships/hyperlink" Target="https://advance.lexis.com/api/document?collection=cases-ca&amp;id=urn:contentItem:5F7T-S7G1-F5KY-B1R1-00000-00&amp;context=" TargetMode="External" /><Relationship Id="rId750" Type="http://schemas.openxmlformats.org/officeDocument/2006/relationships/hyperlink" Target="https://advance.lexis.com/api/document?collection=cases-ca&amp;id=urn:contentItem:5F7T-S791-JCJ5-2546-00000-00&amp;context=" TargetMode="External" /><Relationship Id="rId751" Type="http://schemas.openxmlformats.org/officeDocument/2006/relationships/hyperlink" Target="https://advance.lexis.com/api/document?collection=legislation-ca&amp;id=urn:contentItem:5VYK-47V1-JJSF-24KK-00000-00&amp;context=" TargetMode="External" /><Relationship Id="rId752" Type="http://schemas.openxmlformats.org/officeDocument/2006/relationships/hyperlink" Target="https://advance.lexis.com/api/document?collection=cases-ca&amp;id=urn:contentItem:5F7T-S7B1-JSRM-6053-00000-00&amp;context=" TargetMode="External" /><Relationship Id="rId753" Type="http://schemas.openxmlformats.org/officeDocument/2006/relationships/hyperlink" Target="https://advance.lexis.com/api/document?collection=cases-ca&amp;id=urn:contentItem:5F7T-S7B1-JSRM-608H-00000-00&amp;context=" TargetMode="External" /><Relationship Id="rId754" Type="http://schemas.openxmlformats.org/officeDocument/2006/relationships/hyperlink" Target="https://advance.lexis.com/api/document?collection=cases-ca&amp;id=urn:contentItem:5F7T-S751-JBM1-M2CY-00000-00&amp;context=" TargetMode="External" /><Relationship Id="rId755" Type="http://schemas.openxmlformats.org/officeDocument/2006/relationships/header" Target="header142.xml" /><Relationship Id="rId756" Type="http://schemas.openxmlformats.org/officeDocument/2006/relationships/header" Target="header143.xml" /><Relationship Id="rId757" Type="http://schemas.openxmlformats.org/officeDocument/2006/relationships/footer" Target="footer142.xml" /><Relationship Id="rId758" Type="http://schemas.openxmlformats.org/officeDocument/2006/relationships/footer" Target="footer143.xml" /><Relationship Id="rId759" Type="http://schemas.openxmlformats.org/officeDocument/2006/relationships/header" Target="header144.xml" /><Relationship Id="rId76" Type="http://schemas.openxmlformats.org/officeDocument/2006/relationships/hyperlink" Target="https://advance.lexis.com/api/document?collection=cases-ca&amp;id=urn:contentItem:5F8T-N3V1-JF75-M3SR-00000-00&amp;context=" TargetMode="External" /><Relationship Id="rId760" Type="http://schemas.openxmlformats.org/officeDocument/2006/relationships/footer" Target="footer144.xml" /><Relationship Id="rId761" Type="http://schemas.openxmlformats.org/officeDocument/2006/relationships/hyperlink" Target="https://advance.lexis.com/api/document?collection=cases-ca&amp;id=urn:contentItem:5TX5-0TT1-JTGH-B0JT-00000-00&amp;context=" TargetMode="External" /><Relationship Id="rId762" Type="http://schemas.openxmlformats.org/officeDocument/2006/relationships/hyperlink" Target="https://advance.lexis.com/api/document?collection=cases-ca&amp;id=urn:contentItem:5WJ0-YSX1-JB2B-S1MN-00000-00&amp;context=" TargetMode="External" /><Relationship Id="rId763" Type="http://schemas.openxmlformats.org/officeDocument/2006/relationships/hyperlink" Target="https://advance.lexis.com/api/document?collection=cases-ca&amp;id=urn:contentItem:5F8T-N3T1-JJSF-234V-00000-00&amp;context=" TargetMode="External" /><Relationship Id="rId764" Type="http://schemas.openxmlformats.org/officeDocument/2006/relationships/hyperlink" Target="https://advance.lexis.com/api/document?collection=cases-ca&amp;id=urn:contentItem:5F7T-S7D1-JN6B-S13K-00000-00&amp;context=" TargetMode="External" /><Relationship Id="rId765" Type="http://schemas.openxmlformats.org/officeDocument/2006/relationships/hyperlink" Target="https://advance.lexis.com/api/document?collection=cases-ca&amp;id=urn:contentItem:5F7T-S7N1-JJ1H-X2MS-00000-00&amp;context=" TargetMode="External" /><Relationship Id="rId766" Type="http://schemas.openxmlformats.org/officeDocument/2006/relationships/hyperlink" Target="https://advance.lexis.com/api/document?collection=cases-ca&amp;id=urn:contentItem:5J3K-3591-F956-S3CM-00000-00&amp;context=" TargetMode="External" /><Relationship Id="rId767" Type="http://schemas.openxmlformats.org/officeDocument/2006/relationships/hyperlink" Target="https://advance.lexis.com/api/document?collection=cases-ca&amp;id=urn:contentItem:5F7T-S7D1-FBFS-S1M7-00000-00&amp;context=" TargetMode="External" /><Relationship Id="rId768" Type="http://schemas.openxmlformats.org/officeDocument/2006/relationships/hyperlink" Target="https://advance.lexis.com/api/document?collection=cases-ca&amp;id=urn:contentItem:5F7T-S7N1-JJ1H-X31K-00000-00&amp;context=" TargetMode="External" /><Relationship Id="rId769" Type="http://schemas.openxmlformats.org/officeDocument/2006/relationships/hyperlink" Target="https://advance.lexis.com/api/document?collection=cases-ca&amp;id=urn:contentItem:5F7T-S7D1-FBFS-S1TD-00000-00&amp;context=" TargetMode="External" /><Relationship Id="rId77" Type="http://schemas.openxmlformats.org/officeDocument/2006/relationships/hyperlink" Target="https://advance.lexis.com/api/document?collection=cases-ca&amp;id=urn:contentItem:5F7T-S6Y1-DY33-B0BC-00000-00&amp;context=" TargetMode="External" /><Relationship Id="rId770" Type="http://schemas.openxmlformats.org/officeDocument/2006/relationships/hyperlink" Target="https://advance.lexis.com/api/document?collection=cases-ca&amp;id=urn:contentItem:5GWF-M0T1-F8KH-X2FP-00000-00&amp;context=" TargetMode="External" /><Relationship Id="rId771" Type="http://schemas.openxmlformats.org/officeDocument/2006/relationships/hyperlink" Target="https://advance.lexis.com/api/document?collection=cases-ca&amp;id=urn:contentItem:5K3Y-46B1-JXG3-X0TM-00000-00&amp;context=" TargetMode="External" /><Relationship Id="rId772" Type="http://schemas.openxmlformats.org/officeDocument/2006/relationships/hyperlink" Target="https://advance.lexis.com/api/document?collection=cases-ca&amp;id=urn:contentItem:5M43-BH51-DXHD-G247-00000-00&amp;context=" TargetMode="External" /><Relationship Id="rId773" Type="http://schemas.openxmlformats.org/officeDocument/2006/relationships/hyperlink" Target="https://advance.lexis.com/api/document?collection=cases-ca&amp;id=urn:contentItem:5F7T-S7N1-F06F-24MW-00000-00&amp;context=" TargetMode="External" /><Relationship Id="rId774" Type="http://schemas.openxmlformats.org/officeDocument/2006/relationships/hyperlink" Target="https://advance.lexis.com/api/document?collection=cases-ca&amp;id=urn:contentItem:5F7T-S7H1-F016-S3S8-00000-00&amp;context=" TargetMode="External" /><Relationship Id="rId775" Type="http://schemas.openxmlformats.org/officeDocument/2006/relationships/hyperlink" Target="https://advance.lexis.com/api/document?collection=cases-ca&amp;id=urn:contentItem:5F7T-S7J1-FGCG-S05H-00000-00&amp;context=" TargetMode="External" /><Relationship Id="rId776" Type="http://schemas.openxmlformats.org/officeDocument/2006/relationships/hyperlink" Target="https://advance.lexis.com/api/document?collection=cases-ca&amp;id=urn:contentItem:5F7T-S7B1-FH4C-X381-00000-00&amp;context=" TargetMode="External" /><Relationship Id="rId777" Type="http://schemas.openxmlformats.org/officeDocument/2006/relationships/hyperlink" Target="https://advance.lexis.com/api/document?collection=cases-ca&amp;id=urn:contentItem:5HR4-FPP1-JG02-S2B3-00000-00&amp;context=" TargetMode="External" /><Relationship Id="rId778" Type="http://schemas.openxmlformats.org/officeDocument/2006/relationships/hyperlink" Target="https://advance.lexis.com/api/document?collection=cases-ca&amp;id=urn:contentItem:5F7T-S7M1-DYMS-62FG-00000-00&amp;context=" TargetMode="External" /><Relationship Id="rId779" Type="http://schemas.openxmlformats.org/officeDocument/2006/relationships/hyperlink" Target="https://advance.lexis.com/api/document?collection=cases-ca&amp;id=urn:contentItem:5F7T-S7K1-DY33-B1K8-00000-00&amp;context=" TargetMode="External" /><Relationship Id="rId78" Type="http://schemas.openxmlformats.org/officeDocument/2006/relationships/hyperlink" Target="https://advance.lexis.com/api/document?collection=cases-ca&amp;id=urn:contentItem:5F8T-N3V1-FC1F-M4C7-00000-00&amp;context=" TargetMode="External" /><Relationship Id="rId780" Type="http://schemas.openxmlformats.org/officeDocument/2006/relationships/hyperlink" Target="https://advance.lexis.com/api/document?collection=cases-ca&amp;id=urn:contentItem:5F7T-S7N1-F57G-S2PF-00000-00&amp;context=" TargetMode="External" /><Relationship Id="rId781" Type="http://schemas.openxmlformats.org/officeDocument/2006/relationships/hyperlink" Target="https://advance.lexis.com/api/document?collection=cases-ca&amp;id=urn:contentItem:5F7T-S7J1-JNS1-M2G2-00000-00&amp;context=" TargetMode="External" /><Relationship Id="rId782" Type="http://schemas.openxmlformats.org/officeDocument/2006/relationships/hyperlink" Target="https://advance.lexis.com/api/document?collection=cases-ca&amp;id=urn:contentItem:5F7T-S7K1-JSJC-X168-00000-00&amp;context=" TargetMode="External" /><Relationship Id="rId783" Type="http://schemas.openxmlformats.org/officeDocument/2006/relationships/hyperlink" Target="https://advance.lexis.com/api/document?collection=cases-ca&amp;id=urn:contentItem:5J0C-MF51-JSXV-G2N2-00000-00&amp;context=" TargetMode="External" /><Relationship Id="rId784" Type="http://schemas.openxmlformats.org/officeDocument/2006/relationships/hyperlink" Target="https://advance.lexis.com/api/document?collection=cases-ca&amp;id=urn:contentItem:5RJ8-5GM1-JP9P-G0PD-00000-00&amp;context=" TargetMode="External" /><Relationship Id="rId785" Type="http://schemas.openxmlformats.org/officeDocument/2006/relationships/hyperlink" Target="https://advance.lexis.com/api/document?collection=cases-ca&amp;id=urn:contentItem:5F7T-S7K1-JKHB-62PC-00000-00&amp;context=" TargetMode="External" /><Relationship Id="rId786" Type="http://schemas.openxmlformats.org/officeDocument/2006/relationships/hyperlink" Target="https://advance.lexis.com/api/document?collection=cases-ca&amp;id=urn:contentItem:5F7T-S7K1-DY33-B1KT-00000-00&amp;context=" TargetMode="External" /><Relationship Id="rId787" Type="http://schemas.openxmlformats.org/officeDocument/2006/relationships/hyperlink" Target="https://advance.lexis.com/api/document?collection=cases-ca&amp;id=urn:contentItem:5F7T-S7B1-F7ND-G50F-00000-00&amp;context=" TargetMode="External" /><Relationship Id="rId788" Type="http://schemas.openxmlformats.org/officeDocument/2006/relationships/hyperlink" Target="https://advance.lexis.com/api/document?collection=cases-ca&amp;id=urn:contentItem:5F7T-S6W1-JB7K-21F4-00000-00&amp;context=" TargetMode="External" /><Relationship Id="rId789" Type="http://schemas.openxmlformats.org/officeDocument/2006/relationships/hyperlink" Target="https://advance.lexis.com/api/document?collection=cases-ca&amp;id=urn:contentItem:5F7T-S6X1-JTNR-M3X3-00000-00&amp;context=" TargetMode="External" /><Relationship Id="rId79" Type="http://schemas.openxmlformats.org/officeDocument/2006/relationships/hyperlink" Target="https://advance.lexis.com/api/document?collection=cases-ca&amp;id=urn:contentItem:5F7T-S781-F27X-6181-00000-00&amp;context=" TargetMode="External" /><Relationship Id="rId790" Type="http://schemas.openxmlformats.org/officeDocument/2006/relationships/hyperlink" Target="https://advance.lexis.com/api/document?collection=cases-ca&amp;id=urn:contentItem:5F7T-S731-DY33-B0YN-00000-00&amp;context=" TargetMode="External" /><Relationship Id="rId791" Type="http://schemas.openxmlformats.org/officeDocument/2006/relationships/hyperlink" Target="https://advance.lexis.com/api/document?collection=cases-ca&amp;id=urn:contentItem:5F7T-S771-JN14-G2PR-00000-00&amp;context=" TargetMode="External" /><Relationship Id="rId792" Type="http://schemas.openxmlformats.org/officeDocument/2006/relationships/hyperlink" Target="https://advance.lexis.com/api/document?collection=cases-ca&amp;id=urn:contentItem:5F81-VJX1-F5T5-M3YH-00000-00&amp;context=" TargetMode="External" /><Relationship Id="rId793" Type="http://schemas.openxmlformats.org/officeDocument/2006/relationships/hyperlink" Target="https://advance.lexis.com/api/document?collection=cases-ca&amp;id=urn:contentItem:5F7T-S7D1-DY89-M463-00000-00&amp;context=" TargetMode="External" /><Relationship Id="rId794" Type="http://schemas.openxmlformats.org/officeDocument/2006/relationships/hyperlink" Target="https://advance.lexis.com/api/document?collection=cases-ca&amp;id=urn:contentItem:5F7T-S7J1-DXWW-251K-00000-00&amp;context=" TargetMode="External" /><Relationship Id="rId795" Type="http://schemas.openxmlformats.org/officeDocument/2006/relationships/hyperlink" Target="https://advance.lexis.com/api/document?collection=cases-ca&amp;id=urn:contentItem:5F7T-S7D1-F7ND-G0MH-00000-00&amp;context=" TargetMode="External" /><Relationship Id="rId796" Type="http://schemas.openxmlformats.org/officeDocument/2006/relationships/hyperlink" Target="https://advance.lexis.com/api/document?collection=cases-ca&amp;id=urn:contentItem:5NNT-1V01-F2TK-24JS-00000-00&amp;context=" TargetMode="External" /><Relationship Id="rId797" Type="http://schemas.openxmlformats.org/officeDocument/2006/relationships/hyperlink" Target="https://advance.lexis.com/api/document?collection=cases-ca&amp;id=urn:contentItem:5F7T-S7P1-JSJC-X1MC-00000-00&amp;context=" TargetMode="External" /><Relationship Id="rId798" Type="http://schemas.openxmlformats.org/officeDocument/2006/relationships/hyperlink" Target="https://advance.lexis.com/api/document?collection=cases-ca&amp;id=urn:contentItem:5F8T-N3V1-JTGH-B0YB-00000-00&amp;context=" TargetMode="External" /><Relationship Id="rId799" Type="http://schemas.openxmlformats.org/officeDocument/2006/relationships/hyperlink" Target="https://advance.lexis.com/api/document?collection=cases-ca&amp;id=urn:contentItem:5F7T-S7N1-F57G-S2D4-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71-JTGH-B150-00000-00&amp;context=" TargetMode="External" /><Relationship Id="rId800" Type="http://schemas.openxmlformats.org/officeDocument/2006/relationships/hyperlink" Target="https://advance.lexis.com/api/document?collection=cases-ca&amp;id=urn:contentItem:5F7T-S7K1-DY33-B1R6-00000-00&amp;context=" TargetMode="External" /><Relationship Id="rId801" Type="http://schemas.openxmlformats.org/officeDocument/2006/relationships/hyperlink" Target="https://advance.lexis.com/api/document?collection=cases-ca&amp;id=urn:contentItem:5GCC-XVC1-F900-G4Y6-00000-00&amp;context=" TargetMode="External" /><Relationship Id="rId802" Type="http://schemas.openxmlformats.org/officeDocument/2006/relationships/hyperlink" Target="https://advance.lexis.com/api/document?collection=cases-ca&amp;id=urn:contentItem:5F8T-N3V1-FC1F-M4BC-00000-00&amp;context=" TargetMode="External" /><Relationship Id="rId803" Type="http://schemas.openxmlformats.org/officeDocument/2006/relationships/hyperlink" Target="https://advance.lexis.com/api/document?collection=cases-ca&amp;id=urn:contentItem:5F7T-S7M1-JNCK-22MK-00000-00&amp;context=" TargetMode="External" /><Relationship Id="rId804" Type="http://schemas.openxmlformats.org/officeDocument/2006/relationships/hyperlink" Target="https://advance.lexis.com/api/document?collection=cases-ca&amp;id=urn:contentItem:5F7T-S7M1-JCRC-B1SF-00000-00&amp;context=" TargetMode="External" /><Relationship Id="rId805" Type="http://schemas.openxmlformats.org/officeDocument/2006/relationships/hyperlink" Target="https://advance.lexis.com/api/document?collection=cases-ca&amp;id=urn:contentItem:5F7T-S7M1-JNCK-22SH-00000-00&amp;context=" TargetMode="External" /><Relationship Id="rId806" Type="http://schemas.openxmlformats.org/officeDocument/2006/relationships/hyperlink" Target="https://advance.lexis.com/api/document?collection=cases-ca&amp;id=urn:contentItem:5MYY-YHT1-FGCG-S1WD-00000-00&amp;context=" TargetMode="External" /><Relationship Id="rId807" Type="http://schemas.openxmlformats.org/officeDocument/2006/relationships/hyperlink" Target="https://advance.lexis.com/api/document?collection=cases-ca&amp;id=urn:contentItem:5G3H-VVF1-JSRM-62MX-00000-00&amp;context=" TargetMode="External" /><Relationship Id="rId808" Type="http://schemas.openxmlformats.org/officeDocument/2006/relationships/hyperlink" Target="https://advance.lexis.com/api/document?collection=cases-ca&amp;id=urn:contentItem:5R14-66C1-F1P7-B1KR-00000-00&amp;context=" TargetMode="External" /><Relationship Id="rId809" Type="http://schemas.openxmlformats.org/officeDocument/2006/relationships/header" Target="header145.xml" /><Relationship Id="rId81" Type="http://schemas.openxmlformats.org/officeDocument/2006/relationships/hyperlink" Target="https://advance.lexis.com/api/document?collection=cases-ca&amp;id=urn:contentItem:5F82-1SF1-K054-G468-00000-00&amp;context=" TargetMode="External" /><Relationship Id="rId810" Type="http://schemas.openxmlformats.org/officeDocument/2006/relationships/header" Target="header146.xml" /><Relationship Id="rId811" Type="http://schemas.openxmlformats.org/officeDocument/2006/relationships/footer" Target="footer145.xml" /><Relationship Id="rId812" Type="http://schemas.openxmlformats.org/officeDocument/2006/relationships/footer" Target="footer146.xml" /><Relationship Id="rId813" Type="http://schemas.openxmlformats.org/officeDocument/2006/relationships/header" Target="header147.xml" /><Relationship Id="rId814" Type="http://schemas.openxmlformats.org/officeDocument/2006/relationships/footer" Target="footer147.xml" /><Relationship Id="rId815" Type="http://schemas.openxmlformats.org/officeDocument/2006/relationships/hyperlink" Target="https://advance.lexis.com/api/document?collection=cases-ca&amp;id=urn:contentItem:5NG1-FXB1-FCCX-63NV-00000-00&amp;context=" TargetMode="External" /><Relationship Id="rId816" Type="http://schemas.openxmlformats.org/officeDocument/2006/relationships/hyperlink" Target="https://advance.lexis.com/api/document?collection=cases-ca&amp;id=urn:contentItem:5KCD-3JR1-JGHR-M0NN-00000-00&amp;context=" TargetMode="External" /><Relationship Id="rId817" Type="http://schemas.openxmlformats.org/officeDocument/2006/relationships/hyperlink" Target="https://advance.lexis.com/api/document?collection=cases-ca&amp;id=urn:contentItem:5F7T-S7M1-JFSV-G3VT-00000-00&amp;context=" TargetMode="External" /><Relationship Id="rId818" Type="http://schemas.openxmlformats.org/officeDocument/2006/relationships/hyperlink" Target="https://advance.lexis.com/api/document?collection=cases-ca&amp;id=urn:contentItem:5F7T-S7N1-JJ1H-X2SP-00000-00&amp;context=" TargetMode="External" /><Relationship Id="rId819" Type="http://schemas.openxmlformats.org/officeDocument/2006/relationships/header" Target="header148.xml" /><Relationship Id="rId82" Type="http://schemas.openxmlformats.org/officeDocument/2006/relationships/hyperlink" Target="https://advance.lexis.com/api/document?collection=cases-ca&amp;id=urn:contentItem:5F7T-S7F1-F7VM-S3VY-00000-00&amp;context=" TargetMode="External" /><Relationship Id="rId820" Type="http://schemas.openxmlformats.org/officeDocument/2006/relationships/header" Target="header149.xml" /><Relationship Id="rId821" Type="http://schemas.openxmlformats.org/officeDocument/2006/relationships/footer" Target="footer148.xml" /><Relationship Id="rId822" Type="http://schemas.openxmlformats.org/officeDocument/2006/relationships/footer" Target="footer149.xml" /><Relationship Id="rId823" Type="http://schemas.openxmlformats.org/officeDocument/2006/relationships/header" Target="header150.xml" /><Relationship Id="rId824" Type="http://schemas.openxmlformats.org/officeDocument/2006/relationships/footer" Target="footer150.xml" /><Relationship Id="rId825" Type="http://schemas.openxmlformats.org/officeDocument/2006/relationships/hyperlink" Target="https://advance.lexis.com/api/document?collection=cases-ca&amp;id=urn:contentItem:5F7T-S7C1-JS0R-22CK-00000-00&amp;context=" TargetMode="External" /><Relationship Id="rId826" Type="http://schemas.openxmlformats.org/officeDocument/2006/relationships/hyperlink" Target="https://advance.lexis.com/api/document?collection=cases-ca&amp;id=urn:contentItem:5F16-9341-FC1F-M0MP-00000-00&amp;context=" TargetMode="External" /><Relationship Id="rId827" Type="http://schemas.openxmlformats.org/officeDocument/2006/relationships/hyperlink" Target="https://advance.lexis.com/api/document?collection=cases-ca&amp;id=urn:contentItem:5F7T-S781-F27X-61BF-00000-00&amp;context=" TargetMode="External" /><Relationship Id="rId828" Type="http://schemas.openxmlformats.org/officeDocument/2006/relationships/hyperlink" Target="https://advance.lexis.com/api/document?collection=cases-ca&amp;id=urn:contentItem:5F7T-S781-FH4C-X32Y-00000-00&amp;context=" TargetMode="External" /><Relationship Id="rId829" Type="http://schemas.openxmlformats.org/officeDocument/2006/relationships/hyperlink" Target="https://advance.lexis.com/api/document?collection=cases-ca&amp;id=urn:contentItem:5F8T-N3R1-JNS1-M18G-00000-00&amp;context=" TargetMode="External" /><Relationship Id="rId83" Type="http://schemas.openxmlformats.org/officeDocument/2006/relationships/header" Target="header13.xml" /><Relationship Id="rId830" Type="http://schemas.openxmlformats.org/officeDocument/2006/relationships/hyperlink" Target="https://advance.lexis.com/api/document?collection=cases-ca&amp;id=urn:contentItem:5F8T-N3T1-JJSF-23BY-00000-00&amp;context=" TargetMode="External" /><Relationship Id="rId831" Type="http://schemas.openxmlformats.org/officeDocument/2006/relationships/hyperlink" Target="https://advance.lexis.com/api/document?collection=cases-ca&amp;id=urn:contentItem:5F7T-S6W1-JB7K-21F6-00000-00&amp;context=" TargetMode="External" /><Relationship Id="rId832" Type="http://schemas.openxmlformats.org/officeDocument/2006/relationships/hyperlink" Target="https://advance.lexis.com/api/document?collection=cases-ca&amp;id=urn:contentItem:5F7T-S6W1-JYYX-61JM-00000-00&amp;context=" TargetMode="External" /><Relationship Id="rId833" Type="http://schemas.openxmlformats.org/officeDocument/2006/relationships/hyperlink" Target="https://advance.lexis.com/api/document?collection=cases-ca&amp;id=urn:contentItem:5F8T-N3T1-JJSF-233X-00000-00&amp;context=" TargetMode="External" /><Relationship Id="rId834" Type="http://schemas.openxmlformats.org/officeDocument/2006/relationships/hyperlink" Target="https://advance.lexis.com/api/document?collection=cases-ca&amp;id=urn:contentItem:5F8T-N3V1-FC1F-M44Y-00000-00&amp;context=" TargetMode="External" /><Relationship Id="rId835" Type="http://schemas.openxmlformats.org/officeDocument/2006/relationships/hyperlink" Target="https://advance.lexis.com/api/document?collection=cases-ca&amp;id=urn:contentItem:5F16-9301-JX3N-B4C2-00000-00&amp;context=" TargetMode="External" /><Relationship Id="rId836" Type="http://schemas.openxmlformats.org/officeDocument/2006/relationships/hyperlink" Target="https://advance.lexis.com/api/document?collection=cases-ca&amp;id=urn:contentItem:5F7T-S7G1-JBT7-X39S-00000-00&amp;context=" TargetMode="External" /><Relationship Id="rId837" Type="http://schemas.openxmlformats.org/officeDocument/2006/relationships/hyperlink" Target="https://advance.lexis.com/api/document?collection=cases-ca&amp;id=urn:contentItem:5F8T-N3S1-JT99-24WG-00000-00&amp;context=" TargetMode="External" /><Relationship Id="rId838" Type="http://schemas.openxmlformats.org/officeDocument/2006/relationships/hyperlink" Target="https://advance.lexis.com/api/document?collection=cases-ca&amp;id=urn:contentItem:5F8T-N3T1-JJSF-23FJ-00000-00&amp;context=" TargetMode="External" /><Relationship Id="rId839" Type="http://schemas.openxmlformats.org/officeDocument/2006/relationships/hyperlink" Target="https://advance.lexis.com/api/document?collection=cases-ca&amp;id=urn:contentItem:5F8T-N3V1-JF75-M3BC-00000-00&amp;context=" TargetMode="External" /><Relationship Id="rId84" Type="http://schemas.openxmlformats.org/officeDocument/2006/relationships/header" Target="header14.xml" /><Relationship Id="rId840" Type="http://schemas.openxmlformats.org/officeDocument/2006/relationships/hyperlink" Target="https://advance.lexis.com/api/document?collection=cases-ca&amp;id=urn:contentItem:5F8T-N3V1-JF75-M38M-00000-00&amp;context=" TargetMode="External" /><Relationship Id="rId841" Type="http://schemas.openxmlformats.org/officeDocument/2006/relationships/hyperlink" Target="https://advance.lexis.com/api/document?collection=cases-ca&amp;id=urn:contentItem:5F81-VJX1-JP9P-G3TP-00000-00&amp;context=" TargetMode="External" /><Relationship Id="rId842" Type="http://schemas.openxmlformats.org/officeDocument/2006/relationships/image" Target="media/image8.png" /><Relationship Id="rId843" Type="http://schemas.openxmlformats.org/officeDocument/2006/relationships/image" Target="media/image9.jpeg" /><Relationship Id="rId844" Type="http://schemas.openxmlformats.org/officeDocument/2006/relationships/image" Target="media/image10.png" /><Relationship Id="rId845" Type="http://schemas.openxmlformats.org/officeDocument/2006/relationships/image" Target="media/image11.jpeg" /><Relationship Id="rId846" Type="http://schemas.openxmlformats.org/officeDocument/2006/relationships/numbering" Target="numbering.xml" /><Relationship Id="rId847" Type="http://schemas.openxmlformats.org/officeDocument/2006/relationships/styles" Target="styles.xml" /><Relationship Id="rId85" Type="http://schemas.openxmlformats.org/officeDocument/2006/relationships/footer" Target="footer13.xml" /><Relationship Id="rId86" Type="http://schemas.openxmlformats.org/officeDocument/2006/relationships/footer" Target="footer14.xml" /><Relationship Id="rId87" Type="http://schemas.openxmlformats.org/officeDocument/2006/relationships/header" Target="header15.xml" /><Relationship Id="rId88" Type="http://schemas.openxmlformats.org/officeDocument/2006/relationships/footer" Target="footer15.xml" /><Relationship Id="rId89" Type="http://schemas.openxmlformats.org/officeDocument/2006/relationships/hyperlink" Target="https://advance.lexis.com/api/document?collection=cases-ca&amp;id=urn:contentItem:5F7T-S7K1-JKHB-62WG-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61-JS5Y-B1DS-00000-00&amp;context=" TargetMode="External" /><Relationship Id="rId91" Type="http://schemas.openxmlformats.org/officeDocument/2006/relationships/hyperlink" Target="https://advance.lexis.com/api/document?collection=cases-ca&amp;id=urn:contentItem:5F8T-N3V1-JF75-M3VR-00000-00&amp;context=" TargetMode="External" /><Relationship Id="rId92" Type="http://schemas.openxmlformats.org/officeDocument/2006/relationships/hyperlink" Target="https://advance.lexis.com/api/document?collection=cases-ca&amp;id=urn:contentItem:5F81-VJX1-JJYN-B4VT-00000-00&amp;context=" TargetMode="External" /><Relationship Id="rId93" Type="http://schemas.openxmlformats.org/officeDocument/2006/relationships/hyperlink" Target="https://advance.lexis.com/api/document?collection=cases-ca&amp;id=urn:contentItem:5F7T-S7C1-JSRM-6111-00000-00&amp;context=" TargetMode="External" /><Relationship Id="rId94" Type="http://schemas.openxmlformats.org/officeDocument/2006/relationships/hyperlink" Target="https://advance.lexis.com/api/document?collection=cases-ca&amp;id=urn:contentItem:5F7T-S7C1-JCJ5-20VB-00000-00&amp;context=" TargetMode="External" /><Relationship Id="rId95" Type="http://schemas.openxmlformats.org/officeDocument/2006/relationships/hyperlink" Target="https://advance.lexis.com/api/document?collection=cases-ca&amp;id=urn:contentItem:5F8T-N3V1-JF75-M3KJ-00000-00&amp;context=" TargetMode="External" /><Relationship Id="rId96" Type="http://schemas.openxmlformats.org/officeDocument/2006/relationships/header" Target="header16.xml" /><Relationship Id="rId97" Type="http://schemas.openxmlformats.org/officeDocument/2006/relationships/header" Target="header17.xml" /><Relationship Id="rId98" Type="http://schemas.openxmlformats.org/officeDocument/2006/relationships/footer" Target="footer16.xml" /><Relationship Id="rId99" Type="http://schemas.openxmlformats.org/officeDocument/2006/relationships/footer" Target="footer17.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(Guardian ad litem of) v. British Columbia, [2003] B.C.J. No. 1563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115050183</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