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Budget Rent a Car System, Inc. v. Philadelphia Indemnity Insurance Co., [2018] B.C.J. No. 165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May 5, July 5-6,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S169536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289 A.C.W.S. (3d) 629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C.C.L.I. (5th) 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Budget Rent a Car System, Inc., ACE American Insurance Company, Plaintiffs, and Philadelphia Indemnity Insurance Company, State Farm Mutual Automobile Insurance Company, and State Farm General Insurance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Conflict of Laws — Conflicts by legal area — Contracts — Specific contract types — Insurance contracts — Automobile insurance — Application by defendant Philadelphia Indemnity Insurance Company for stay of action dismissed — Seven actions were filed in British Columbia arising out of motor vehicle accident — Van responsible for accident was leased to church by plaintiff in California — Philadelphia was insurer for vehicles leased to church — Plaintiff settled actions and initiated claim against Philadelphia and others for share of defence or indemnification costs — Court had territorial competence over Philadelphia based on a real and substantial connection — It was more appropriate that Canadian court decide impact of Canadian Power of Attorney and Undertaking — Court Jurisdiction and Proceedings Transfer Act, ss. 3, 3(c), 3(e), 10, 10(e), 10(f), 10(g), 11, 11(1), 11(2), 11(2)(a), 11(2)(b), 11(2)(c), 11(2)(d), 11(2)(e), 11(2)(f) — Insurance (Motor Vehicle) Act, s. 76 — Supreme Court Civil Rules, Rules 21-8(1), 21-9(5).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Courts — Jurisdiction — Application by defendant Philadelphia Indemnity Insurance Company for stay of action dismissed — Seven actions were filed in British Columbia arising out of motor vehicle accident — Van responsible for accident was leased to church by plaintiff in California — Philadelphia was insurer for vehicles leased to church — Plaintiff settled actions and initiated claim against Philadelphia and others for share of defence or indemnification costs — Court had territorial competence over Philadelphia based on a real and substantial connection — It was more appropriate that Canadian court decide impact of Canadian Power of Attorney and Undertaking — Court Jurisdiction and Proceedings Transfer Act, ss. 3, 3(c), 3(e), 10, 10(e), 10(f), 10(g), 11, 11(1), 11(2), 11(2) (a), 11(2)(b), 11(2)(c), 11(2)(d), 11(2)(e), 11(2)(f) — Insurance (Motor Vehicle) Act, s. 76 — Supreme Court Civil Rules, Rules 21-8(1), 21-9(5).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Philadelphia Indemnity Insurance Company (Philadelphia), to stay the action of the plaintiffs, Budget Rent a Car System, Inc. (Budget) and ACE American Insurance Company (ACE). Seven actions were filed in British Columbia regarding a motor vehicle accident which occurred in Vancouver in August 2011. The plaintiff in each action sued the driver of the van, Rodney Wilson. The van had been rented by Brad Brown in California from Budget. The van was rented on behalf of the First Presbyterian Church. Wilson drove the van to Vancouver from California. He was an employee of the Church. Budget undertook the defence of the underlying actions and settled all of them. Budget was self-insured on its rental policies for the first $200,000. Thereafter, renters could buy supplemental insurance, which Brown did. That supplemental insurance was provided by ACE. Philadelphia insured vehicles rented by the Church. Wilson had personal automobile insurance from the defendant, State Farm Mutual Automobile Insurance Company (State Farm Mutual), and general insurance from State Farm General Insurance Company (State Farm General). All of the parties were entitled to carry on business and had agents for service in California. None of the parties were extra provincially registered in British Columbia, or conducted business in British Columbia. ACE, Philadelphia, State Farm Mutual and State Farm General had all signed and filed a Power of Attorney and Undertaking (PAU) with the Canadian Council of Insurance Regulators. Budget and ACE filed a notice of civil claim in October 2016 seeking a declaration that Budget and Philadelphia were co-primary insurers for Wilson, and that ACE and State Farm provide excess coverage. Budget also sought a declaration that Philadelphia must share in the defence and/or indemnification costs paid by Budget for the underlying actions. In the alternative, Budget alleged that Philadelphia must provide restitution to Budget because of Philadelphia's unjust enrichment by not paying its share of defence costs of the underlying actions. Philadelphia's action in California was stayed for lack of jurisdiction. Philadelphia sought a declaration that the British Columbia court had no jurisdiction over it, and therefore Budget's action must be stayed. Philadelphia claimed that ACE's forum selection clause clearly ousts the court's jurisdiction in favour of California.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Philadelphia did not have a forum selection clause in its insurance policy with the Church. ACE's forum selection clause was irrelevant because Budget was neither seeking relief from ACE, nor implying that ACE failed to perform its contractual duties. ACE's forum selection clause did not preclude the court's jurisdiction over Philadelphia. The PAU was not an independent basis upon which jurisdiction simpliciter could be exercised over Philadelphia in these circumstances because Budget's action was not litigation arising out the motor vehicle accident itself. It was a dispute among insurers. However, Budget established a good arguable case that the court had territorial competence over Philadelphia based on a real and substantial connection pursuant to either s. 10(e) or 10(f) of the Court Jurisdiction and Proceedings Transfer Act. It was more appropriate that a Canadian court decide the impact of the PAU. Even if California law ultimately applied to the issue of insurance policy priorities, Philadelphia's position was that California law was very clear. That lessened any juridical disadvantage of having the British Columbia court opine on California law. Budget's action was not stayed.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Insurance Code, s. 11580.9(d)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11"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 s. 3(c), s. 3(e), s. 10, s. 10(e), s. 10(f), s. 10(g), s. 11, s. 11(1), s. 11(2), s. 11(2)(a), s. 11(2)(b), s. 11(2)(c), s. 11(2)(d), s. 11(2)(e), s. 11(2)(f)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Act, </w:t>
      </w:r>
      <w:hyperlink r:id="rId12" w:history="1">
        <w:r>
          <w:rPr>
            <w:rFonts w:ascii="arial" w:eastAsia="arial" w:hAnsi="arial" w:cs="arial"/>
            <w:i/>
            <w:color w:val="0077CC"/>
            <w:sz w:val="20"/>
            <w:u w:val="single"/>
            <w:shd w:val="clear" w:color="auto" w:fill="FFFFFF"/>
            <w:lang w:val="en-US" w:eastAsia="en-US" w:bidi="ar-SA"/>
          </w:rPr>
          <w:t>R.S.O. 1990, c. I.8, s. 275</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13" w:history="1">
        <w:r>
          <w:rPr>
            <w:rFonts w:ascii="arial" w:eastAsia="arial" w:hAnsi="arial" w:cs="arial"/>
            <w:i/>
            <w:color w:val="0077CC"/>
            <w:sz w:val="20"/>
            <w:u w:val="single"/>
            <w:shd w:val="clear" w:color="auto" w:fill="FFFFFF"/>
            <w:lang w:val="en-US" w:eastAsia="en-US" w:bidi="ar-SA"/>
          </w:rPr>
          <w:t>R.S.B.C. 1996, c. 231, s. 25</w:t>
        </w:r>
      </w:hyperlink>
      <w:r>
        <w:rPr>
          <w:rFonts w:ascii="arial" w:eastAsia="arial" w:hAnsi="arial" w:cs="arial"/>
          <w:color w:val="000000"/>
          <w:sz w:val="20"/>
          <w:lang w:val="en-US" w:eastAsia="en-US" w:bidi="ar-SA"/>
        </w:rPr>
        <w:t>, s.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21-8(1), Rule 21-8(5)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 Eged, J. Facchin.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Philadelphia Indemnity Insurance Company: R.A. Finlay, V.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State Farm Mutual Automobile Insurance Company and State Farm General Insurance Company: I. Hallam.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UNDISPUTED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Progress of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Budget and ACE Policy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PIIC's Policy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State Farm's Policy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Powers of Attorney and Undertakings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PRINCIPLES REGARDING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Territorial Competence (Jurisdiction Simpliciter)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Declining to Exercise Territorial Competence (Forum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Does ACE's forum selection clause preclude this Court's jurisdiction over PIIC?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Does the PAU independently subject PIIC to this Court's jurisdiction?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The Legal Characterization of the PAU</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Unifund Assurance Decision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Does this Court have jurisdiction over PIIC pursuant to sections 3(e) and 10 of the Act?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Preliminary Comments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Forum Shopping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Section 10(e) - Contractual obligations that were to be performed in British Columbia</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4. Section 10(f) - Restitutionary obligations that arose in British Columbia</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10 (g) - a tort committed in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territorial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Should the Court decline to exercise jurisdiction over PIIC?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Comparative convenience - s. 11 (2)(a)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 s. 11 (2)(b)</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Avoiding multiplicity of proceedings and avoiding multiple or conflicting decisions s. 11(c) and (d)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Enforcement of Eventual Judgment - s. 11(e)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Fair and efficient working of Canadian legal system - s. 11(f)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N. SHARMA J."/>
            <w:bookmarkEnd w:id="6"/>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concerns a dispute amongst the parties, who are all insurance companies. They disagree about their respective responsibility to contribute to the defence and indemnity costs of seven motor vehicle actions filed in British Columbia. All those actions have settled. They arose out of a motor vehicle accident that occurred in Vancouver in August 2011 involving a van rented by a church in California and driven by one of the church's employees. Both the church and its employee were resident in California. The driver of the other vehicle was insured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have filed this action seeking declarations and equitable relief against the defendants; the plaintiffs allege the defendants are responsible to share in the settlement and defence costs of the seven actions. The plaintiffs rely on the doctrine of equitable contribution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One of the defendants challenges the jurisdiction of this Court over it and submits the plaintiffs' action must be stayed. In the alternative, it submits British Columbia is not the preferable jurisdiction and I should exercise my discretion to stay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explained in this judgment, I have concluded this Court does have territorial jurisdiction over this action, and I am not persuaded to decline to exercise that jurisdiction. The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UNDISPUTED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Seven law suits were filed in the British Columbia Supreme Court regarding an accident, which occurred in Vancouver in August 2011 (the "Underlying Actions"). The plaintiff in each of the Underlying Actions sued Rodney Wilson who drove the van involved in the accident. Brad Brown rented that van in California from the plaintiff, Budget Rent a Car System, Inc. (Budget). Mr. Wilson was an authorized driver under the rental agreement that Mr. Brown signed with Budget (the "Rental Agreement"). Mr. Brown rented the van on behalf of the First Presbyterian Church (the "Church"). Mr. Wilson drove the van to Vancouver from California. Mr. Wilson is an employee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Budget undertook the defence of the Underlying Actions, and settled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Budget is self-insured on its rental policies for the first $200,000. Thereafter, renters can buy supplemental insurance, which Mr. Brown did. That supplemental insurance is provided by the plaintiff, ACE American Insurance Company (ACE). ACE and Budget are aligned in this litigation and represented by the same counsel (for ease of reference, I will refer to both ACE and Budget as Budget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Philadelphia Indemnity Insurance Company (PIIC), insured vehicles rented by the Church, including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Budget is incorporated and has its head office in Delaware. Both ACE and PIIC are incorporated under the law of Pennsylvania, which is also the location of their head offices. State Farm is incorporated and has its head office in Illinois.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Wilson had personal automobile insurance from the defendant, State Farm Mutual Automobile Insurance Company (State Farm Mutual), and general insurance from State Farm General Insurance Company (State Farm General). I refer to Mr. Wilson's insurers collectively as State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All of the parties are registered with the California Secretary of State; they are entitled to carry on business and have agents for service in California. They are also licensed by the California Department of Insurance to issue insurance policies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None of the parties are extra provincially registered in British Columbia, nor do any of them conduct business in 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Progress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Budget retained defence counsel in Vancouver to defend the Underlying Actions. In May 2016, Budget advised the other parties that it considered PIIC to be a co-primary insurer. In response to that, PIIC filed an action in the U.S. District Court, Northern District of California in August 2016, seeking a determination about coverage priorities amongst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Budget filed the notice of civil claim in this action in October 2016, and served PIIC at its head office in Pennsylvania. Budget's claim seeks, among other things, a declaration that Budget and PIIC are co-primary insurers for Mr. Wilson, and that ACE and State Farm provide excess coverage. Budget also seeks a declaration that PIIC must share in the defence and/or indemnification costs paid by Budget for the Underlying Actions. By the time the application was heard before me, all seven law suits had been settled by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alternative, Budget alleges that PIIC must provide restitution to Budget because of PIIC's unjust enrichment by not paying its share of defence costs of the Underlying Actions. Budget also alleges ACE and State Farm are obliged to indemnify Mr. Wilson for any amounts he was required to pay in excess of the Budget and PIIC policy limits, or in the alternative, that they pay restitution to Budget for any of those same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PIIC filed a Jurisdictional Response pursuant to Rule 21-8(1)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meaning that it has not attorned to the jurisdiction of this Court and is entitled to contest both territorial competence and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Rule 21-8(5).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meantime, PIIC's action in California District Court was stayed on the basis that the U.S. District Court had no jurisdiction. Just prior to the District Court's decision declining jurisdiction, PIIC also filed an action in the Superior Court of California in December 2016, seeking the same relief. Budget and ACE applied to the California State Court to stay PIIC's action on jurisdictional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State Farm filed an amended response in this action in January 2017 seeking a declaration of insurance priorities, and a declaration that "in particular that [State Farm's] policies respond to the Underlying Actions", and pay indemnification costs after the policy limits of Budget, ACE and PIIC have been exhausted. In other words, State Farm's position is that it is last in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PIIC filed this application in February 2017 seeking a declaration that this Court has no jurisdiction over it and therefore Budget's action must be stayed. Both Budget and State Farm filed responses in March 2017 opposing PIIC's application. The parties agreed to a hearing date in mid-March, but unfortunately no judge was available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Meanwhile, on March 2, 2017, the California State Court issued a tentative ruling staying PIIC's action on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grounds. However, on March 3, 2017 the California State Court modified that tentative ruling and instead adjourned the application to allow the California Court to confer with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was contacted and invited to speak with the judge presiding over PIIC's California action. After informing counsel of that communication and receiving submissions from them, I declined to communicate directly with the California judge. The hearing before me started in late March, but did not finish in the time allotted, and continued for a day in May and two days in July. On June 5, 2017, the California Court issued a stay in PIIC's California action pending resolution of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Prior to the release of this judgment, but after submissions had concluded in July, Budget sought leave from me to provide an update of the California action which I allowed. PIIC applied to the California Court of Appeal to reverse the State Court's stay and on August 10, 2017 the California Court of Appeal declined to hear PIIC's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Budget and ACE Policy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Clause 17 of the Rental Agreement stipulated that it did not offer any insurance protection unless the renter purchased supplementary liability insurance (SLI), which Mr. Brown did. Clause 18 of the Rental Agreement stated that once SLI was accepted and paid for, any driver authorized under the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will be provided with primary protection against liability for causing bodily injury or death to others or damaging the property of someone other than the driver and/or the renter up to a combined single limit of $1,000,000 or $2,000,000 depending on the place of rental, for bodily injury, death, or property damage, for each accident. ... This coverage will be provided by us up to the minimum statutory limits of the jurisdiction in which the accident occurs and under a separate policy of excess liability insurance for all coverage in excess of the statutory minimum,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the statutory minimum in B.C. is $200,000, that was the upper limit of Budget's insurance coverage (in Canadian funds). ACE insured in excess of that minimum up to $2 million USD. The ACE policy does not have an "other insurance" clause or duty to defend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ACE policy originally had a clause (referred to as the forum selection clause) which stated that "in the event of the failure of [ACE] to pay any amount claimed", ACE and the insured will submit to the jurisdiction of the Pennsylvania State Court. That clause was amended by Endorsement #11 and it now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in the event of the failure of the company to pay the amount claimed, the company and the insured will submit to the jurisdiction of the court in the state of residency of the Insured, or if mutually agreed upon by both the company and the Insured, the jurisdiction of the Supreme Court of the State of Pennsylvania. All matters arising hereunder shall be determined in accordance with the laws of the state in which the suit 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"insureds" are defined in ACE's policy. In this case they are Budget (the named insured), the Church (the renter, which elected to purchase the SLI) and Mr. Wilson (the authorized driver). As noted above, both the Church and Mr. Wilson are residents of California.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PIIC's Policy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PIIC policy provided liability insurance for vehicles the Church rented (under category 8 "hired autos ...those 'autos' you lease, hire, rent or borrow;") up to $1 million USD. The policy also had a clause addressing "Other Insurance" that stated it is excess to any "collectible insurance" for any vehicle the Church did not own; however, that clause also stated that liability coverage is "primary for any liability assumed under an "insured contract". An insured contract was defined to be "that part of any contract or agreement entered into, as part of your business, pertaining to the rental or lease by you or any of your employees of any auto".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policy also stated that "[w]hen this coverage form and any other coverage form or policy covers on the same basis, either excess or primary, we will pay only our share". The policy stated PIIC's share would be the proportion that its policy's coverage limit bore to the total of all insurance policies coverage limits. PIIC's policy also included a duty to defend, but did not have a forum selection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State Farm's Policy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Wilson had personal automobile insurance from State Farm Mutual and general insurance from State Farm General. State Farm Mutual's policy provided third party liability insurance up to $250,000 USD per individual claim, and $500,000 USD per occurrence. The coverage applied to damages Mr. Wilson was legally liable to pay because of bodily injury, including if he was driving a car that he did not own. State Farm General's policy provided insurance for third party liability up to $1 million USD, specifically stated to be excess to Mr. Wilson's State Farm Mutual policy. It also stated the coverage is "excess over all other insurance and self-insurance".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Powers of Attorney and Undertakings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ACE, PIIC, State Farm Mutual and State Farm General have all signed and filed a Power of Attorney and Undertaking (PAU) with the Canadian Council of Insurance Regulators. The parties' PAU's are identically worded.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PIIC's PAU (signed and filed in 2003) provides that "with respect to an action or proceeding against it or its insured, or its insured and another or others, arising out of a motor-vehicle accident in any of the respective Provinces...appoints severally the Superintendents of Insurance of British Columbia ... to do ... all or any of the following acts, ... that is to say: To accept service of notice or process on its behalf". The PAU continues: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appear in any action or proceeding against it or its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 </w:t>
      </w:r>
      <w:r>
        <w:rPr>
          <w:rFonts w:ascii="arial" w:eastAsia="arial" w:hAnsi="arial" w:cs="arial"/>
          <w:color w:val="000000"/>
          <w:sz w:val="20"/>
          <w:u w:val="single"/>
          <w:lang w:val="en-US" w:eastAsia="en-US" w:bidi="ar-SA"/>
        </w:rPr>
        <w:t>set up any defence to any claim, action, or proceeding, under a motor-vehicle liability insurance contract entered into by it</w:t>
      </w:r>
      <w:r>
        <w:rPr>
          <w:rFonts w:ascii="arial" w:eastAsia="arial" w:hAnsi="arial" w:cs="arial"/>
          <w:color w:val="000000"/>
          <w:sz w:val="20"/>
          <w:lang w:val="en-US" w:eastAsia="en-US" w:bidi="ar-SA"/>
        </w:rPr>
        <w:t xml:space="preserve">, which might not be set up if the contract had been entered into in, and in accordance with the law relating to motor vehicle liability insurance contracts or plans of automobile insurance of the Province ...in </w:t>
      </w:r>
      <w:r>
        <w:rPr>
          <w:rFonts w:ascii="arial" w:eastAsia="arial" w:hAnsi="arial" w:cs="arial"/>
          <w:color w:val="000000"/>
          <w:sz w:val="20"/>
          <w:u w:val="single"/>
          <w:lang w:val="en-US" w:eastAsia="en-US" w:bidi="ar-SA"/>
        </w:rPr>
        <w:t>which such action or proceeding may be instituted</w:t>
      </w:r>
      <w:r>
        <w:rPr>
          <w:rFonts w:ascii="arial" w:eastAsia="arial" w:hAnsi="arial" w:cs="arial"/>
          <w:color w:val="000000"/>
          <w:sz w:val="20"/>
          <w:lang w:val="en-US" w:eastAsia="en-US" w:bidi="ar-SA"/>
        </w:rPr>
        <w:t xml:space="preserve">, and to satisfy any final judgment rendered against it or its insured by a Court in such Province... </w:t>
      </w:r>
      <w:r>
        <w:rPr>
          <w:rFonts w:ascii="arial" w:eastAsia="arial" w:hAnsi="arial" w:cs="arial"/>
          <w:color w:val="000000"/>
          <w:sz w:val="20"/>
          <w:u w:val="single"/>
          <w:lang w:val="en-US" w:eastAsia="en-US" w:bidi="ar-SA"/>
        </w:rPr>
        <w:t>in respect of any kind or class of coverage provided under the contract or plan and in respect of any kind or class of coverage required by law</w:t>
      </w:r>
      <w:r>
        <w:rPr>
          <w:rFonts w:ascii="arial" w:eastAsia="arial" w:hAnsi="arial" w:cs="arial"/>
          <w:color w:val="000000"/>
          <w:sz w:val="20"/>
          <w:lang w:val="en-US" w:eastAsia="en-US" w:bidi="ar-SA"/>
        </w:rPr>
        <w:t xml:space="preserve"> to be provided under a plan or contracts of automobile insurance entered into in such Province...up to the greater of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and limits for that kind or class of coverage or coverage provided in the contract or plan,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minimum for that kind or class of coverage or coverages required by law to be provided under the plan or contracts of automobile insurance entered into in such Province... exclusive of interest and costs and subject to any priorities as to bodily injury or property damage with respect to such minimum amounts and limits as may be required by the laws of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PRINCIPLES REGARDING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applicable law is not in dispute in this case, only its application to the facts. In British Columbia,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sets out the factors to consider when courts are asked to rule on their territorial competence in an action. There is a two-step process: (1) determine whether the court has territorial competence, otherwise known as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and (2) if so, consider whether it should decline to exercise that on the ground that a court of another state is more appropriate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Territorial Competence (Jurisdiction </w:t>
      </w:r>
      <w:r>
        <w:rPr>
          <w:rFonts w:ascii="arial" w:eastAsia="arial" w:hAnsi="arial" w:cs="arial"/>
          <w:b/>
          <w:i/>
          <w:color w:val="000000"/>
          <w:sz w:val="20"/>
          <w:lang w:val="en-US" w:eastAsia="en-US" w:bidi="ar-SA"/>
        </w:rPr>
        <w:t>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 that the court has territorial competence in a proceeding that is brought against a person only if one of five conditions exist, two of which Budget relies 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has territorial competence in a proceeding that is brought against a person only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person to the effect that the court has jurisdiction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Section 10 stipulates what constitutes a real and substantial connection for the purpose of s. 3(e) and the plaintiffs rely on three subsections: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contractual obligations,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obligations, to a substantial extent, were to be performed in British Columbia,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express terms, the contract is governed by the law of British Columbia,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the purchase of property, services or both, for use other than in the course of a purchaser's trade or profession,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resulted from a solicitation of business in British Columbia by or on behalf of the seller,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restitutionary obligations that, to a substantial extent, arose in British Columbia,</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While section 10 lists the circumstances that deem a connection to exist, other factors can be considered: </w:t>
      </w:r>
      <w:r>
        <w:rPr>
          <w:rFonts w:ascii="arial" w:eastAsia="arial" w:hAnsi="arial" w:cs="arial"/>
          <w:i/>
          <w:color w:val="000000"/>
          <w:sz w:val="20"/>
          <w:lang w:val="en-US" w:eastAsia="en-US" w:bidi="ar-SA"/>
        </w:rPr>
        <w:t>JTG Management Services Ltd. v. Bank of Nanjing Co. Ltd.</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2015 BCCA 200</w:t>
        </w:r>
      </w:hyperlink>
      <w:r>
        <w:rPr>
          <w:rFonts w:ascii="arial" w:eastAsia="arial" w:hAnsi="arial" w:cs="arial"/>
          <w:color w:val="000000"/>
          <w:sz w:val="20"/>
          <w:lang w:val="en-US" w:eastAsia="en-US" w:bidi="ar-SA"/>
        </w:rPr>
        <w:t xml:space="preserve"> at para. 23. In particular, if a case does not fit into any of the statutory categories, common law principles may be applied: </w:t>
      </w:r>
      <w:r>
        <w:rPr>
          <w:rFonts w:ascii="arial" w:eastAsia="arial" w:hAnsi="arial" w:cs="arial"/>
          <w:i/>
          <w:color w:val="000000"/>
          <w:sz w:val="20"/>
          <w:lang w:val="en-US" w:eastAsia="en-US" w:bidi="ar-SA"/>
        </w:rPr>
        <w:t>Olney v. Rainville</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2008 BCSC 753</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Cameron v. Equinox Technologies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2009 BCSC 221</w:t>
        </w:r>
      </w:hyperlink>
      <w:r>
        <w:rPr>
          <w:rFonts w:ascii="arial" w:eastAsia="arial" w:hAnsi="arial" w:cs="arial"/>
          <w:color w:val="000000"/>
          <w:sz w:val="20"/>
          <w:lang w:val="en-US" w:eastAsia="en-US" w:bidi="ar-SA"/>
        </w:rPr>
        <w:t xml:space="preserve"> at para. 25. This is a natural extrapolation from the Supreme Court of Canada's admonition that applying the real and substantial connect test must be "guided by the requirements of order and fairness, not a mechanical counting of contacts or connections" (</w:t>
      </w:r>
      <w:r>
        <w:rPr>
          <w:rFonts w:ascii="arial" w:eastAsia="arial" w:hAnsi="arial" w:cs="arial"/>
          <w:i/>
          <w:color w:val="000000"/>
          <w:sz w:val="20"/>
          <w:lang w:val="en-US" w:eastAsia="en-US" w:bidi="ar-SA"/>
        </w:rPr>
        <w:t>Hunt v. T&amp;N plc</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party arguing for jurisdiction (in this case Budget) bears the burden of demonstrating territorial competence: </w:t>
      </w:r>
      <w:r>
        <w:rPr>
          <w:rFonts w:ascii="arial" w:eastAsia="arial" w:hAnsi="arial" w:cs="arial"/>
          <w:i/>
          <w:color w:val="000000"/>
          <w:sz w:val="20"/>
          <w:lang w:val="en-US" w:eastAsia="en-US" w:bidi="ar-SA"/>
        </w:rPr>
        <w:t>Danielson v. Janze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2017 BCSC 413</w:t>
        </w:r>
      </w:hyperlink>
      <w:r>
        <w:rPr>
          <w:rFonts w:ascii="arial" w:eastAsia="arial" w:hAnsi="arial" w:cs="arial"/>
          <w:color w:val="000000"/>
          <w:sz w:val="20"/>
          <w:lang w:val="en-US" w:eastAsia="en-US" w:bidi="ar-SA"/>
        </w:rPr>
        <w:t xml:space="preserve"> at para. 32. There is a low threshold to establish territorial competence. Rather than a balance of probabilities, the party only needs to establish a "good arguable case" that a real and substantial connection exists: </w:t>
      </w:r>
      <w:r>
        <w:rPr>
          <w:rFonts w:ascii="arial" w:eastAsia="arial" w:hAnsi="arial" w:cs="arial"/>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at para. 54; and </w:t>
      </w:r>
      <w:r>
        <w:rPr>
          <w:rFonts w:ascii="arial" w:eastAsia="arial" w:hAnsi="arial" w:cs="arial"/>
          <w:i/>
          <w:color w:val="000000"/>
          <w:sz w:val="20"/>
          <w:lang w:val="en-US" w:eastAsia="en-US" w:bidi="ar-SA"/>
        </w:rPr>
        <w:t>Laxton v. Jurem Anstalt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2010 BCSC 1002</w:t>
        </w:r>
      </w:hyperlink>
      <w:r>
        <w:rPr>
          <w:rFonts w:ascii="arial" w:eastAsia="arial" w:hAnsi="arial" w:cs="arial"/>
          <w:color w:val="000000"/>
          <w:sz w:val="20"/>
          <w:lang w:val="en-US" w:eastAsia="en-US" w:bidi="ar-SA"/>
        </w:rPr>
        <w:t xml:space="preserve"> (at para. 10); aff'd </w:t>
      </w:r>
      <w:hyperlink r:id="rId21" w:history="1">
        <w:r>
          <w:rPr>
            <w:rFonts w:ascii="arial" w:eastAsia="arial" w:hAnsi="arial" w:cs="arial"/>
            <w:i/>
            <w:color w:val="0077CC"/>
            <w:sz w:val="20"/>
            <w:u w:val="single"/>
            <w:shd w:val="clear" w:color="auto" w:fill="FFFFFF"/>
            <w:lang w:val="en-US" w:eastAsia="en-US" w:bidi="ar-SA"/>
          </w:rPr>
          <w:t>2011 BCCA 212</w:t>
        </w:r>
      </w:hyperlink>
      <w:r>
        <w:rPr>
          <w:rFonts w:ascii="arial" w:eastAsia="arial" w:hAnsi="arial" w:cs="arial"/>
          <w:color w:val="000000"/>
          <w:sz w:val="20"/>
          <w:lang w:val="en-US" w:eastAsia="en-US" w:bidi="ar-SA"/>
        </w:rPr>
        <w:t>. While the test is flexible, that does not equate to the court "reaching to find a real and substantial connection where none exists" (</w:t>
      </w:r>
      <w:r>
        <w:rPr>
          <w:rFonts w:ascii="arial" w:eastAsia="arial" w:hAnsi="arial" w:cs="arial"/>
          <w:i/>
          <w:color w:val="000000"/>
          <w:sz w:val="20"/>
          <w:lang w:val="en-US" w:eastAsia="en-US" w:bidi="ar-SA"/>
        </w:rPr>
        <w:t>Laxton</w:t>
      </w:r>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Declining to Exercise Territorial Competence (</w:t>
      </w:r>
      <w:r>
        <w:rPr>
          <w:rFonts w:ascii="arial" w:eastAsia="arial" w:hAnsi="arial" w:cs="arial"/>
          <w:b/>
          <w:i/>
          <w:color w:val="000000"/>
          <w:sz w:val="20"/>
          <w:lang w:val="en-US" w:eastAsia="en-US" w:bidi="ar-SA"/>
        </w:rPr>
        <w:t>Forum Non Conveniens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Section 11 confirms that the court retains a discretion to decline jurisdiction where the court of another state is a more appropriate forum to hear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structure of s. 11 is instructive. The overriding considerations guiding the court's discretion whether to decline jurisdiction are the interests of the parties and the ends of justice. In determining if another court is a more appropriate forum, the court must consider the circumstances relevant to the proceeding, including the factors listed in s.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Olympic Committee v. VF Outdoor Canada Co.</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2016 BCSC 238</w:t>
        </w:r>
      </w:hyperlink>
      <w:r>
        <w:rPr>
          <w:rFonts w:ascii="arial" w:eastAsia="arial" w:hAnsi="arial" w:cs="arial"/>
          <w:color w:val="000000"/>
          <w:sz w:val="20"/>
          <w:lang w:val="en-US" w:eastAsia="en-US" w:bidi="ar-SA"/>
        </w:rPr>
        <w:t xml:space="preserve"> at paras. 30-35, Justice Dillon wrote a helpful discussion about the discretion to decline jurisdiction. That discussion highlights that although the common law of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xml:space="preserve"> was now codified in section 11, the mandatory factors are not exhaustive (see also </w:t>
      </w:r>
      <w:r>
        <w:rPr>
          <w:rFonts w:ascii="arial" w:eastAsia="arial" w:hAnsi="arial" w:cs="arial"/>
          <w:i/>
          <w:color w:val="000000"/>
          <w:sz w:val="20"/>
          <w:lang w:val="en-US" w:eastAsia="en-US" w:bidi="ar-SA"/>
        </w:rPr>
        <w:t>The Original Cakerie Ltd. v. Renaud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2013 BCSC 755</w:t>
        </w:r>
      </w:hyperlink>
      <w:r>
        <w:rPr>
          <w:rFonts w:ascii="arial" w:eastAsia="arial" w:hAnsi="arial" w:cs="arial"/>
          <w:color w:val="000000"/>
          <w:sz w:val="20"/>
          <w:lang w:val="en-US" w:eastAsia="en-US" w:bidi="ar-SA"/>
        </w:rPr>
        <w:t xml:space="preserve"> at para. 52;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at paras. 32-34). Justice Dillon commented that it was probably impossible to have an exhaustive list of factors because the doctrine focuses on the context of individual cases in order to ensure both parties are treated fairly. Thus, a party applying for a stay can raise diverse facts, considerations or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weight of each factor is a matter of discretion and no one factor is determinative (</w:t>
      </w:r>
      <w:r>
        <w:rPr>
          <w:rFonts w:ascii="arial" w:eastAsia="arial" w:hAnsi="arial" w:cs="arial"/>
          <w:i/>
          <w:color w:val="000000"/>
          <w:sz w:val="20"/>
          <w:lang w:val="en-US" w:eastAsia="en-US" w:bidi="ar-SA"/>
        </w:rPr>
        <w:t>Teck Cominco Metals Ltd. v. Lloyd's Underwriters</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xml:space="preserve"> at para. 24). But the interests of the parties, "particularly the right of the plaintiff to choose [its] forum" is a mandatory consideration as set out in the opening words of s. 11(1); the discretion must therefore be exercised only in exceptional cases: </w:t>
      </w:r>
      <w:r>
        <w:rPr>
          <w:rFonts w:ascii="arial" w:eastAsia="arial" w:hAnsi="arial" w:cs="arial"/>
          <w:i/>
          <w:color w:val="000000"/>
          <w:sz w:val="20"/>
          <w:lang w:val="en-US" w:eastAsia="en-US" w:bidi="ar-SA"/>
        </w:rPr>
        <w:t>Expedition Helicopters Inc. v. Honeywell Inc.</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2010 ONCA 351</w:t>
        </w:r>
      </w:hyperlink>
      <w:r>
        <w:rPr>
          <w:rFonts w:ascii="arial" w:eastAsia="arial" w:hAnsi="arial" w:cs="arial"/>
          <w:color w:val="000000"/>
          <w:sz w:val="20"/>
          <w:lang w:val="en-US" w:eastAsia="en-US" w:bidi="ar-SA"/>
        </w:rPr>
        <w:t xml:space="preserve"> at para. 11. Budget submits that if I conclude both California and British Columbia are appropriate forums, there is a presumption in favour of Budget's choice (</w:t>
      </w:r>
      <w:r>
        <w:rPr>
          <w:rFonts w:ascii="arial" w:eastAsia="arial" w:hAnsi="arial" w:cs="arial"/>
          <w:i/>
          <w:color w:val="000000"/>
          <w:sz w:val="20"/>
          <w:lang w:val="en-US" w:eastAsia="en-US" w:bidi="ar-SA"/>
        </w:rPr>
        <w:t>JTG Management</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While the court must "consider" the statutory factors, that is not the same as "deciding" the factors. The Court of Appeal explained the dilemma in </w:t>
      </w:r>
      <w:r>
        <w:rPr>
          <w:rFonts w:ascii="arial" w:eastAsia="arial" w:hAnsi="arial" w:cs="arial"/>
          <w:i/>
          <w:color w:val="000000"/>
          <w:sz w:val="20"/>
          <w:lang w:val="en-US" w:eastAsia="en-US" w:bidi="ar-SA"/>
        </w:rPr>
        <w:t>Doez v. Facebook, Inc.</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2015 BCCA 279</w:t>
        </w:r>
      </w:hyperlink>
      <w:r>
        <w:rPr>
          <w:rFonts w:ascii="arial" w:eastAsia="arial" w:hAnsi="arial" w:cs="arial"/>
          <w:color w:val="000000"/>
          <w:sz w:val="20"/>
          <w:lang w:val="en-US" w:eastAsia="en-US" w:bidi="ar-SA"/>
        </w:rPr>
        <w:t xml:space="preserve"> (at para. 83), rev'd on other grounds, </w:t>
      </w:r>
      <w:hyperlink r:id="rId27" w:history="1">
        <w:r>
          <w:rPr>
            <w:rFonts w:ascii="arial" w:eastAsia="arial" w:hAnsi="arial" w:cs="arial"/>
            <w:i/>
            <w:color w:val="0077CC"/>
            <w:sz w:val="20"/>
            <w:u w:val="single"/>
            <w:shd w:val="clear" w:color="auto" w:fill="FFFFFF"/>
            <w:lang w:val="en-US" w:eastAsia="en-US" w:bidi="ar-SA"/>
          </w:rPr>
          <w:t>2017 SCC 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requires a judge hearing an application for a stay of proceedings to "consider ... the law to be applied". As a matter of plain language, "consider" does not mean "decide". More importantly, it will often not be possible at the early stage of a stay application to decide which law applies to the merits. It is not always clear which choice of law rule applies...In short, choice of law is complicated and I interpret s. 11(b)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require only that the judge grapple with the issue, recognizing that it will often not be possible to fully resolve this issue at the early stage of a stay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Olympic Committee</w:t>
      </w:r>
      <w:r>
        <w:rPr>
          <w:rFonts w:ascii="arial" w:eastAsia="arial" w:hAnsi="arial" w:cs="arial"/>
          <w:color w:val="000000"/>
          <w:sz w:val="20"/>
          <w:lang w:val="en-US" w:eastAsia="en-US" w:bidi="ar-SA"/>
        </w:rPr>
        <w:t xml:space="preserve">, Justice Dillon quotes from </w:t>
      </w:r>
      <w:r>
        <w:rPr>
          <w:rFonts w:ascii="arial" w:eastAsia="arial" w:hAnsi="arial" w:cs="arial"/>
          <w:i/>
          <w:color w:val="000000"/>
          <w:sz w:val="20"/>
          <w:lang w:val="en-US" w:eastAsia="en-US" w:bidi="ar-SA"/>
        </w:rPr>
        <w:t>Club Resorts Ltd. v. Van Breda</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2012 SCC 17</w:t>
        </w:r>
      </w:hyperlink>
      <w:r>
        <w:rPr>
          <w:rFonts w:ascii="arial" w:eastAsia="arial" w:hAnsi="arial" w:cs="arial"/>
          <w:color w:val="000000"/>
          <w:sz w:val="20"/>
          <w:lang w:val="en-US" w:eastAsia="en-US" w:bidi="ar-SA"/>
        </w:rPr>
        <w:t xml:space="preserve">, to describe that the burden on the party applying for a stay is to demonstrate that the alternative forum is "clearly" more appropriate (para. 34). Although the words clearly and exceptionally do not appear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stated at para.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use of the words "clearly" and "exceptionally" should be interpreted as an acknowledgement that the normal state of affairs is that jurisdiction should be exercised once it is properly assumed. The burden is on a party who seeks to depart from this normal state of affairs to show that, in light of the characteristics of the alternative forum, it would be fairer and more efficient to do so and that the plaintiff should be denied the benefits of his or her decision to select a forum that is appropriate under the conflicts rules. ... A court hearing an application for a stay of proceedings must find that a forum exists that is in a better position to dispose fairly and efficiently of the litigation.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Justice Dillon continued that whatever words are used, the test is focused upon determining which forum is best able to dispose of the litigation fairly and efficiently. If two forums are roughly equivalent, the application for a stay should be dismissed. She continued at para. 35 that "it is not a matter of finely weighing advantages and disadvantages but of determining whether one jurisdiction enjoys a significant advantage over that where the litigation was commenced (</w:t>
      </w:r>
      <w:r>
        <w:rPr>
          <w:rFonts w:ascii="arial" w:eastAsia="arial" w:hAnsi="arial" w:cs="arial"/>
          <w:i/>
          <w:color w:val="000000"/>
          <w:sz w:val="20"/>
          <w:lang w:val="en-US" w:eastAsia="en-US" w:bidi="ar-SA"/>
        </w:rPr>
        <w:t>Olney v. Rainville</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2009 BCCA 380</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parties identified the same issues but differed in how they organized and analyzed the issues. In my view the issues should be addressed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ACE's forum selection clause preclude this Court's jurisdiction over PIIC?</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PAU independently subject PIIC to this Court's jurisdiction?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not, does this Court have jurisdiction over PIIC pursuant to ss. 3(e) and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this Court decline to exercise that jurisdiction?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Does ACE's forum selection clause preclude this Court's jurisdiction over PIIC?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PIIC submits the first step in the analysis is to ask whether ACE's forum selection clause is valid, clear and enforceable. PIIC's position is the clause clearly ousts this Court's jurisdiction in favour of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 valid and effective forum selection clause is a sufficient basis upon which a court can decline jurisdiction: </w:t>
      </w:r>
      <w:r>
        <w:rPr>
          <w:rFonts w:ascii="arial" w:eastAsia="arial" w:hAnsi="arial" w:cs="arial"/>
          <w:i/>
          <w:color w:val="000000"/>
          <w:sz w:val="20"/>
          <w:lang w:val="en-US" w:eastAsia="en-US" w:bidi="ar-SA"/>
        </w:rPr>
        <w:t>Viroforce Systems Inc. v. R&amp;D Capital Inc.</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2011 BCCA 260</w:t>
        </w:r>
      </w:hyperlink>
      <w:r>
        <w:rPr>
          <w:rFonts w:ascii="arial" w:eastAsia="arial" w:hAnsi="arial" w:cs="arial"/>
          <w:color w:val="000000"/>
          <w:sz w:val="20"/>
          <w:lang w:val="en-US" w:eastAsia="en-US" w:bidi="ar-SA"/>
        </w:rPr>
        <w:t xml:space="preserve"> at para. 14. PIIC points out that if a choice of law is expressly made in a contract, the court may not interfere unless that choice is unlawful or contrary to public policy: </w:t>
      </w:r>
      <w:r>
        <w:rPr>
          <w:rFonts w:ascii="arial" w:eastAsia="arial" w:hAnsi="arial" w:cs="arial"/>
          <w:i/>
          <w:color w:val="000000"/>
          <w:sz w:val="20"/>
          <w:lang w:val="en-US" w:eastAsia="en-US" w:bidi="ar-SA"/>
        </w:rPr>
        <w:t>Pope &amp; Talbot Ltd. (Re)</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2009 BCSC 1552</w:t>
        </w:r>
      </w:hyperlink>
      <w:r>
        <w:rPr>
          <w:rFonts w:ascii="arial" w:eastAsia="arial" w:hAnsi="arial" w:cs="arial"/>
          <w:color w:val="000000"/>
          <w:sz w:val="20"/>
          <w:lang w:val="en-US" w:eastAsia="en-US" w:bidi="ar-SA"/>
        </w:rPr>
        <w:t xml:space="preserve">, at para. 37. If I find the clause to be effective, the burden shifts to the plaintiffs to show "strong cause" why that clause should not operate: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are two fundamental problems with PIIC's position. Firstly, PIIC does not have a forum selection clause in its insurance policy with the Church. I agree with Budget that one cannot overlook PIIC's policy when deciding if a forum selection clause should be operative. Secondly, Budget says ACE's forum selection clause is irrelevant because Budget is neither seeking relief from ACE, nor implying that ACE has not performed its contractual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these two facts defeat PIIC's position about the applicability of ACE's forum selection clause. However, even if I am wrong about those two factors, there are other reasons why I am not persuaded by PIIC's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emphasize that Budget and ACE's legal relationship with Mr. Brown and Mr. Wilson are not identical. Budget provides the primary insurance up to British Columbia's (in this case) statutory minimum of $200,000. ACE's contribution would only be needed if that maximum is exhausted; ACE is an excess insurer. Accordingly, whether ACE's coverage is triggered, depends upon the wording of the Rental Agreement, which invokes the statutory minimum. In other words, ACE's policy does not stand alone and should not be analyzed alone. That is critically important because there is no forum selection clause in the Rental Agreement. Depending upon the costs incurred by an accident, ACE's clause may not be operative at all. Therefore, it is illogical to have its forum selection clause be determinative of where coverage issues should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ACE's status as excess insurer also means it does not have a duty to defend within its policy, distinguishing ACE's position in these events from PIIC's status. Moreover, as its opening words indicate, the forum selection clause only arises "in the event of the failure of [ACE] to pay the amount claimed" by one of its insureds; there is no such dispute before me. In my view, these factors are highly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PIIC relies on </w:t>
      </w:r>
      <w:r>
        <w:rPr>
          <w:rFonts w:ascii="arial" w:eastAsia="arial" w:hAnsi="arial" w:cs="arial"/>
          <w:i/>
          <w:color w:val="000000"/>
          <w:sz w:val="20"/>
          <w:lang w:val="en-US" w:eastAsia="en-US" w:bidi="ar-SA"/>
        </w:rPr>
        <w:t>Family Insurance Corp. v. Lombard Canada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2002 SCC 48</w:t>
        </w:r>
      </w:hyperlink>
      <w:r>
        <w:rPr>
          <w:rFonts w:ascii="arial" w:eastAsia="arial" w:hAnsi="arial" w:cs="arial"/>
          <w:color w:val="000000"/>
          <w:sz w:val="20"/>
          <w:lang w:val="en-US" w:eastAsia="en-US" w:bidi="ar-SA"/>
        </w:rPr>
        <w:t xml:space="preserve"> for the proposition that the court must examine the parties' intentions as revealed in their policies to determine each insurers' liability. Following that approach, PIIC submits that ACE's forum selection clause reflects an intention to have the case heard in California and that should govern otherwise the court would be allowing ACE to "ignore" its own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that proposition does not follow for the reasons identified above. ACE is not involved before me in a dispute with Budget, Mr. Wilson, Mr. Brown or the Church. Accordingly, its forum selection clause has not been triggered because there has been no "failure of the company to pay the amount claimed". Rather, the central issue before me is whether this Court can exercise jurisdiction over PIIC with regard to the declarations sought by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Moreover, no party in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contested the court's jurisdiction; forum selection did not arise. The fundamental dispute between the insurance companies was therefore different from the one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Supreme Court of Canada stated that the issue in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xml:space="preserve"> was the proper approach to reconciling disputes among insurers, each covering the same loss and each seeking to limit its liability. The two insurance companies in that case provided insurance policies to the same insured for the same loss. Each insurer wanted to rely on a clause within its policy that purported to make its coverage "excess" to any other existing primary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engaged what the Supreme Court of Canada described as the well-established principle that insureds cannot recover under any insurance policy more than the full amount of their loss; however, if more than one policy covers that loss, the insured can select under which one to make the claim. In that situation, "[t]he selected insurer... is entitled to contribution from all other insurers who have covered the same risk" because of the doctrine of equitable contribution among insurers which "is founded on the general principle that parties under a coordinate liability to make good a loss must share the burden pro rata" (para. 14). The fundamental features of that doctrine were set out in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xml:space="preserve"> at para. 15, quoting from Ivamy's </w:t>
      </w:r>
      <w:r>
        <w:rPr>
          <w:rFonts w:ascii="arial" w:eastAsia="arial" w:hAnsi="arial" w:cs="arial"/>
          <w:i/>
          <w:color w:val="000000"/>
          <w:sz w:val="20"/>
          <w:lang w:val="en-US" w:eastAsia="en-US" w:bidi="ar-SA"/>
        </w:rPr>
        <w:t>General Principles of Insurance Law</w:t>
      </w:r>
      <w:r>
        <w:rPr>
          <w:rFonts w:ascii="arial" w:eastAsia="arial" w:hAnsi="arial" w:cs="arial"/>
          <w:color w:val="000000"/>
          <w:sz w:val="20"/>
          <w:lang w:val="en-US" w:eastAsia="en-US" w:bidi="ar-SA"/>
        </w:rPr>
        <w:t xml:space="preserve"> (6th ed.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was in the context of determining which insurer would provide "excess" coverage that the Supreme Court stated that the "proper instrument" to determine liability of each insurer is the policy itself (para. 16). The Court was clear in pointing out that the principles of contract interpretation in these types of cases are not applied directly because there is no privity of contract between the insurance companies. Focussing on the policies was necessary only to determine if the insurer intended to limit its obligations </w:t>
      </w:r>
      <w:r>
        <w:rPr>
          <w:rFonts w:ascii="arial" w:eastAsia="arial" w:hAnsi="arial" w:cs="arial"/>
          <w:i/>
          <w:color w:val="000000"/>
          <w:sz w:val="20"/>
          <w:lang w:val="en-US" w:eastAsia="en-US" w:bidi="ar-SA"/>
        </w:rPr>
        <w:t>vis-a-vis</w:t>
      </w:r>
      <w:r>
        <w:rPr>
          <w:rFonts w:ascii="arial" w:eastAsia="arial" w:hAnsi="arial" w:cs="arial"/>
          <w:color w:val="000000"/>
          <w:sz w:val="20"/>
          <w:lang w:val="en-US" w:eastAsia="en-US" w:bidi="ar-SA"/>
        </w:rPr>
        <w:t xml:space="preserve"> the insured, and if so, in what circumstance (para. 19). Applying that logic to this case, ACE's forum selection clause is only relevant as it might impact any dispute with its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Ultimately, the Supreme Court concluded in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xml:space="preserve"> that the insurance companies' clauses were mutually repugnant and therefore inoperative (para. 38). Thus, both companies provided primary coverage, and were therefore independently liable to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PIIC wants to rely on the forum selection clause in the ACE policy as a shield against this Court's jurisdiction, despite the fact that there is no dispute before me between ACE and its insured about policy coverage or limits. In my view, that distinguishes the </w:t>
      </w:r>
      <w:r>
        <w:rPr>
          <w:rFonts w:ascii="arial" w:eastAsia="arial" w:hAnsi="arial" w:cs="arial"/>
          <w:i/>
          <w:color w:val="000000"/>
          <w:sz w:val="20"/>
          <w:lang w:val="en-US" w:eastAsia="en-US" w:bidi="ar-SA"/>
        </w:rPr>
        <w:t>Family Insurance</w:t>
      </w:r>
      <w:r>
        <w:rPr>
          <w:rFonts w:ascii="arial" w:eastAsia="arial" w:hAnsi="arial" w:cs="arial"/>
          <w:color w:val="000000"/>
          <w:sz w:val="20"/>
          <w:lang w:val="en-US" w:eastAsia="en-US" w:bidi="ar-SA"/>
        </w:rPr>
        <w:t xml:space="preserve"> case from the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PIIC submits in the alternative, that the existence of ACE's forum selection clause is persuasive evidence that ACE prefers California as the presumptive jurisdiction and that is a significant factor to my analysis: </w:t>
      </w:r>
      <w:r>
        <w:rPr>
          <w:rFonts w:ascii="arial" w:eastAsia="arial" w:hAnsi="arial" w:cs="arial"/>
          <w:i/>
          <w:color w:val="000000"/>
          <w:sz w:val="20"/>
          <w:lang w:val="en-US" w:eastAsia="en-US" w:bidi="ar-SA"/>
        </w:rPr>
        <w:t>Commonwealth Insurance Company v. American Home Assurance Company</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2008 MBQB 112</w:t>
        </w:r>
      </w:hyperlink>
      <w:r>
        <w:rPr>
          <w:rFonts w:ascii="arial" w:eastAsia="arial" w:hAnsi="arial" w:cs="arial"/>
          <w:color w:val="000000"/>
          <w:sz w:val="20"/>
          <w:lang w:val="en-US" w:eastAsia="en-US" w:bidi="ar-SA"/>
        </w:rPr>
        <w:t xml:space="preserve"> at para. 49. Given that ACE and Budget are aligned in the litigation before me and oppose PIIC's application, I do not see how I can rely on that case against ACE's interests. Even if I did find ACE's forum selection clause to be operative, however, it would only be relevant if I was deciding which forum would be most appropriate for litigation about ACE's coverage limit for </w:t>
      </w:r>
      <w:r>
        <w:rPr>
          <w:rFonts w:ascii="arial" w:eastAsia="arial" w:hAnsi="arial" w:cs="arial"/>
          <w:i/>
          <w:color w:val="000000"/>
          <w:sz w:val="20"/>
          <w:lang w:val="en-US" w:eastAsia="en-US" w:bidi="ar-SA"/>
        </w:rPr>
        <w:t>its insured</w:t>
      </w:r>
      <w:r>
        <w:rPr>
          <w:rFonts w:ascii="arial" w:eastAsia="arial" w:hAnsi="arial" w:cs="arial"/>
          <w:color w:val="000000"/>
          <w:sz w:val="20"/>
          <w:lang w:val="en-US" w:eastAsia="en-US" w:bidi="ar-SA"/>
        </w:rPr>
        <w:t>, which is not an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those reasons, I conclude that ACE's forum selection clause does not preclude this Court's jurisdiction over PIIC.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Does the PAU independently subject PIIC to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Budget relied heavily on the PAU as confirming this Court's jurisdiction over PIIC, either independently as an agreement pursuant to s. 3(c)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or as a highly significant factor under s. 3(e) (which I address later in this judgment). PIIC's position is that the PAU has a limited effect and Supreme Court of Canada jurisprudence does not support Budget's position about its impact on the issues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The Legal Characterization of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Diotte v. ICBC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2000 BCSC 1779</w:t>
        </w:r>
      </w:hyperlink>
      <w:r>
        <w:rPr>
          <w:rFonts w:ascii="arial" w:eastAsia="arial" w:hAnsi="arial" w:cs="arial"/>
          <w:color w:val="000000"/>
          <w:sz w:val="20"/>
          <w:lang w:val="en-US" w:eastAsia="en-US" w:bidi="ar-SA"/>
        </w:rPr>
        <w:t>, Justice Cohen described the underlying policy of PAU's: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B.C. legislature has created a scheme whereby in certain actions in B.C., arising out of accidents in B.C., extraprovincial and other foreign insurers may be prevented from relying on contractual limits which are less than those required by the law of B.C. As a result, some extraprovincial and other foreign insurers may be required to pay their insureds higher benefits than are prescribed in a contract of insurance. This situation arises under B.C. legislation because (a) it is a condition of a license issued in B.C. to carry on business in B.C.; (b) there is reciprocity legislation; or (c), the insurer has filed a PAU. The legislation which makes up this scheme includes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Financial Institutions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141</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Finally, the extra provincial or foreign insurer may have filed a PAU, pursuant to section 134(9)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to the effect that, for accidents in B.C., it will compensate its insured according to the same terms that B.C. residents are compensated by their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Justice Cohen also confirmed that the law regarding the legal effect of PAU's is well settled, such that a foreign insurer that files a PAU is bound by its terms and precluded from "setting up a defence to a claim, action or proceeding initiated in this province, which might not be set up if the contract of insurance had been issued in this province"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Cohen J. noted that a debate had arisen whether the PAU's restriction on raising defences only applied to defences to the ultimate liability, or whether it also applied to defences for other claims, such as in the case before him, an obligation to pay Part 7 benefits. Previous case law</w:t>
      </w:r>
      <w:bookmarkStart w:id="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
      <w:r>
        <w:rPr>
          <w:rFonts w:ascii="arial" w:eastAsia="arial" w:hAnsi="arial" w:cs="arial"/>
          <w:color w:val="000000"/>
          <w:sz w:val="20"/>
          <w:lang w:val="en-US" w:eastAsia="en-US" w:bidi="ar-SA"/>
        </w:rPr>
        <w:t xml:space="preserve"> did state that the ambit of the PAU's restriction on raising defences only applied to a liability claim. Justice Cohen distinguished those cases because the PAU before him contained the following wording which differed from the PAU's considered in the earlier jurisprudence: no defence could be raised "in respect of any kind or class of coverage"</w:t>
      </w:r>
      <w:bookmarkStart w:id="8"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
      <w:r>
        <w:rPr>
          <w:rFonts w:ascii="arial" w:eastAsia="arial" w:hAnsi="arial" w:cs="arial"/>
          <w:color w:val="000000"/>
          <w:sz w:val="20"/>
          <w:lang w:val="en-US" w:eastAsia="en-US" w:bidi="ar-SA"/>
        </w:rPr>
        <w:t>. In his view, that clearly included denial of an obligation to pay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PIIC's submission,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xml:space="preserve"> is of little assistance to me because no party challenged the court's jurisdiction in that case.</w:t>
      </w:r>
      <w:bookmarkStart w:id="9"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9"/>
      <w:r>
        <w:rPr>
          <w:rFonts w:ascii="arial" w:eastAsia="arial" w:hAnsi="arial" w:cs="arial"/>
          <w:color w:val="000000"/>
          <w:sz w:val="20"/>
          <w:lang w:val="en-US" w:eastAsia="en-US" w:bidi="ar-SA"/>
        </w:rPr>
        <w:t xml:space="preserve"> However, the underlying facts in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xml:space="preserve"> are similar to those before me, and a portion of the court's analysis focusses on the PAU so I do find the case to be helpful in understanding the legal characterization of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a vehicle registered and insured in Alaska by an insurance company incorporated under the law of Florida was involved in a motor vehicle accident, which occurred in British Columbia. The plaintiffs applied for Part 7 benefits from ICBC. ICBC resisted and argued that the plaintiffs' insurance company was liable for the Part 7 benefits because it had signed a PAU</w:t>
      </w:r>
      <w:bookmarkStart w:id="10"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0"/>
      <w:r>
        <w:rPr>
          <w:rFonts w:ascii="arial" w:eastAsia="arial" w:hAnsi="arial" w:cs="arial"/>
          <w:color w:val="000000"/>
          <w:sz w:val="20"/>
          <w:lang w:val="en-US" w:eastAsia="en-US" w:bidi="ar-SA"/>
        </w:rPr>
        <w:t>. That company submitted it had no obligation to pay Part 7 because such benefits were not required under its policy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reviewing the background of the PAU scheme, Justice Cohen stated that the PAU was contractual in nature and constituted a promise by the insurance company not to set up any defence to any claim that might not have been raised had its contract of insurance been entered into in B.C. Since legislation prevented any insurer in British Columbia from denying a claim for Part 7 benefits, the American insurance company was precluded from arguing it was not bound to pay those benefits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Discussions about PAU's in other cases are consistent with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 v. Farm Bureau Mutual Insurance Co.</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[2000] O.J. No. 2691</w:t>
        </w:r>
      </w:hyperlink>
      <w:r>
        <w:rPr>
          <w:rFonts w:ascii="arial" w:eastAsia="arial" w:hAnsi="arial" w:cs="arial"/>
          <w:color w:val="000000"/>
          <w:sz w:val="20"/>
          <w:lang w:val="en-US" w:eastAsia="en-US" w:bidi="ar-SA"/>
        </w:rPr>
        <w:t xml:space="preserve"> (C.A.), the plaintiff, a resident of Minnesota, was a passenger in a vehicle licensed in Minnesota that was involved in an accident in Ontario. The other vehicle in the accident was owned and driven by an Ontario resident. Ms. Berg was insured under a policy issued by Farm Bureau Mutual Insurance Co. (Farm Bureau), and she did receive some payment under that policy. However, Ms. Berg also started an action in Ontario seeking that Farm Bureau pay her more benefits because of the minimum limits for accident benefits set by Ontario legislation. Farm Bureau applied to stay her action and it succeeded at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Ontario Court of Appeal reversed that decision, relying on the applicability of the PAU signed by Farm Bureau (the pertinent wording is substantial similar to PIIC's PAU). The Court rejected Farm Bureau's argument that the PAU did not obligate it to appear in actions where it was being sued by its own insured. The Ontario Court of Appeal held that on a plain reading of the PAU, Farm Bureau "has agreed to the assumption of jurisdiction over it when sued in a province of Canada" (para. 8). The Ontario Court of Appeal also confirmed that there remained a discretion to decline jurisdiction in the face of the PAU, but held that an "agreement regarding jurisdiction will generally be observed in the absence of good reason for not doing so"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Potts v. Gluckstein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(1992), 8 O.R. (3d) 556</w:t>
        </w:r>
      </w:hyperlink>
      <w:r>
        <w:rPr>
          <w:rFonts w:ascii="arial" w:eastAsia="arial" w:hAnsi="arial" w:cs="arial"/>
          <w:color w:val="000000"/>
          <w:sz w:val="20"/>
          <w:lang w:val="en-US" w:eastAsia="en-US" w:bidi="ar-SA"/>
        </w:rPr>
        <w:t xml:space="preserve"> (C.A.), is also consistent with the above discussion, although that case involved a dispute between Canadian insurers (ICBC and the Ontario government) and who would pay damages for the uninsured defendant driving without permission of the vehicle's owner. Justice Blair concluded that pursuant a reciprocal scheme between the provinces (similar wording to PIIC's PAU), ICBC could not deny liability for uninsured automobile coverage as legislation bars it "from setting up of any defence under a policy issued outside Ontario that might not be set up if such policy were issued in this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The Unifund Assurance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PIIC submits that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supports its position that Budget's reliance on the PAU is wrong at law because the cases upon which Budget relies have essentially been overruled.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concerned the applicability of Ontario legislation to ICBC that allowed insurers to recoup from other insurance companies certain statutory benefits paid to insureds. The issue arose in the context of a serious motor vehicle accident in North Vancouver, involving two Ontario residents (the plaintiffs) and a British Columbia driver (the defendant). The plaintiffs were in a vehicle, which they rented in British Columbia. They were struck from behind by the tractor-trailer driven by the defendant, causing their vehicle to veer into opposing traffic. The injuries were serious and one of the plaintiffs was paralyzed.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received about $750,000 from their insurer, Unifund Assurance Co., pursuant to Ontario legislation regarding no-fault benefits (for which the plaintiffs had paid a premium). Unifund was licensed to carry on business in Ontario, but not at the time of the accident in British Columbia. The defendant was insured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plaintiffs sued the defendant for damages in British Columbia. The defendant was found liable for $2.5 million in damages. However, $750,000 was deducted from that award pursuant to s. 25 of the British Columbia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That section directs British Columbia courts to deduct from a damages award, accident insurance benefits similar to British Columbia's no fault benefits that are paid under a contract of insurance "wherever issued" (para. 11). The purpose of s. 25 is to avoid plaintiffs receiving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Unifund's position was that ICBC was required to indemnify Unifund $750,000 for the statutory benefits. Unifund applied to the Ontario Superior Court of Justice for the appointment of an arbitrator pursuant to s. 275(4) of the Ontario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R.S.O. 1990, c. I.8</w:t>
        </w:r>
      </w:hyperlink>
      <w:r>
        <w:rPr>
          <w:rFonts w:ascii="arial" w:eastAsia="arial" w:hAnsi="arial" w:cs="arial"/>
          <w:color w:val="000000"/>
          <w:sz w:val="20"/>
          <w:lang w:val="en-US" w:eastAsia="en-US" w:bidi="ar-SA"/>
        </w:rPr>
        <w:t>. Section 275 provides a statutory mechanism (arbitration) for transferring losses between insurance companies arising out of the payment of statutory benefits under the Ontario legislation. ICBC applied for an order staying that action on the basis that the Ontario legislation could not apply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Supreme Court of Canada stated the case involved the following constitutional question (at para. 22): does Ontario legislation apply to ICBC given the territorial limits of provincial legislative jurisdiction? The Court emphasized that Unifund was not asserting a common law or equitable cause of action against ICBC. Instead it was relying on a purely statutory cause of action (para. 29). In my view that is an important distinguishing feature of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from the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neither party disputed the fundamental principle that provinces cannot legislate extraterritorially (para. 50 and 51). Instead, Unifund argued that it was entitled to rely on Ontario legislation to enforce in Ontario its civil rights of indemnification because there was a real and substantial connection between ICBC and Ontario, or in the alternative, because ICBC had signed a PAU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Supreme Court concluded at para. 91 that pursuant to ordinary constitutional principles, the Ontario legislation could not apply to ICBC. Therefore, it could not order ICBC to be subject to the statutory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also commented on Unifund's argument that the PAU bound ICBC to the Ontario legislative scheme. The Court noted that the PAU is about enforcement of policies; it is not aimed at helping insurance companies recover in their home jurisdiction, money paid out for losses arising from an accident that occurred in a different jurisdiction (para. 100). The Court further described the PAU system as an (at para 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interprovincial (and interstate) web of interlocking arrangements for substitutional service and undertakings designed to ensure that travelling motorists are financially responsible for their actions in other provinces and participating states, by confirming that their insurers will respond to claims in respect of an accident which occurs outside the insured's home jurisdiction. It tracks the ordinary law. An out-of-province motorist can be required to defend an action in the jurisdiction where the accident occurred, and an insurer is contractually bound to the defendant to provide a defence in that place, whether there is a PAU in place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concluded that the PAU was not a basis upon which ICBC could be ordered under the Ontario legislation to indemnify Unifund.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Furthermore, the PAU signed by ICBC did not extend to all provinces because of its specific wording. The PAU stated ICBC was obliged to accept service of notice or process "arising out of a motor-vehicle accident in any of the respective Provinces or Territories" on its behalf and for that purpose, it appointed "severally the Superintendents of Insurance of British Columbia, Alberta, Saskatchewan, Manitoba, Ontario, New Brunswick, Nova Scotia, Prince Edward Island, Newfoundland, Quebec, and Yukon Territory and the Northwest Territories...". However, the words "British Columbia" were struck out in that paragraph (see paras. 18, 94 and 101). Therefore, Unifund's case did not arise out of a motor-vehicle accident in any of the "respective Provinces" identified in ICBC's PAU (British Columbia has not been crossed out and therefore is a "respective province" in PIIC's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Supreme Court went on to say that even if British Columbia had been a "respective province" as per the wording of the PAU, ICBC could still contest the applicability of the Ontario legislation because a jurisdictional challenge was not a defence arising "under a motor-vehicle liability insurance contract". There were two reasons for this. The first reason is that the indemnity provision upon which Unifund relied was a statutory benefit; it did not arise from any contract of insurance (para. 101). Secondly, the Court held that the "motor-vehicle liability insurance contract" referred to in the PAU was the defendant's policy with ICBC (presumably, instead of Unifund's policy with the plaintiffs). Because Unifund's action was not based on ICBC's contract with the defendant, ICBC's PAU was irrelevant to the issue before the Court. Only the plaintiffs' contract of insurance and the Ontario legislation were implicated in Unifund's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While the Supreme Court recognized the value in striving to give full effect to voluntary, interprovincial agreements that are aimed to temper the inherent jurisdictional challenges that arise in a federal state, there is a danger "that if the courts overstate the effect of these voluntary arrangements, and thereby impose on the parties obligations that were never in their contemplation, cooperation may no longer be forthcoming" (para. 103). Accordingly, to the extent the PAU was aimed at harmonizing insurance protection for motorists travelling across different jurisdictions, that goal had "little relevance to an action between insurance companies commenced in a province where the accident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occur" (para. 101). PIIC places particular emphasis on the preceding quote to submit that the discussion in </w:t>
      </w:r>
      <w:r>
        <w:rPr>
          <w:rFonts w:ascii="arial" w:eastAsia="arial" w:hAnsi="arial" w:cs="arial"/>
          <w:i/>
          <w:color w:val="000000"/>
          <w:sz w:val="20"/>
          <w:lang w:val="en-US" w:eastAsia="en-US" w:bidi="ar-SA"/>
        </w:rPr>
        <w:t>Diotte, Berg</w:t>
      </w:r>
      <w:r>
        <w:rPr>
          <w:rFonts w:ascii="arial" w:eastAsia="arial" w:hAnsi="arial" w:cs="arial"/>
          <w:color w:val="000000"/>
          <w:sz w:val="20"/>
          <w:lang w:val="en-US" w:eastAsia="en-US" w:bidi="ar-SA"/>
        </w:rPr>
        <w:t xml:space="preserve"> and other cases about the impact of the PAU's has effectively been overruled by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partial response, Budget submits PIIC's argument has been rejected in </w:t>
      </w:r>
      <w:r>
        <w:rPr>
          <w:rFonts w:ascii="arial" w:eastAsia="arial" w:hAnsi="arial" w:cs="arial"/>
          <w:i/>
          <w:color w:val="000000"/>
          <w:sz w:val="20"/>
          <w:lang w:val="en-US" w:eastAsia="en-US" w:bidi="ar-SA"/>
        </w:rPr>
        <w:t>Batchelder v. Filewich</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2004 BCCA 50</w:t>
        </w:r>
      </w:hyperlink>
      <w:r>
        <w:rPr>
          <w:rFonts w:ascii="arial" w:eastAsia="arial" w:hAnsi="arial" w:cs="arial"/>
          <w:color w:val="000000"/>
          <w:sz w:val="20"/>
          <w:lang w:val="en-US" w:eastAsia="en-US" w:bidi="ar-SA"/>
        </w:rPr>
        <w:t xml:space="preserve">. I do not agree. The dispute in </w:t>
      </w:r>
      <w:r>
        <w:rPr>
          <w:rFonts w:ascii="arial" w:eastAsia="arial" w:hAnsi="arial" w:cs="arial"/>
          <w:i/>
          <w:color w:val="000000"/>
          <w:sz w:val="20"/>
          <w:lang w:val="en-US" w:eastAsia="en-US" w:bidi="ar-SA"/>
        </w:rPr>
        <w:t>Batchelder</w:t>
      </w:r>
      <w:r>
        <w:rPr>
          <w:rFonts w:ascii="arial" w:eastAsia="arial" w:hAnsi="arial" w:cs="arial"/>
          <w:color w:val="000000"/>
          <w:sz w:val="20"/>
          <w:lang w:val="en-US" w:eastAsia="en-US" w:bidi="ar-SA"/>
        </w:rPr>
        <w:t xml:space="preserve"> centred on the "older" PAU, the wording of which was significantly changed in 1988. Justice Lowry comments at para. 13 that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xml:space="preserve"> contains a "useful explanation" of the PAU's inter-jurisdictional scheme, he also cautions that "what is said in the disposition of this appeal is confined to the terms of the old [PAU]". That is why his analysis and discussion focusses on whether </w:t>
      </w:r>
      <w:r>
        <w:rPr>
          <w:rFonts w:ascii="arial" w:eastAsia="arial" w:hAnsi="arial" w:cs="arial"/>
          <w:i/>
          <w:color w:val="000000"/>
          <w:sz w:val="20"/>
          <w:lang w:val="en-US" w:eastAsia="en-US" w:bidi="ar-SA"/>
        </w:rPr>
        <w:t>Shea</w:t>
      </w:r>
      <w:r>
        <w:rPr>
          <w:rFonts w:ascii="arial" w:eastAsia="arial" w:hAnsi="arial" w:cs="arial"/>
          <w:color w:val="000000"/>
          <w:sz w:val="20"/>
          <w:lang w:val="en-US" w:eastAsia="en-US" w:bidi="ar-SA"/>
        </w:rPr>
        <w:t xml:space="preserve"> (distinguished by Justice Cohen in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xml:space="preserve"> because it too concerned the older PAU) had been overruled by, among other things, the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decision. He held it had not (see paras. 17 to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agree with Budget that the primary issue in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was the constitutional question about the applicability of Ontario legislation to ICBC. That issue does not exist in the case before me and so portions of the case are not helpful to my analysis. But the Supreme Court did consider and comment on the nature of the PAU and that discussion is relevant to PIIC's argument that Budget's action does not "arise out of the motor-vehicle liability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underlying facts in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do differ from those before me in an important way. Unifund's case was based purely on a statute; it bought an application for both a remedy and an arbitration process mandated under Ontario legislation. ICBC challenged not only the demand to indemnify Unifund, but also the notion that it could be subjected to an Ontario statutory arbitration process regarding that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By contrast, Budget is seeking declarations and equitable remedies. Thus, PIIC's reliance on the Supreme Court of Canada's comments about the limitations and purpose of the PAU (specifically that its primary purpose is not to enable insurance companies to pursue each other) may be misplaced because those comments were made in a different context -- the attempt by Unifund to have Ontario legislation apply to ICBC, using the PAU as a conduit.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That is not what Budget is attempting to do. Rather, it contends that its action seeks declarations and equitable contribution based on PIIC's contractual obligations to its own insured (the Church). Budget is not attempting to have British Columbia legislation apply to PIIC. Thus, I agree with Budget that the Supreme Court's comments in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about the purpose of the PAU are not determinative to the issues before me. For that reason, I do not agree with PIIC that </w:t>
      </w:r>
      <w:r>
        <w:rPr>
          <w:rFonts w:ascii="arial" w:eastAsia="arial" w:hAnsi="arial" w:cs="arial"/>
          <w:i/>
          <w:color w:val="000000"/>
          <w:sz w:val="20"/>
          <w:lang w:val="en-US" w:eastAsia="en-US" w:bidi="ar-SA"/>
        </w:rPr>
        <w:t>Unifund Assurance</w:t>
      </w:r>
      <w:r>
        <w:rPr>
          <w:rFonts w:ascii="arial" w:eastAsia="arial" w:hAnsi="arial" w:cs="arial"/>
          <w:color w:val="000000"/>
          <w:sz w:val="20"/>
          <w:lang w:val="en-US" w:eastAsia="en-US" w:bidi="ar-SA"/>
        </w:rPr>
        <w:t xml:space="preserve"> has overtaken or invalidated the principles about the PAU expressed in </w:t>
      </w:r>
      <w:r>
        <w:rPr>
          <w:rFonts w:ascii="arial" w:eastAsia="arial" w:hAnsi="arial" w:cs="arial"/>
          <w:i/>
          <w:color w:val="000000"/>
          <w:sz w:val="20"/>
          <w:lang w:val="en-US" w:eastAsia="en-US" w:bidi="ar-SA"/>
        </w:rPr>
        <w:t>Diotte</w:t>
      </w:r>
      <w:r>
        <w:rPr>
          <w:rFonts w:ascii="arial" w:eastAsia="arial" w:hAnsi="arial" w:cs="arial"/>
          <w:color w:val="000000"/>
          <w:sz w:val="20"/>
          <w:lang w:val="en-US" w:eastAsia="en-US" w:bidi="ar-SA"/>
        </w:rPr>
        <w:t xml:space="preserve"> (and other cases). In my view, the comments about the purpose and impact of PAUs in Unifund Assurance are not inconsistent with the discussion in Diotte, Berg, and Potts.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But Budget's position goes further. Budget submits the PAU amounts to an agreement between all the parties that this Court has jurisdiction over the proceeding pursuant to s. 3(c) of the Act. Budget says the preceding case law about the characteristics, purpose and impact of the PAU supports this conclusion. However, PIIC points to an important difference between the underlying facts in Diotte and Berg and the facts before me. In those cases, the litigation was a dispute between a person directly involved in a motor vehicle accident and that person's insurer about either coverage or limits of coverage. Budget's action is brought in its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PIIC submits that difference is material because unlike the companies in cases like Diotte, PIIC submits it has not "set up any defence to any claim, action, or proceeding, under a motor-vehicle liability insurance contract </w:t>
      </w:r>
      <w:r>
        <w:rPr>
          <w:rFonts w:ascii="arial" w:eastAsia="arial" w:hAnsi="arial" w:cs="arial"/>
          <w:color w:val="000000"/>
          <w:sz w:val="20"/>
          <w:u w:val="single"/>
          <w:lang w:val="en-US" w:eastAsia="en-US" w:bidi="ar-SA"/>
        </w:rPr>
        <w:t>entered into by it</w:t>
      </w:r>
      <w:r>
        <w:rPr>
          <w:rFonts w:ascii="arial" w:eastAsia="arial" w:hAnsi="arial" w:cs="arial"/>
          <w:color w:val="000000"/>
          <w:sz w:val="20"/>
          <w:lang w:val="en-US" w:eastAsia="en-US" w:bidi="ar-SA"/>
        </w:rPr>
        <w:t>", which is facially prohibited by its PAU. Indeed, PIIC argues it is not raising a defence per se but challenging jurisdiction; specifically, it argues it cannot be said to be raising a defence when it has not attorned to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if PIIC is mistaken and its jurisdictional challenge is a "defence" within the meaning of the PAU, it submits its defence has nothing to do with a motor-vehicle liability insurance contract. It is "defending" against an action for declarations and equitable remedies brought not by its insured (the Church), but by another insurance company. Therefore, PIIC contends that the PAU cannot amount to an "agreement" within the meaning of s. 3(c) of the Act and it has no bearing on its dispute with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Turning back to the Supreme Court's analysis in Unifund Assurance, the Supreme Court held that ICBC was not precluded by its PAU from successfully resisting Unifund's claim for arbitration. That was based, in part, on the Court's reasoning that ICBC's PAU applied only to a potential dispute brought against ICBC by its insured. Applying that logic to the facts before me, PIIC's PAU is not relevant. The application before me is not brought within an action brought by PIIC's insured against PIIC; nor was it brought within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Supreme Court of Canada was clear that the PAU is aimed at litigation arising directly out of the motor-vehicle accident itself (para. 101). Budget's action is a dispute amongst insurance companies. While "a motor-vehicle accident" is the fulcrum upon which all the disputes before me rest, Budget's action is not a "claim, action or proceeding under" PIIC's insurance policy with the Church. Its action is based on doctrines of equitable contribution and/or unjust enrichment. PIIC alleges it has not violated its PAU because it is not setting up a "defence to any claim, action, or proceeding, under a motor-vehicle liability insurance contract entered into by it". It is resisting Budget's claim for equitable contribution and/or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Accordingly, I do not agree that the PAU is an independent basis upon which jurisdiction simpliciter can be exercised over PIIC in these circumstances; nor does it constitute an agreement pursuant to s. 3(c) of the Act. However, those conclusions do not end the matter because Budget submits that even if not determinative, the PAU is highly relevant when engaging the analysis under sections 3(e) and 10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Does this Court have jurisdiction over PIIC pursuant to sections 3(e) and 10 of the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Budget submits that its action has a real and substantial connection to British Columbia and pursuant to s. 3(e) of the Act, PIIC is subject to this Court's jurisdiction. To prove a real and substantial connection, Budget contends that it has demonstrated that the facts upon which this action is based concerns one or more of:</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contractual obligation that, to a substantial extent, was to be performed in British Columbia [s. 10(e)];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in restitution that arose, to a substantial extent, in B.C. [s. 10(f)],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tort committed in B.C. [s. 10(g)].</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Preliminary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Two aspects of the legal analysis deserve mention here. Firstly, the fundamental disagreement amongst the parties is whether the accident and ensuing litigation are the key facts driving the analysis in this application. PIIC's position is that the crucial fact is where the Church rented the vehicle because that is where and its coverage "kicked in". It says that primary fact is supported by other circumstances to establish British Columbia does not have territorial competence over PIIC. Budget and State Farm submit the key facts are where the loss and litigation costs were incurred. They say, among other things, the PAU is strong support for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I analyze each statutory category separately, the legal tests and therefore the parties' arguments overlap. Thus, my conclusion under one subsection largely could be determinative of a conclusion under a different subsection. I mention this because even if PIIC's arguments are compelling and strong, that may not result in success on this application. The only question before me is whether, on these facts, PIIC can be subjected to this Court's jurisdiction for the purpose of deciding in a later proceeding whether Budget's claim should succeed. The burden on Budget to establish jurisdiction is lower than balance of probabilities; yet, PIIC must meet that standard to persuade me to decline jurisdiction. These observations are an important backdrop 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Secondly, I find the particular wording of s. 10 to be important. It states that a real and substantial connection, and thus territorial jurisdiction, will be "presumed to exist" between "the facts on which" Budget's proceeding is based and British Columbia, "if the proceeding concerns" contractual obligations, restitutionary obligations or a tort, any of which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I explain below, the main reason why PIIC's application fails is because I am unable to conclude that "concerns" should be interpreted to prefer or isolate the facts material to Budget's claim (that it paid Mr. Wilson's defence costs and PIIC did not) from those that were material to the Underlying Actions (there was an accident and Mr. Wilson was liable). In my view, the legislation would have worded s. 10 differently to make clear that the only (or most significant) facts are those material to the legal claims being made in the proceeding. It may be that the net is cast broadly because jurisdictional challenges occur before trial. This broader approach is also consistent with the common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Forum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Before turning to the statutory categories, I comment on PIIC's submission that an overarching fact supporting its position is a section of the California Insurance Code (the Code). Section 11580.9 (d) states that "where two or more policies affording valid and collectible liability insurance apply to the same motor vehicle... in an occurrence out of which liability loss shall arise, it shall be conclusively presumed that the insurance afforded by that policy in which the motor vehicle is described or rated as an owned automobile shall be the primary and the insurance afforded by any other policy or policies shall be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PIIC submits that the Code is so clear, it outweighs all other factors and on that basis, Budget's action should be stayed. I would need, but do not have, expert evidence in order to make any conclusion about the clarity of California law or the impact of that section of the Code</w:t>
      </w:r>
      <w:bookmarkStart w:id="11"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1"/>
      <w:r>
        <w:rPr>
          <w:rFonts w:ascii="arial" w:eastAsia="arial" w:hAnsi="arial" w:cs="arial"/>
          <w:color w:val="000000"/>
          <w:sz w:val="20"/>
          <w:lang w:val="en-US" w:eastAsia="en-US" w:bidi="ar-SA"/>
        </w:rPr>
        <w:t>. However, I understood PIIC's reference to the Code was also to argue that Budget's action clearly amounts to "forum shopping". Budget responds that PIIC's allegation of forum shopping is ironic; Budget's accuses PIIC of forum shopping. Budget points out that when it first notified the parties that it took the position that PIIC was a co-primary insurer, PIIC did not respond, even though it had appointed coverage counsel in British Columbia. Instead, PIIC commenced an action in California. Apparently, at that point, no other party had assigned coverage counsel in California. Budget submits that it was PIIC racing to be "first to the courthouse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While the parties agree that an allegation of "forum shopping" is no longer determinative to my analysis (see Teck Cominco), it can be a relevant factor. It is not clear to me that I must make a finding about forum shopping, but if I must, I agree with Budget's position. That conclusion would have minor significance to my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Section 10(e) - Contractual obligations that were to be performed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Budget submits that PIIC was obliged under its contract of insurance to defend and/or indemnify the Church and its employee, Mr. Wilson, in the Underlying Actions. Since the law suits were filed in British Columbia, Budget argues PIIC had contractual obligations that were "to be performed" in British Columbia. PIIC says the duty to defend arose at the time the Rental Agreement was signed and that took place in California; therefore, the contractual obligation arose in California not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PIIC also says that its contract with the Church was executed in California. Budget submits I must either ignore or significantly discount this assertion because there is no evidence supporting it. While not an insignificant point, I presumed the truth of PIIC's assertion for the purpose of my initial analysis. In doing so, I intended to revisit the analysis of this evidence, or lack there of, in the context of PIIC's claim for forum non conveniens. Given the conclusions I ultimately reached on this issue, however, it was unnecessary for me to undertake that analysis. That should not be taken as my accepting or rejecting Budget's assertion on the evidentiary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any event, the wording of s. 10(e) of the Act requires that a plaintiff demonstrate that contractual obligations "were to be performed" in British Columbia. It is not limited to where contractual obligations arose or were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"performance" of contractual duties is different from the execution of a contract. PIIC's insurance policy did not disintegrate at the U.S.-Canada Border. Nothing in the policy suggested the Church or PIIC's obligations could or would not be performed in British Columbia. Specifically, I was not pointed to any restriction contained in the insurance policy or the Rental Agreement that purported to limit PIIC's obligations to defend Mr. Wilson only for things he did while in California. Nor was I shown any clause in the policy or Rental Agreement prohibiting the Church or its employees from driving rental vehicles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Indeed, Budget points to other portions of PIIC's insurance policy that specifically address PIIC's obligations in numerous states. Budget says these riders to the policy confirm PIIC was aware that the Church may rent vehicles that could be driven in states other than where the vehicle is rented. It also asserts that PIIC's PAU is an acknowledgement of PIIC's awareness that its insureds may drive in Canada, and may seek coverage from PIIC for accidents occurring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PIIC does not dispute those premises, but says that does not equate to its contemplation that it would be sued by an American insurance company in a British Columbia court seeking to recoup monies paid by that other American insurance company. PIIC relies on the Supreme Court of Canada's commentary at paras. 101 to 103 of Unifund Assurance that the PAU is an instrument that speaks to the relationship between an insured and his or her insurer, not to the relationship amongst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However, Budget is not required in this application to demonstrate on a balance of probabilities that the PAU obliged PIIC to indemnify Budget for Mr. Wilson's defence costs; that issue will need to be decided at trial. All Budget needs to do is demonstrate a "good arguable case" that its action "concerns" PIIC's contractual obligations that should have been or were supposed to be performed in British Columbia. I am satisfied Budget has met that burden.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Section 10(f) - Restitutionary obligations that arose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PICC submits any restitutionary obligation it had would have to stem directly from the insurance policies and since those policies did not "arise" in this province, British Columbia is not the most appropriate forum to adjudicate the dispute. Budget's position is that PIIC's obligations in equitable contribution and/or unjust enrichment arose where and when the loss occurred. The positions and arguments largely mirror those made under the previous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PIIC contends the dispute amongst the parties only exists because Mr. Brown rented the van and signed the Rental Agreement and both events occurred in California. PIIC says any obligation for restitution could be triggered no matter where the accident happened. Accordingly, the site of the accident could be seen as "random" and surely a random factor cannot be determinative or even significant when deciding "where" a restitutionary obligation arises. PIIC maintains any restitutionary obligation it has simultaneously arose with the contract execution,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State Farm submits that PIIC's characterization that the accident site is "random" can be turned against it. State Farm points out that given the array of riders attached to PIIC's insurance policy, a rental agreement could have been entered into a number of different states other than California (with the accident still occurring in B.C.). Therefore, the site where any rental agreement was executed can be equally random. State Farm alleges that applying PIIC's logic, that would mean neither the site of the accident nor the site of the execution of the rental agreement can be determinative as to where a restitutionary obligation arose. There is merit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State Farm also points to s. 76 of the 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in partial support of its position. It provides that a claimant (defined in that section to be a person with a claim or judgment against an insured for which indemnity is provided) can bring an action against an insurer for indemnity even if the claimant does not have a contractual relationship with the insurer. State Farm says reading that section together with the PAU, illustrates that if Budget or ACE had failed to pay to defend the plaintiffs in the Underlying Actions, then the plaintiffs may have had an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not persuaded this submission advances State Farm's position. For one thing, it may very well raise the same constitutional question addressed in Unifund Assurance: State Farm and Budget could possibly argue that as non-resident corporations, they cannot be bound by British Columbia legislation (although both asserted the legislation must be read in conjunction with the PAU they signed such that they could not contest jurisdiction). In any event, that section was not pled by any party in this action, nor, to my knowledge, in the Underlying Actions. For those reasons, I do not find this avenue of analysis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Budget and State Farm also contend PIIC's restitutionary obligation only arose because PIIC did not defend Mr. Wilson in the Underlying Actions. Budget submits PIIC had a duty to defend which it did not perform, which led to Budget paying all defence costs. It argues the key events are the loss and subsequent litigation because both dictated where the costs of defending Mr. Wilson were incurred. By that reasoning, the claims for equitable contribution and unjust enrichment were only triggered in British Columbia. According to Budget and State Farm, where the money comes from to pay the costs is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not sure that completely answers PIIC's submission. PIIC submits the location where a rental agreement was executed is important because that agreement triggers the coverage at issue in this case; PIIC's coverage is for vehicles rented (not owned) by the Church. In that sense, the location where a rental agreement is executed is not really "random" in the sense that it is of no importance; it may be random in that PIIC has no control or advance notice of where the Church may rent a vehicle. But once signed, PIIC argues the location of the rental is key to many aspects of PIIC's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PIIC also submits that the claim for restitution based on unjust enrichment is not sufficiently connected to British Columbia. Unjust enrichment requires both a gain accruing to the defendant, and a deprivation suffered by the plaintiff. PIIC argues the alleged enrichment occurred either in California (where the contract was executed) or Pennsylvania (where its head office is located). PIIC submits none of the parties do business in B.C. and therefore one cannot conclude any enrichment or deprivation occurred here. PIIC argues the Supreme Court of Canada has confirmed that the location of "damage" is a dubious basis upon which to establish jurisdiction: Club Resort Ltd. v. Van Breda, </w:t>
      </w:r>
      <w:hyperlink r:id="rId28" w:history="1">
        <w:r>
          <w:rPr>
            <w:rFonts w:ascii="arial" w:eastAsia="arial" w:hAnsi="arial" w:cs="arial"/>
            <w:i/>
            <w:color w:val="0077CC"/>
            <w:sz w:val="20"/>
            <w:u w:val="single"/>
            <w:shd w:val="clear" w:color="auto" w:fill="FFFFFF"/>
            <w:lang w:val="en-US" w:eastAsia="en-US" w:bidi="ar-SA"/>
          </w:rPr>
          <w:t>2012 SCC 17</w:t>
        </w:r>
      </w:hyperlink>
      <w:r>
        <w:rPr>
          <w:rFonts w:ascii="arial" w:eastAsia="arial" w:hAnsi="arial" w:cs="arial"/>
          <w:color w:val="000000"/>
          <w:sz w:val="20"/>
          <w:lang w:val="en-US" w:eastAsia="en-US" w:bidi="ar-SA"/>
        </w:rPr>
        <w:t xml:space="preserve"> at paras. 88-89; Gerling Global General Insurance Co. v. PCL Construction Ltd., </w:t>
      </w:r>
      <w:hyperlink r:id="rId39" w:history="1">
        <w:r>
          <w:rPr>
            <w:rFonts w:ascii="arial" w:eastAsia="arial" w:hAnsi="arial" w:cs="arial"/>
            <w:i/>
            <w:color w:val="0077CC"/>
            <w:sz w:val="20"/>
            <w:u w:val="single"/>
            <w:shd w:val="clear" w:color="auto" w:fill="FFFFFF"/>
            <w:lang w:val="en-US" w:eastAsia="en-US" w:bidi="ar-SA"/>
          </w:rPr>
          <w:t>[1986] A.J. No. 1039</w:t>
        </w:r>
      </w:hyperlink>
      <w:r>
        <w:rPr>
          <w:rFonts w:ascii="arial" w:eastAsia="arial" w:hAnsi="arial" w:cs="arial"/>
          <w:color w:val="000000"/>
          <w:sz w:val="20"/>
          <w:lang w:val="en-US" w:eastAsia="en-US" w:bidi="ar-SA"/>
        </w:rPr>
        <w:t xml:space="preserve"> (A.B.Q.B.).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Gerling, the defendant company was involved in a project in Minnesota; a fire broke out damaging a building and six tort actions seeking damages arising from the fire were filed in Minnesota. The plaintiffs in the Alberta action (three of the defendant's insurers) sought declarations that the limits of their excess umbrella liability policies issued in Alberta were payable in Canadian and not American dollars. The defendant brought an application to stay the plaintiffs' Alberta action. One of the defendant's arguments was that Minnesota is a more appropriate forum to adjudicate the issue. The defendant also started an action in Minnesota for declaratory relief. The parties produced expert evidence on Minnesota law. The Alberta court held that law most probably applied to the interpretation of the policies (para. 6), but no party contested the territorial jurisdiction of either Alberta or Minnesota (para. 8); the issue was whether Alberta should be preferred over Minnesota.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Despite facts that favoured Minnesota being the best forum for the action (the loss occurred there, the litigation in in Minnesota was about to go to trial and the plaintiffs were all Minnesota residents), the Alberta court declined to grant the stay. It held the place where the alleged losses occurred had no bearing on the interpretation of the policies, nor would the residence of the potential claimants in the tort actions. The Court also concluded that the tort actions were separate from the issue of interpreting the insurance policies since it involved different parties, different issues and different choice of law. Furthermore, the Minnesota action involved parties who were not involved in the Alberta litigation. PIIC says this case supports its contention that Budget and State Farm's emphasis on the location of the motor vehicle accident is misplaced.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reply, Budget and State Farm note the absence of an instrument akin to the PAU in that case, combined with the transitory nature of the very event being insured in this case (renting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Both Budget and PIIC's positions have merit. However, I only have to be satisfied that Budget has presented a "good arguable case" that restitutionary obligations arose in British Columbia, and I am satisfied the test has been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Section 10 (g) -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PIIC denies that the tort as mentioned in the legislation is the accident. PIIC argues s. 10(g) has not application because the only claims advanced are for a declaration of priorities, equitable contribution and unjust enrichment, none of which were "committed" in British Columbia. PIIC says the crux of Budget's action is an alleged economic harm, but that harm has been sustained somewhere other than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Budget submits "but for" the motor vehicle accident, which happened in B.C., there would be no claim. Budget contends that connection is sufficient to establish that its proceeding "concerns"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There is a meaningful distinction between the issues in the proceeding and the issues in the Underlying Actions. Consistent with the approach to ss. 10(e) and (f), the issues in the proceeding (Budget's action) must be the focal point of the analysis. It is relevant that the Underlying Action does involve a tort committed in British Columbia, but Budget seeks declarations and indemnity for what it says was PIIC's failure to contribute to Mr. Wilson's defence costs. The legal redress is based on contractual and restitutionary obligations, not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Danielson v. Janze, </w:t>
      </w:r>
      <w:hyperlink r:id="rId18" w:history="1">
        <w:r>
          <w:rPr>
            <w:rFonts w:ascii="arial" w:eastAsia="arial" w:hAnsi="arial" w:cs="arial"/>
            <w:i/>
            <w:color w:val="0077CC"/>
            <w:sz w:val="20"/>
            <w:u w:val="single"/>
            <w:shd w:val="clear" w:color="auto" w:fill="FFFFFF"/>
            <w:lang w:val="en-US" w:eastAsia="en-US" w:bidi="ar-SA"/>
          </w:rPr>
          <w:t>2017 BCSC 413</w:t>
        </w:r>
      </w:hyperlink>
      <w:r>
        <w:rPr>
          <w:rFonts w:ascii="arial" w:eastAsia="arial" w:hAnsi="arial" w:cs="arial"/>
          <w:color w:val="000000"/>
          <w:sz w:val="20"/>
          <w:lang w:val="en-US" w:eastAsia="en-US" w:bidi="ar-SA"/>
        </w:rPr>
        <w:t>, the defendant in a motor vehicle accident, which occurred in British Columbia, sought to bring a third party claim against medical doctors that treated the plaintiff in her home state of New Jersey. The defendant alleged those doctors provided suboptimal care which worsened the plaintiff's condition. The parties agreed the plaintiff's injuries were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Williams J. held that the third party action (medical treatment provided in New Jersey) concerned matters that occurred wholly outside the jurisdiction. Therefore, s. 10(g) was not a basis upon which to confer jurisdiction on this Court despite the MVA occurring in B.C. (para. 44). As he noted, the relevant proceeding for the purpose of the issue before him was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third party claim), not the motor vehicle accident (the underlying claim). He relied on Josephson v. Balfour Recreation Commission, </w:t>
      </w:r>
      <w:hyperlink r:id="rId40" w:history="1">
        <w:r>
          <w:rPr>
            <w:rFonts w:ascii="arial" w:eastAsia="arial" w:hAnsi="arial" w:cs="arial"/>
            <w:i/>
            <w:color w:val="0077CC"/>
            <w:sz w:val="20"/>
            <w:u w:val="single"/>
            <w:shd w:val="clear" w:color="auto" w:fill="FFFFFF"/>
            <w:lang w:val="en-US" w:eastAsia="en-US" w:bidi="ar-SA"/>
          </w:rPr>
          <w:t>2010 BCSC 603</w:t>
        </w:r>
      </w:hyperlink>
      <w:r>
        <w:rPr>
          <w:rFonts w:ascii="arial" w:eastAsia="arial" w:hAnsi="arial" w:cs="arial"/>
          <w:color w:val="000000"/>
          <w:sz w:val="20"/>
          <w:lang w:val="en-US" w:eastAsia="en-US" w:bidi="ar-SA"/>
        </w:rPr>
        <w:t xml:space="preserve"> in which a plaintiff from Idaho was injured in an accident occurring in British Columbia. The plaintiff received medical treatment in both B.C. and Idaho, and she attempted to add medical personnel from the medical clinic in Idaho to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B.C. The court rejected that application finding there was no presumed real and substantial connection between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British Columbia under s. 10 (g). Even the fact that the Idaho medical doctors were proper parties to the underlying action, did not create a real and substantial connection (paras. 40-42).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reasoning from those cases applies here. Their analyses are consistent with the approach discussed above to sections 10(e) and (f). The focus is not on the Underlying Actions but on Budget's action. Accordingly, I do not find that Budget has established this Court's jurisdiction over the proceeding pursuant to s. 10(g).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Conclusion on territorial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my view, Budget has established a good arguable case that this Court has territorial competence over PIIC in this action on the basis of a real and substantial connection pursuant to either subsection 10(e) or (f)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Should the Court decline to exercise jurisdiction over PIIC?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PIIC argues in the alternative, that if territorial competence is established, I should decline to exercise jurisdiction because California is the more appropriate forum. No one disputed that the applicable legal principles are those summarized earlier in this judgment at paras. 32 to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language used in section 11 makes it clear that I am assessing whether another forum is a more appropriate forum in which to adjudicate Budget's action, not the Underlying Actions. In s. 11(2), this Court must consider the "circumstances relevant to the proceeding" to determine if another forum is the more appropriate one in which to hear the proceeding; proceeding is a defined term in the legislation and clearly refers, in this case, to Budget's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Comparative convenience - s. 11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PIIC submits this factor favours it and Budget says it is a neutral factor. No party is resident either in B.C. or California, but PIIC points out all parties do business in California and not in B.C. I do not think that is a strong factor making California more appropriate. As Budget points out, it has brought a summary trial application, so no witnesses need to travel. Even taking into account the potential that the parties will conduct examinations for discovery (or the possibility there will ultimately be a trial), there was no evidence before me that travel of corporate witnesses was more convenient to California than to B.C. (since none of parties are resident in California or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PIIC submits that some of the witnesses in the Underlying Actions are resident in California, but that is irrelevant because the proceeding at issue for the purpose of s. 11 is Budget's action. Even if I am wrong about that, there was no evidence that it would be more convenient to all parties to the Underlying Actions for witnesses to testify in California rather than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The law to be applied - s. 11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Budget's claim is based on the doctrine of equitable contribution and/or unjust enrichment. The trial judge will have to adjudicate whether California or British Columbia law will determine if PIIC is a primary or excess insurer of the Church; I am required, however, to grapple with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PIIC submits this factor supports this Court's declining jurisdiction in favour of California for three reasons: the California law is clear that PIIC is not a primary insurer; ACE's forum selection clause is clear; and, the complexity and expense of proving foreign law would not arise in California. I note the inherent inconsistency in PIIC saying California law is both clear and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already noted that I have no expert evidence upon which to assess the strength of PIIC's submissions that the California Code is determinative, but even if I did have that evidence before me, its relevance and weight would be issues to be determined at trial. While I concluded that ACE's forum selection clause is not determinative on the issue of territorial competence, I agree with PIIC that it may be relevant to a determination of which law applies to Budget's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PIIC submits these factors also show that it will suffer a juridical disadvantage if the case proceeds in British Columbia while Budget would gain a corresponding advantage. I am not sure that follows. Foreign law can be proven in a British Columbia court, and as noted above, PIIC claims the law is clear and determinative. So while I agree having legal issues decided in the court in the same jurisdiction as the applicable law is presumptively more appropriate, PIIC's own position is that the California law is "clear" and that reduces the disadvantage of having a British Columbia court adjudicate that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addition to the California Code, PIIC cites Pope &amp; Talbot Ltd. (Re), </w:t>
      </w:r>
      <w:hyperlink r:id="rId31" w:history="1">
        <w:r>
          <w:rPr>
            <w:rFonts w:ascii="arial" w:eastAsia="arial" w:hAnsi="arial" w:cs="arial"/>
            <w:i/>
            <w:color w:val="0077CC"/>
            <w:sz w:val="20"/>
            <w:u w:val="single"/>
            <w:shd w:val="clear" w:color="auto" w:fill="FFFFFF"/>
            <w:lang w:val="en-US" w:eastAsia="en-US" w:bidi="ar-SA"/>
          </w:rPr>
          <w:t>2009 BCSC 1552</w:t>
        </w:r>
      </w:hyperlink>
      <w:r>
        <w:rPr>
          <w:rFonts w:ascii="arial" w:eastAsia="arial" w:hAnsi="arial" w:cs="arial"/>
          <w:color w:val="000000"/>
          <w:sz w:val="20"/>
          <w:lang w:val="en-US" w:eastAsia="en-US" w:bidi="ar-SA"/>
        </w:rPr>
        <w:t xml:space="preserve"> at paras. 33-35 for the proposition that the "proper law of the contract is determined by the expressed intention of the parties". Justice Walker stated in Pope that if no express choice is made, the determination can be inferred from the circumstances, or failing that, it can be determined which system of law has the closest and most substantial connection with the subject matter. PIIC argues this case supports it assertion that its contract with the Church and the Rental Agreement should be governed by California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State Farm says PIIC's reasoning is flawed because PIIC is relying on the "wrong" decision. State Farm points to an earlier decision of Justice Walker in the same insolvency (Pope &amp; Talbot Ltd., </w:t>
      </w:r>
      <w:hyperlink r:id="rId41" w:history="1">
        <w:r>
          <w:rPr>
            <w:rFonts w:ascii="arial" w:eastAsia="arial" w:hAnsi="arial" w:cs="arial"/>
            <w:i/>
            <w:color w:val="0077CC"/>
            <w:sz w:val="20"/>
            <w:u w:val="single"/>
            <w:shd w:val="clear" w:color="auto" w:fill="FFFFFF"/>
            <w:lang w:val="en-US" w:eastAsia="en-US" w:bidi="ar-SA"/>
          </w:rPr>
          <w:t>2009 BCSC 1014</w:t>
        </w:r>
      </w:hyperlink>
      <w:r>
        <w:rPr>
          <w:rFonts w:ascii="arial" w:eastAsia="arial" w:hAnsi="arial" w:cs="arial"/>
          <w:color w:val="000000"/>
          <w:sz w:val="20"/>
          <w:lang w:val="en-US" w:eastAsia="en-US" w:bidi="ar-SA"/>
        </w:rPr>
        <w:t>), which addressed the identical issues that arise before me: territorial competence and forum non conveniens. PIIC relies on the decision in which Justice Walker adjudicated (rather than merely grappled with) which law applied in the main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agree with State Farm that it is the earlier decision that is helpful to the issues before me. That was an application brought by Price Waterhouse Cooper (PWC), who was a Receiver and Monitor under the Company's Creditors Arrangement Act. PWC sought a declaration that polices issued to insure directors from claims brought by employees against the insolvent company for unpaid vacation pay, other time off entitlements as well as trigger bonuses were applicable. In response, the insurers said either that this Court lacked territorial competence or, alternatively, that a more appropriate forum was Oregon.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insurers raised arguments before Justice Walker that closely parallel PIIC's position in this application. Among other things, they argued that: the insurance companies did not carry on business in Canada; the payments to their insured would be made in the United States and not in Canada; it would be unfair to force them to bring their expert witnesses to a Canadian court, and; the insurers' site of incorporation, head office and place of principal basis were not in Canada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Justice Walker disagreed because he said that the insurer's role was not limited to issuing payment. He found the insurer's obligation was to cover claims made against the directors on a worldwide basis (paras. 81-82). He also noted that the claims were based on alleged wrongful acts that arose in B.C. by the operation of the companies' insured's business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Unlike PIIC, that policy before Justice Walker did not have a duty to defend. Nevertheless, Justice Walker held that the policy's wording revealed the insurer to have an active role in defending claims, including selecting defence counsel and assessing the claim in order to consent to defence costs. In my view, the fact that PIIC's policy does have a duty to defend strengthens Budget's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With regard to the location of the companies' corporate headquarters, place of primary business and incorporation, Walker J. noted at one time those factors weighed heavily in the analysis. However, he relied on McEachern C.J.S.C.' s comments in Cansulex Ltd. v. Reed Stenhouse Ltd., </w:t>
      </w:r>
      <w:hyperlink r:id="rId42" w:history="1">
        <w:r>
          <w:rPr>
            <w:rFonts w:ascii="arial" w:eastAsia="arial" w:hAnsi="arial" w:cs="arial"/>
            <w:i/>
            <w:color w:val="0077CC"/>
            <w:sz w:val="20"/>
            <w:u w:val="single"/>
            <w:shd w:val="clear" w:color="auto" w:fill="FFFFFF"/>
            <w:lang w:val="en-US" w:eastAsia="en-US" w:bidi="ar-SA"/>
          </w:rPr>
          <w:t>(1986), 70 B.C.L.R. 273</w:t>
        </w:r>
      </w:hyperlink>
      <w:r>
        <w:rPr>
          <w:rFonts w:ascii="arial" w:eastAsia="arial" w:hAnsi="arial" w:cs="arial"/>
          <w:color w:val="000000"/>
          <w:sz w:val="20"/>
          <w:lang w:val="en-US" w:eastAsia="en-US" w:bidi="ar-SA"/>
        </w:rPr>
        <w:t xml:space="preserve"> (S.C.) where the Chief Justice stated that the modern trend in the law did not focus as much on where the contract was formed, but on the subject of the contract. The enquiry is highly fact specific and contextual. One factor Justice Walker emphasized was that the insurers before him "chose not to stipulate any forum" in the relevant policies (para. 142). Similarly, in the case before me, there is no forum selection clause in PIIC's policy with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Walker J. also stated the following at para.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not be overlooked that in providing coverage to P&amp; T Ltd.'s directors and officers on renewal, Federal well knew that the Pope and Talbot group of companies... were in adverse financial circumstances... Federal knew that the majority of the operations of the Pope &amp; Talbot group of companies were located in British Columbia. Federal could anticipate the prospect of insolvency proceedings in Canada and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passage supports State Farm's submission that it is important to remember that the issues in this case revolved around insurance for rental vehicles. By their nature, rental vehicles are transitory and no one pointed to anything that purported to limit, in this case, drivers from crossing borders. Therefore, State Farm argues PIIC cannot reasonably say it could not have anticipated that it might have to defend one of its insureds in Canada. Both Budget and State Farm say that position is confirmed by PIIC's voluntary signing of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PIIC also argues that Family Insurance confirms that when assessing claims among insurance companies (in that case, for policy limits), the wording of the insurance policies are key. I have already concluded that I do not agree with PIIC's interpretation of that case as it related to PIIC's submission that ACE's forum selection clause was determinative of this application, but I agree with PIIC that the wording of the policies may have an important bearing on the success of Budget's claim. Budget and State Farm respond to PIIC's position by relying on the PAU and associated case law. In my view, PIIC's submission that Unifund Assurance does not support Budget's reliance on the PAU is relevant, and has merit on this issue for the reasons I have already discussed (at paras. 84 to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With regard to the claim for unjust enrichment, PIIC says the policies and location of the enrichment also favour California: Minera Aquiline Argentina SA v. IMA Exploration Inc., </w:t>
      </w:r>
      <w:hyperlink r:id="rId43" w:history="1">
        <w:r>
          <w:rPr>
            <w:rFonts w:ascii="arial" w:eastAsia="arial" w:hAnsi="arial" w:cs="arial"/>
            <w:i/>
            <w:color w:val="0077CC"/>
            <w:sz w:val="20"/>
            <w:u w:val="single"/>
            <w:shd w:val="clear" w:color="auto" w:fill="FFFFFF"/>
            <w:lang w:val="en-US" w:eastAsia="en-US" w:bidi="ar-SA"/>
          </w:rPr>
          <w:t>2006 BCSC 1102</w:t>
        </w:r>
      </w:hyperlink>
      <w:r>
        <w:rPr>
          <w:rFonts w:ascii="arial" w:eastAsia="arial" w:hAnsi="arial" w:cs="arial"/>
          <w:color w:val="000000"/>
          <w:sz w:val="20"/>
          <w:lang w:val="en-US" w:eastAsia="en-US" w:bidi="ar-SA"/>
        </w:rPr>
        <w:t xml:space="preserve"> at para. 193-196. In that case, the Court addressed which law would apply to a claim for breach of confidence, which the parties agreed was a restitutionary claim for unjust enrichment (para. 183). The parties had already agreed that British Columbia law applied to the relevant contract (a confidentially agreement), but that was because no party plead or proved that foreign law should apply (para. 189). However, that did not resolve the issue of which jurisdiction's law should apply to the breach of confidence claim. The plaintiff argued the agreement was made in Colorado and its law should govern all aspects of the parties' business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Justice Koenigsberg stated that a principled approach in a case where there was a pre-existing contractual relationship would be to examine all factors to see if the restitutionary obligation is closely connected to the law applicable to that contractual relationship. Using that approach, PIIC says the following facts supports its view that California law will apply to the equitable claims: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 was registered in California, owned by a California company, and rented by a church in California from a Budget location in California.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Agreement was executed in California by Mr. Brown, a resident of California.</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van's driver (Mr. Wilson) was a California resident.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policies issued by the insurers were all issued in California and each contained a rider specific to California</w:t>
      </w:r>
      <w:bookmarkStart w:id="12"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2"/>
      <w:r>
        <w:rPr>
          <w:rFonts w:ascii="arial" w:eastAsia="arial" w:hAnsi="arial" w:cs="arial"/>
          <w:color w:val="000000"/>
          <w:sz w:val="20"/>
          <w:lang w:val="en-US" w:eastAsia="en-US" w:bidi="ar-SA"/>
        </w:rPr>
        <w: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court action extant in California.</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are American entities entitled to carry on business in California.</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parties are Canadian corporations, are registered in B.C. nor carry on business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Even if all the above facts are true, Budget submits that the most important facts are the details of the accident and the law suits that arose from it, as identified in "Part 1: Statement of Facts" of its notice of claim. Budget says the material facts that connect its action to British Columbia include: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2011 accident took place in Vancouver, British Columbia.</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law suits arising from that accident were started in British Columbia Supreme Court. They have all settled.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Wilson was a defendant in all seven law suits.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PIIC has a duty to defend within its insurance policy with the Church.</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PIIC voluntarily signed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 primary issue before the trial judge in this action will be what law applies to Budget's action. In my view, the parties have demonstrated there is no clear answer to that question; both have presented strong arguments in favour of their positions. Accordingly, this factor is essentially neutral.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Avoiding multiplicity of proceedings and avoiding</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multiple or conflicting decisions s. 11(c)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find this factor does not support PIIC's position. The California Court has stayed PIIC's action pending resolution of this application. Accordingly, it has explicitly declined to engage in a potentially duplicitous proceeding; the possibility of conflicting or parallel proceedings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State Farm argues I should take notice that in the tentative ruling, the California State Court was inclined to grant Budget's application to stay PIIC's action. State Farm's position is that the tentative ruling makes it clear that PIIC has a weak basis for opposing Budget's claim, thus strengthening this Court's jurisdiction. Since the hearing, I was informed that PIIC's application to appeal the State Court's stay was dismissed. While I agree that there is little risk of a multiplicity of proceedings, I do not agree that I can draw any conclusion about the strength of PIIC's action in California based on the tentative ruling. The State Court was explicit in adjourning PIIC's California case while awaiting this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Enforcement of Eventual Judgment - s. 11(e)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PIIC points out that any judgment obtained by Budget would have to be enforced in the United States (whether in California or Pennsylvania) and that supports my declining jurisdiction. However, Budget submits I have no evidence that suggests it would be easier to enforce a judgment against PIIC in California as opposed to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Lloyd's Underwriter v. Cominco Ltd. et al., </w:t>
      </w:r>
      <w:hyperlink r:id="rId44" w:history="1">
        <w:r>
          <w:rPr>
            <w:rFonts w:ascii="arial" w:eastAsia="arial" w:hAnsi="arial" w:cs="arial"/>
            <w:i/>
            <w:color w:val="0077CC"/>
            <w:sz w:val="20"/>
            <w:u w:val="single"/>
            <w:shd w:val="clear" w:color="auto" w:fill="FFFFFF"/>
            <w:lang w:val="en-US" w:eastAsia="en-US" w:bidi="ar-SA"/>
          </w:rPr>
          <w:t>2006 BCSC 1276</w:t>
        </w:r>
      </w:hyperlink>
      <w:r>
        <w:rPr>
          <w:rFonts w:ascii="arial" w:eastAsia="arial" w:hAnsi="arial" w:cs="arial"/>
          <w:color w:val="000000"/>
          <w:sz w:val="20"/>
          <w:lang w:val="en-US" w:eastAsia="en-US" w:bidi="ar-SA"/>
        </w:rPr>
        <w:t xml:space="preserve">, aff'd </w:t>
      </w:r>
      <w:hyperlink r:id="rId45" w:history="1">
        <w:r>
          <w:rPr>
            <w:rFonts w:ascii="arial" w:eastAsia="arial" w:hAnsi="arial" w:cs="arial"/>
            <w:i/>
            <w:color w:val="0077CC"/>
            <w:sz w:val="20"/>
            <w:u w:val="single"/>
            <w:shd w:val="clear" w:color="auto" w:fill="FFFFFF"/>
            <w:lang w:val="en-US" w:eastAsia="en-US" w:bidi="ar-SA"/>
          </w:rPr>
          <w:t>2007 BCCA 249</w:t>
        </w:r>
      </w:hyperlink>
      <w:r>
        <w:rPr>
          <w:rFonts w:ascii="arial" w:eastAsia="arial" w:hAnsi="arial" w:cs="arial"/>
          <w:color w:val="000000"/>
          <w:sz w:val="20"/>
          <w:lang w:val="en-US" w:eastAsia="en-US" w:bidi="ar-SA"/>
        </w:rPr>
        <w:t xml:space="preserve">, aff'd </w:t>
      </w:r>
      <w:hyperlink r:id="rId24"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Justices Davies observed that "as a practical matter", he saw little chance that the insurer would have to rely on execution proceedings to obtain satisfaction from its insurers whether in the U.S. or Canada. He continued (at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notwithstanding that issues could arise concerning the ultimate enforceability of a declaratory judgment, I am satisfied that such issues should have no bearing on the exercise of my discretion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agree with this reasoning and therefore, this factor carries no weight in my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Fair and efficient working of Canadian legal system - s. 11(f)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Budget argues that declining jurisdiction in B.C. would be contrary to the underling social policy of the PAU. This factor favours the case being heard here. This argument is primarily based on Budget's submissions on the legal impact and significance of the PAU. The difficulty with that argument that it presupposes Budget is correct about how the PAU ought to operate in the context of its action. As identified above, it is not clear how the PAU will impact the ultimate resolution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More compelling is Budget's assertion that PIIC does not have a forum selection clause in its policy, nor does it exclude or preclude coverage for accidents occurring in Canada. Budget argues that PIIC, as a sophisticated party, has the capacity and opportunity to take steps to preclude its liability for accidents in B.C. Instead, it has signed the PAU. State Farm supports that position and submits the Court cannot ignore the fact that vehicles are transitory in nature and cross-border travel between Canada and United States is a common occurrence. PIIC made a choice in the wording of its contract knowing it could face claims outside the jurisdiction where its insureds reside.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my view, that is an important factor. It is more appropriate that a Canadian court decide the impact of the PAU on this dispute. If the action proceeded in California, expert evidence would need to be adduced from Canada about the PAU. But the PAU is not a statute nor a contract in the traditional sense, which complicates the analysis. The parties tell me there is no Canadian case directly on point which adds another layer of complication. It is not unreasonable to conclude those complications make it less desirable that a foreign court tackle the issues. Accordingly, this factor support's Budget's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Returning to the opening words of s. 11(1) of the Act, the primary focus of my analysis is the interests of the parties and the ends of justice. The strongest factor in favour of PIIC's position is the assertion that California law will apply to the issues at trial. However, Budget's submission that the PAU is crucial to the determination of PIIC's obligation to Mr. Wilson has considerable merit. And both parties presented cogent arguments why Unifund Assurance supports their position. Given that, I conclude that PIIC has failed to prove that California is the more appropriate forum to hear Budget's action. Two factors feature prominently in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Firstly, the impact of the PAU on Budget's action requires considerable analysis, including a careful reading and application of Unifund Assurance and related cases. The PAU is unique to Canada and in my respectful view, the ends of justice are better served if a Canadian court adjudicates its impact on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Secondly, even if California law ultimately applies to the issue of insurance policy priorities, PIIC's position is that California law is very clear. That lessens any juridical disadvantage of having this Court opine on California law. While I accept it is typically more appropriate for a court to be applying its own law rather than foreign law, given the possible impact of the PAU, this case is more complicated than typical.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is of some significance that the parties before me are all sophisticated corporate entities who have chosen to engage in business providing insurance for vehicles that are driven across borders. No party suggested that Mr. Wilson breached any policy by driving the rented vehicle from California to Vancouver. Accordingly, I have difficulty accepting that any party would be surprised or inconvenienced by the prospect of a court "foreign" to it not only grappling with, but deciding issues of policy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Combined with the fact that the parties were not resident in California or even the same state, I conclude the comparative convenience factors do not support PIIC's position. Similarly, the California court graciously deferred making a decision on PIIC's application for a declaration of insurance priorities pending the outcome of this application. That deferral obviates the risk that there will be multiple or conflicting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For all those reasons, I conclude PIIC has not demonstrated on a balance of probabilities that I should decline to exercise this Court's territorial competence over it. Budget's action is not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For those reasons, I dismiss PIIC's application. Budget, ACE and State Farm are entitled to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29" style="position:absolute;z-index:2518630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3"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w:t>
      </w:r>
      <w:r>
        <w:rPr>
          <w:rFonts w:ascii="arial" w:eastAsia="arial" w:hAnsi="arial" w:cs="arial"/>
          <w:i/>
          <w:color w:val="6D6E71"/>
          <w:sz w:val="18"/>
          <w:lang w:val="en-US" w:eastAsia="en-US" w:bidi="ar-SA"/>
        </w:rPr>
        <w:t>Shea (Guardian ad litem of) v. Shea</w:t>
      </w:r>
      <w:r>
        <w:rPr>
          <w:rFonts w:ascii="arial" w:eastAsia="arial" w:hAnsi="arial" w:cs="arial"/>
          <w:color w:val="6D6E71"/>
          <w:sz w:val="18"/>
          <w:lang w:val="en-US" w:eastAsia="en-US" w:bidi="ar-SA"/>
        </w:rPr>
        <w:t xml:space="preserve"> </w:t>
      </w:r>
      <w:hyperlink r:id="rId46" w:history="1">
        <w:r>
          <w:rPr>
            <w:rFonts w:ascii="arial" w:eastAsia="arial" w:hAnsi="arial" w:cs="arial"/>
            <w:i/>
            <w:color w:val="0077CC"/>
            <w:sz w:val="18"/>
            <w:u w:val="single"/>
            <w:shd w:val="clear" w:color="auto" w:fill="FFFFFF"/>
            <w:lang w:val="en-US" w:eastAsia="en-US" w:bidi="ar-SA"/>
          </w:rPr>
          <w:t>(1985), 66 B.C.L.R. 92</w:t>
        </w:r>
      </w:hyperlink>
      <w:r>
        <w:rPr>
          <w:rFonts w:ascii="arial" w:eastAsia="arial" w:hAnsi="arial" w:cs="arial"/>
          <w:color w:val="6D6E71"/>
          <w:sz w:val="18"/>
          <w:lang w:val="en-US" w:eastAsia="en-US" w:bidi="ar-SA"/>
        </w:rPr>
        <w:t xml:space="preserve"> (C.A.); </w:t>
      </w:r>
      <w:r>
        <w:rPr>
          <w:rFonts w:ascii="arial" w:eastAsia="arial" w:hAnsi="arial" w:cs="arial"/>
          <w:i/>
          <w:color w:val="6D6E71"/>
          <w:sz w:val="18"/>
          <w:lang w:val="en-US" w:eastAsia="en-US" w:bidi="ar-SA"/>
        </w:rPr>
        <w:t>Court v. Alberta Motor Assn. Insurance Co.,</w:t>
      </w:r>
      <w:r>
        <w:rPr>
          <w:rFonts w:ascii="arial" w:eastAsia="arial" w:hAnsi="arial" w:cs="arial"/>
          <w:color w:val="6D6E71"/>
          <w:sz w:val="18"/>
          <w:lang w:val="en-US" w:eastAsia="en-US" w:bidi="ar-SA"/>
        </w:rPr>
        <w:t xml:space="preserve"> </w:t>
      </w:r>
      <w:hyperlink r:id="rId47" w:history="1">
        <w:r>
          <w:rPr>
            <w:rFonts w:ascii="arial" w:eastAsia="arial" w:hAnsi="arial" w:cs="arial"/>
            <w:i/>
            <w:color w:val="0077CC"/>
            <w:sz w:val="18"/>
            <w:u w:val="single"/>
            <w:shd w:val="clear" w:color="auto" w:fill="FFFFFF"/>
            <w:lang w:val="en-US" w:eastAsia="en-US" w:bidi="ar-SA"/>
          </w:rPr>
          <w:t>[1994] B.C.J. No. 948</w:t>
        </w:r>
      </w:hyperlink>
      <w:r>
        <w:rPr>
          <w:rFonts w:ascii="arial" w:eastAsia="arial" w:hAnsi="arial" w:cs="arial"/>
          <w:color w:val="6D6E71"/>
          <w:sz w:val="18"/>
          <w:lang w:val="en-US" w:eastAsia="en-US" w:bidi="ar-SA"/>
        </w:rPr>
        <w:t xml:space="preserve"> (S.C.); </w:t>
      </w:r>
      <w:r>
        <w:rPr>
          <w:rFonts w:ascii="arial" w:eastAsia="arial" w:hAnsi="arial" w:cs="arial"/>
          <w:i/>
          <w:color w:val="6D6E71"/>
          <w:sz w:val="18"/>
          <w:lang w:val="en-US" w:eastAsia="en-US" w:bidi="ar-SA"/>
        </w:rPr>
        <w:t>Batchelder v. Filewich</w:t>
      </w:r>
      <w:r>
        <w:rPr>
          <w:rFonts w:ascii="arial" w:eastAsia="arial" w:hAnsi="arial" w:cs="arial"/>
          <w:color w:val="6D6E71"/>
          <w:sz w:val="18"/>
          <w:lang w:val="en-US" w:eastAsia="en-US" w:bidi="ar-SA"/>
        </w:rPr>
        <w:t xml:space="preserve">, </w:t>
      </w:r>
      <w:hyperlink r:id="rId48" w:history="1">
        <w:r>
          <w:rPr>
            <w:rFonts w:ascii="arial" w:eastAsia="arial" w:hAnsi="arial" w:cs="arial"/>
            <w:i/>
            <w:color w:val="0077CC"/>
            <w:sz w:val="18"/>
            <w:u w:val="single"/>
            <w:shd w:val="clear" w:color="auto" w:fill="FFFFFF"/>
            <w:lang w:val="en-US" w:eastAsia="en-US" w:bidi="ar-SA"/>
          </w:rPr>
          <w:t>2002 BCSC 1642</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4"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4"/>
      <w:r>
        <w:rPr>
          <w:rFonts w:ascii="arial" w:eastAsia="arial" w:hAnsi="arial" w:cs="arial"/>
          <w:sz w:val="20"/>
          <w:lang w:val="en-US" w:eastAsia="en-US" w:bidi="ar-SA"/>
        </w:rPr>
        <w:tab/>
      </w:r>
      <w:r>
        <w:rPr>
          <w:rFonts w:ascii="arial" w:eastAsia="arial" w:hAnsi="arial" w:cs="arial"/>
          <w:color w:val="6D6E71"/>
          <w:sz w:val="18"/>
          <w:lang w:val="en-US" w:eastAsia="en-US" w:bidi="ar-SA"/>
        </w:rPr>
        <w:t>This replicates wording in PIIC's PAU.</w:t>
      </w:r>
    </w:p>
    <w:p>
      <w:pPr>
        <w:spacing w:before="120" w:after="20" w:line="240" w:lineRule="atLeast"/>
        <w:ind w:left="720" w:hanging="360"/>
        <w:jc w:val="both"/>
        <w:rPr>
          <w:rFonts w:ascii="arial" w:eastAsia="arial" w:hAnsi="arial" w:cs="arial"/>
          <w:sz w:val="20"/>
          <w:lang w:val="en-US" w:eastAsia="en-US" w:bidi="ar-SA"/>
        </w:rPr>
      </w:pPr>
      <w:bookmarkStart w:id="15"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5"/>
      <w:r>
        <w:rPr>
          <w:rFonts w:ascii="arial" w:eastAsia="arial" w:hAnsi="arial" w:cs="arial"/>
          <w:sz w:val="20"/>
          <w:lang w:val="en-US" w:eastAsia="en-US" w:bidi="ar-SA"/>
        </w:rPr>
        <w:tab/>
      </w:r>
      <w:r>
        <w:rPr>
          <w:rFonts w:ascii="arial" w:eastAsia="arial" w:hAnsi="arial" w:cs="arial"/>
          <w:color w:val="6D6E71"/>
          <w:sz w:val="18"/>
          <w:lang w:val="en-US" w:eastAsia="en-US" w:bidi="ar-SA"/>
        </w:rPr>
        <w:t>PIIC also argues a subsequent Supreme Court of Canada (the Unifund Assurance decision) case has overtaken the approach in Diotte to PAU's, but I address that issue below at paras. 72 to 84).</w:t>
      </w:r>
    </w:p>
    <w:p>
      <w:pPr>
        <w:spacing w:before="120" w:after="20" w:line="240" w:lineRule="atLeast"/>
        <w:ind w:left="720" w:hanging="360"/>
        <w:jc w:val="both"/>
        <w:rPr>
          <w:rFonts w:ascii="arial" w:eastAsia="arial" w:hAnsi="arial" w:cs="arial"/>
          <w:sz w:val="20"/>
          <w:lang w:val="en-US" w:eastAsia="en-US" w:bidi="ar-SA"/>
        </w:rPr>
      </w:pPr>
      <w:bookmarkStart w:id="16"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6"/>
      <w:r>
        <w:rPr>
          <w:rFonts w:ascii="arial" w:eastAsia="arial" w:hAnsi="arial" w:cs="arial"/>
          <w:sz w:val="20"/>
          <w:lang w:val="en-US" w:eastAsia="en-US" w:bidi="ar-SA"/>
        </w:rPr>
        <w:tab/>
      </w:r>
      <w:r>
        <w:rPr>
          <w:rFonts w:ascii="arial" w:eastAsia="arial" w:hAnsi="arial" w:cs="arial"/>
          <w:color w:val="6D6E71"/>
          <w:sz w:val="18"/>
          <w:lang w:val="en-US" w:eastAsia="en-US" w:bidi="ar-SA"/>
        </w:rPr>
        <w:t>There was a complicating factor because the American insurance company signed and filed the PAU after the accident occurred and that is addressed in the decision. That analysis is not relevant to my consideration.</w:t>
      </w:r>
    </w:p>
    <w:p>
      <w:pPr>
        <w:spacing w:before="120" w:after="20" w:line="240" w:lineRule="atLeast"/>
        <w:ind w:left="720" w:hanging="360"/>
        <w:jc w:val="both"/>
        <w:rPr>
          <w:rFonts w:ascii="arial" w:eastAsia="arial" w:hAnsi="arial" w:cs="arial"/>
          <w:sz w:val="20"/>
          <w:lang w:val="en-US" w:eastAsia="en-US" w:bidi="ar-SA"/>
        </w:rPr>
      </w:pPr>
      <w:bookmarkStart w:id="17"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a </w:t>
      </w:r>
      <w:r>
        <w:rPr>
          <w:rFonts w:ascii="arial" w:eastAsia="arial" w:hAnsi="arial" w:cs="arial"/>
          <w:i/>
          <w:color w:val="6D6E71"/>
          <w:sz w:val="18"/>
          <w:lang w:val="en-US" w:eastAsia="en-US" w:bidi="ar-SA"/>
        </w:rPr>
        <w:t>voir dire</w:t>
      </w:r>
      <w:r>
        <w:rPr>
          <w:rFonts w:ascii="arial" w:eastAsia="arial" w:hAnsi="arial" w:cs="arial"/>
          <w:color w:val="6D6E71"/>
          <w:sz w:val="18"/>
          <w:lang w:val="en-US" w:eastAsia="en-US" w:bidi="ar-SA"/>
        </w:rPr>
        <w:t>, I considered and rejected the admissibility of portions of an affidavit upon which PIIC relied, that expressed an opinion about California law. The affidavit was sworn by PIIC's California attorney. Accordingly, those portions could not qualify as expert evidence, and those opinions were therefore inadmissible.</w:t>
      </w:r>
    </w:p>
    <w:p>
      <w:pPr>
        <w:spacing w:before="120" w:after="20" w:line="240" w:lineRule="atLeast"/>
        <w:ind w:left="720" w:hanging="360"/>
        <w:jc w:val="both"/>
        <w:rPr>
          <w:rFonts w:ascii="arial" w:eastAsia="arial" w:hAnsi="arial" w:cs="arial"/>
          <w:sz w:val="20"/>
          <w:lang w:val="en-US" w:eastAsia="en-US" w:bidi="ar-SA"/>
        </w:rPr>
      </w:pPr>
      <w:bookmarkStart w:id="18"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8"/>
      <w:r>
        <w:rPr>
          <w:rFonts w:ascii="arial" w:eastAsia="arial" w:hAnsi="arial" w:cs="arial"/>
          <w:sz w:val="20"/>
          <w:lang w:val="en-US" w:eastAsia="en-US" w:bidi="ar-SA"/>
        </w:rPr>
        <w:tab/>
      </w:r>
      <w:r>
        <w:rPr>
          <w:rFonts w:ascii="arial" w:eastAsia="arial" w:hAnsi="arial" w:cs="arial"/>
          <w:color w:val="6D6E71"/>
          <w:sz w:val="18"/>
          <w:lang w:val="en-US" w:eastAsia="en-US" w:bidi="ar-SA"/>
        </w:rPr>
        <w:t>Budget correctly points out that there was no evidence before me from any insured, insurer or broker about where PIIC's policies were issued.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907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Chow v. Subway Franchise Restaurants of Canada Ltd., [2017] B.C.J. No. 1190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S-144089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Donna Joyce Chow, Plaintiff, and Subway Franchise Restaurants of Canada Ltd., Subway Franchise Systems of Canada, Ltd., Subway and Subway Restaurant,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1"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0"/>
      <w:bookmarkEnd w:id="19"/>
      <w:r>
        <w:rPr>
          <w:rFonts w:ascii="arial" w:eastAsia="arial" w:hAnsi="arial" w:cs="arial"/>
          <w:b/>
          <w:color w:val="000000"/>
          <w:sz w:val="20"/>
          <w:lang w:val="en-US" w:eastAsia="en-US" w:bidi="ar-SA"/>
        </w:rPr>
        <w:t>Tort law — Practice and procedure — Parties — Application by two Subway corporate entities for summary judgment dismissing plaintiff's action allowed — Plaintiff sought personal injury damages, alleging she was served bloody sandwich — Plaintiff sued two Subway entities — Unchallenged evidence was that neither entity owned, occupied or operated restaurant that served plaintiff — Subway was registered trade-mark and was not, of itself, a legal entity — Plaintiff did not sue worker who served sandwich, or worker's employer, Exmac Holdings, who was assigned right to use Subway trade-mark in operating restaurant that served sandwich — British Columbia Supreme Court Civil Rules, Rules 6-1, 6-2.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0"/>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two Subway companies, for summary judgment dismissing the action by the plaintiff, Chow. The plaintiff sought personal injury damages arising from a defective sandwich. The plaintiff alleged she purchased a sandwich from a Subway location in Victoria. She alleged that she found blood on the bun and wrapping paper as she consumed the sandwich. The plaintiff alleged she was pregnant at the time of the incident. She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and their servants and agents. She alleged she was a lawful user of the restaurant under the Occupiers Liability Act. The plaintiff sought damages for personal injury, including mental distress and shock. The defendants sought summary judgment on the basis the plaintiff failed to sue the correct entity that was the direct tortfeasor. The two Subway corporate defendants denied owning, occupying or operating the Victoria restaurant that served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0"/>
            <w:bookmarkEnd w:id="2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unchallenged evidence of the defendants was that Subway was a registered trade-mark held by those with usury rights. Subway was not a legal entity. At all relevant times, a non-party, Exmac Holdings, was assigned the right to operate the Victoria restaurant using the Subway trade-mark that served the plaintiff. Neither defendant had any involvement in the Victoria restaurant's operation. No evidence was called by the plaintiff in support of her claim. The statement of claim was woefully inadequate and failed to assert a claim properly brought against the named defendants. The plaintiff did not sue the direct tortfeasor, namely, the worker in the restaurant or the employer of that worker. The plaintiff's action was dismissed with leave to amend Exmac as a defendant refused.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0"/>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2"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 Rule 6-2, Rule 6-2(7), Rule 6-2(10), Rule 7, Rule 8-1, Rule 8-1(7), Rule 9-6, Rule 9-6(4)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0"/>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3"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Halperin.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0"/>
      <w:bookmarkEnd w:id="24"/>
      <w:r>
        <w:pict>
          <v:line id="_x0000_s1034"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K.W. BALL J."/>
            <w:bookmarkEnd w:id="25"/>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a claim for personal injury damages caused by a defective sandwich. Issues have arisen concerning who the appropriate defendants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Add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brought an application to add 0968169 BC Ltd. as a defendant in this action. The plaintiff did not serve the notice of application on the proposed defendant prior to the application coming on for hearing on June 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Counsel for the plaintiff submitted an argument that following a reading of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6-1, 6-2, 7, and 8-1 that a newly added party receives notice only when the order adding the party is served in accordance with those sub-rules.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Alexis v. Duncan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2015 BCCA 135</w:t>
        </w:r>
      </w:hyperlink>
      <w:r>
        <w:rPr>
          <w:rFonts w:ascii="arial" w:eastAsia="arial" w:hAnsi="arial" w:cs="arial"/>
          <w:color w:val="000000"/>
          <w:sz w:val="20"/>
          <w:lang w:val="en-US" w:eastAsia="en-US" w:bidi="ar-SA"/>
        </w:rPr>
        <w:t xml:space="preserve"> described the proper application of Rules 6-1 and 6-2. The chambers judge in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xml:space="preserve"> held that the plaintiff could amend a notice of civil claim prior to serving the notice of claim on any original defendant by adding a named party as a defendant without serving the application on the named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para 13 of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the Court of Appeal found that Rule 6-1 concerned the amendment of pleadings once without leave of the court prior to service. Rule 6-1 however is limited to the amendment of pleadings. The Court of Appeal stated in the same para. "it says nothing about the addition of parties". Rule 6-1, by its own terms, is subject to Rule 6-2(7)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At para. 20 in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Goepel J.A. stated that he was unable to agree with the chambers judge and stated that the only manner under which a party can be joined to an action after it has been commenced is pursuant to an application under Rule 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of Appeal further decided that a finding that a proposed defendant would not be entitled to be served with the notice of application to be added as a party was simply wrong (para. 23). This decision was supported by the contents of Rule 8-1(7) which requires all persons who may be affected by an order, such as being joined as a party defendant, must be served with a notice of application. Notice allows the proposed party to make submissions to the chambers judge "to determine whether or not joinder of the party is just and convenient"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Court of Appeal also noted that while a breach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such as a failure to serve a party affected by a proposed order constitutes an irregularity, not a nullity, the irregularity should not be cured by allowing the action to proceed as amended (para. 26). I find the principles stated in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xml:space="preserve"> to be relevant and dispositive of the issue of adding another party in this case. In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xml:space="preserve"> the proper remedy was to set aside the amended notice of claim. That is the order that I make on this application which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Judgment Application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second application heard by the Court on June 5, 2017, was that the plaintiff's claim against all defendants be dismissed and for costs. The plaintiff alleges in the notice of claim filed that on May 28, 2012, she purchased a sandwich from a Subway location located at 239 Menzies Street in Victoria, BC ("the restaurant"). As she began to consume the sandwich, she found blood on the bun and wrapping paper. The plaintiff alleges she was pregnant at the time of this incident. The plaintiff also pleaded that she was a lawful user of the restaurant and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also pleaded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and "its servants or agents". The plaintiff pleaded damages for personal injury including mental distress, shock, and similar claims. There is no reference to the vicarious liability or other factual or legal relationships between the named defendants and the restaurant operated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to the civil claim, the defendants plead that "Subway" is a registered trademark used by persons with a lawful right to use the same. The defendants also plead that: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Subway Franchise Systems of Canada Limited ("SFS") offers and sells franchises to allow individuals and entities to operate restaurants in Canada using the Subway trademark.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Subway Restaurant Systems ("SRS") is a Canadian corporation.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SFS and SRS deny either of them owned, operated or occupied a restaurant in Victoria,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additional facts in the response to civil claim, the defendants pleaded that Exmac Holdings Ltd. was at relevant times a British Columbia corporation assigned to use the trademark to operate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also pleaded at para. 2 of the Additional Facts heading that "the claim against the defendants ought to be amended and Exmac Holdings Ltd. substituted in the place of the current defendants." The response to civil claim was filed on August 28,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13, 2017, the defendants filed the application for summary dismissal of this action pursuant to Rule 9-6. In support of that application the defendants filed three affidavits as follows: L. Funk sworn September 20, 2016; A. Holm sworn January 4, 2017; R. Doyle sworn January 6, 2017; Diane Larson sworn May 2, 2017. The affidavits of L. Funk and Diane Larson deal with procedural and administrative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affidavit of R. Doyle, the facts stated are that Mr. Doyle was an owner and operator of the restaurant from April 19, 2011, to April 11, 2013. He took training concerning the operation of the franchise at the restaurant then owned by another between January and April 2011. In March 2011 with his wife, he took further training in Milford, Connecticut.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Having passed the franchise training course on April 19, 2011, the Doyles entered into a franchise agreement and sublease of the restaurant. They also purchased Exmac Holdings Ltd. from the former owner thereof and assigned their rights to operate the restaurant to Exmac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Mr. Doyle was that at all material times all employees of the restaurant, including management, were employed directly through Exmac Holdings Ltd. All employees of Exmac Holdings received training from management regarding operational procedures of the restaurant including food preparation, inspection, and work safety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or around May 2013 the Doyles sold the restaurant and Exmac Holdings Ltd. to another individual and had no further involvement in the restaurant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None of the facts contained in the affidavit of Mr. Doyle have been challenged or otherwise contested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affidavit of Angie Holm of the Director of Field Operations at World Headquarters of Subway described a structure of Subway from the owner of the Subway trademark down to various holding companies to and including SFS and SFR ("the constanting companies"). SFS and SFR were described as seller of franchises and a lease negotiator/manager with Subway restaurants in Canada respectively. Ms. Holm confirmed that the Doyles entered into an assignment of the franchise agreement for the restaurant on or about April 19, 2011. Ms. Holm described a history of restaurants franchise holders from 1994 to current holders. None of the current defendants were mentioned in that discussion. Ms. Holm swore that neither SFS nor SFR had direct control of the day to day operations of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Holm is not aware of any corporation or legal entity called "Subway" or "Subway Restaurant" operated by any of the constanting companies. According to the leasing documents filed as exhibits to Ms. Holm's affidavit, the landlord of the restaurant is a BC company not named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None of the facts stated in the affidavit of Ms. Holm have been challenged or otherwise contested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did not personally swear an affidavit in this application. The plaintiff filed two affidavits in answer to the application as follows: the affidavit of Jan White sworn May 18, 2017, and the affidavit of Jan White sworn June 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Affidavit #3 of Jan White is an affidavit sworn by Jan White, a paralegal working for the plaintiff's counsel. Ms. White states that counsel for the defendants served a response to notice of claim on August 25, 2015. This response contained a statement that SFS and SRS deny they owned or operated or occupied a Subway Restaurant at 239 Menzies Street in Victoria, British Columbia (para. 5 of Division 2 of the defendants' version of facts in the response). The response also alleges that "Subway" is a registered trademark for use by those holding a right to use the trademark. It is not a legal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 at para. 1 of Division 3 on page 2 of the response to civil claim the following appears: "Exmac Holdings Ltd. was, at relevant times, a British Columbia corporation assigned the rights to operate a restaurant using the Subway registered trademark and did at relevant times operate a restaurant using the Subway trademark located at 239 Menzies Street in the City of Victoria, British Columbia." Further, the following paragraph of the response to civil claim stated "The claim against the Defendants ought to be amended and Exmac Holdings Limited substituted in the place of all current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White's first affidavit describes a number of corporate searches conducted but there are no facts in this affidavit relating to the claim. Paragraphs 14 and 15 of that affidavit are conclusory statements; not statements of fact personally known to Ms.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White swore a fourth affidavit on June 1, 2017. Paragraph 2 of that affidavit purports to be a paragraph concerning the plaintiff's actions on or about May 28, 2012. Paragraph 3 provides the same sort of statement. While it is somewhat unclear, there is no suggestion that Ms. White was at or near the restaurant on May 28, 2012, when the plaintiff was present and she did not see the plaintiff beginning to consume the sandwich or any of the other matters of concern which are stated in para. 2. At best the paragraphs are hearsay and are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 3 deals with some attempt by the restaurant to placate the plaintiff. Again, this is hearsay evidence it is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balance of the affidavit deals with matters of procedure which do not address the issues before this court. At para. 30 of the affidavit referred to the following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April 28, 2016 we provided the defendants with further documents. On or about April 29, 2016 we sent another letter to the defendants in regard to medical records. Now shown to me and marked as Exhibit N to this my affidavit is a true copy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Exhibit "N" to the affidavit of Ms. White is misidentified and is in fact a letter written by the defendants' counsel on March 7, 2016, which says (1) that none of the defendants named in this action owned or operated the premises where the incident that is the subject of this action is alleged to have taken place; and, (2) the Subway location at 239 Menzies Street in Victoria, British Columbia, was operated by Exmac Holdings Ltd.; and, (3) any employees working at that location would have been employees of Exmac Holdings Ltd.; and (4) that subsequently Exmac Holdings Ltd. has been amalgamated with 0968169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 Exhibit "N" states that neither SFS nor SRS had any involvement in the operation of the Subway location located at 239 Menzies Street,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Exhibit "N" also notes that the plaintiff has named two other defendants in this action "Subway" and "Subway Restaurant". As pleaded in the response to civil claim neither of these entities are companies nor are they legal entities against which an action can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contents of Exhibit "N" are not admissible as evidence in support of the defendants' application but are referred to for the purpose of demonstrating that for some time the plaintiff has been aware of the problematic nature of its claim against the defendants and that advice has been repeated by the defendants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para. 31 there follows the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letter then states that the party to which the defendants state was the correct party is in fact not a legal entity and provides new detail as to who the correct party that should be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the affidavits of Ms. White contain no first-hand information about the owners or operators of the restaurant in question. Therefore the only evidence which is admissible on that issue has been filed by the defendants. As such, there is no conflict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therefore is a case which can be decided pursuant to Rule 9-6 as the Court has the facts necessary to decide the case. Rule 9-6(4)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On hearing an application under subrule (2) or (4),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noted in the </w:t>
      </w:r>
      <w:r>
        <w:rPr>
          <w:rFonts w:ascii="arial" w:eastAsia="arial" w:hAnsi="arial" w:cs="arial"/>
          <w:i/>
          <w:color w:val="000000"/>
          <w:sz w:val="20"/>
          <w:lang w:val="en-US" w:eastAsia="en-US" w:bidi="ar-SA"/>
        </w:rPr>
        <w:t>Northwest Organics, Limited Partnerships v. Maguire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2015 BCSC 1918</w:t>
        </w:r>
      </w:hyperlink>
      <w:r>
        <w:rPr>
          <w:rFonts w:ascii="arial" w:eastAsia="arial" w:hAnsi="arial" w:cs="arial"/>
          <w:color w:val="000000"/>
          <w:sz w:val="20"/>
          <w:lang w:val="en-US" w:eastAsia="en-US" w:bidi="ar-SA"/>
        </w:rPr>
        <w:t>, there is a high and difficult threshold to be met on application under this rule such as the rule is not often used. The applicant must establish there is no triable issue of fact. Issues of credibility may not be fatal to an application as long as they do not affect the central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in this case has not called evidence to support the claim. Nothing is said in any affidavit filed by the plaintiff which would support the proposition that the first two defendants named had any involvement whatsoever in the ownership, occupation, or operation of the restaurant during the period in question. As a result the plaintiff is bound to lose. This is not a case where the plaintiff has led evidence in support of allegations in the pleadings. The pleadings are woefully inadequate and do not assert a claim properly brought against the defendants. Nothing in either of the affidavits sworn by the legal assistant for counsel for the plaintiff in any way opposes the factual material contained in the defendants'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 the named defendant "Subway" is a trademark which is not a legal person and therefore not amenable to a legal action. Likewise "Subway Restaurant" is not a legal person and not amenable to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relies on the case of </w:t>
      </w:r>
      <w:r>
        <w:rPr>
          <w:rFonts w:ascii="arial" w:eastAsia="arial" w:hAnsi="arial" w:cs="arial"/>
          <w:i/>
          <w:color w:val="000000"/>
          <w:sz w:val="20"/>
          <w:lang w:val="en-US" w:eastAsia="en-US" w:bidi="ar-SA"/>
        </w:rPr>
        <w:t>Fraser v. U-Need-A-Cab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[1985] O.J. No. 2482</w:t>
        </w:r>
      </w:hyperlink>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17 D.L.R. (4th) 574</w:t>
        </w:r>
      </w:hyperlink>
      <w:r>
        <w:rPr>
          <w:rFonts w:ascii="arial" w:eastAsia="arial" w:hAnsi="arial" w:cs="arial"/>
          <w:color w:val="000000"/>
          <w:sz w:val="20"/>
          <w:lang w:val="en-US" w:eastAsia="en-US" w:bidi="ar-SA"/>
        </w:rPr>
        <w:t xml:space="preserve"> where the Ontario Court of Appeal found that the plaintiff had entered into a contract with the defendants when she placed her order for a cab with the defendants and the defendants accepted that order. The fact that the defendants elected to use an independently owned cab did not alter the fact that a contract was entered into by the plaintiff and defendant. This case, decided before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can be distinguished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case at bar, the plaintiff attended at the restaurant operated by Exmac Holdings Ltd., which company had been assigned the rights to operate the franchise and use the logo of Subway. The plaintiff placed the order with an employee of Exmac Holdings Ltd. and therefore did not enter into a contract with SFS or SRS.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the Supreme Court of Canada discussed the concept of vicarious liability in the employee and independent contractor context and provided guidance on the approach to be taken in determining whether a person was an employee or independent contractor: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What is the difference between an employee and an independent contractor and why should vicarious liability more likely be imposed in the former case than in the latter? This question has been the subject of much debate. The answer lies with the element of control that the employer has over the direct tortfeasor (the worker). If the employer does not control the activities of the worker, the policy justifications underlying vicarious liability will not be satisfied. See </w:t>
      </w:r>
      <w:r>
        <w:rPr>
          <w:rFonts w:ascii="arial" w:eastAsia="arial" w:hAnsi="arial" w:cs="arial"/>
          <w:i/>
          <w:color w:val="000000"/>
          <w:sz w:val="20"/>
          <w:lang w:val="en-US" w:eastAsia="en-US" w:bidi="ar-SA"/>
        </w:rPr>
        <w:t>Flannigan</w:t>
      </w:r>
      <w:r>
        <w:rPr>
          <w:rFonts w:ascii="arial" w:eastAsia="arial" w:hAnsi="arial" w:cs="arial"/>
          <w:color w:val="000000"/>
          <w:sz w:val="20"/>
          <w:lang w:val="en-US" w:eastAsia="en-US" w:bidi="ar-SA"/>
        </w:rPr>
        <w:t>, supra, at pp. 31-32: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basis for vicarious liability discloses a precise limitation on the scope of the doctrine. If the employer does not control the activities of the worker it is clear that vicarious liability should not be imposed, for then insulated risk-taking [by the employer] does not occur. Only the worker, authorized to complete a task, could have affected the probability of loss, for he alone had control in any respect. Thus, because there is no mischief where employer control is absent, no remedy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Explained another way, the main policy concerns justifying vicarious liability are to provide a just and practical remedy for the plaintiff's harm and to encourage the deterrence of future harm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supra, at para. 29). Vicarious liability is fair in principle because the hazards of the business should be borne by the business itself; thus, it does not make sense to anchor liability on an employer for acts of an independent contractor, someone who was in business on his or her own account. In addition, the employer does not have the same control over an independent contractor as over an employee to reduce accidents and intentional wrongs by efficient organization and supervision. Each of these policy justifications is relevant to the ability of the employer to control the activities of the employee, justifications which are generally deficient or missing in the case of an independent contractor. As discussed above, the policy justifications for imposing vicarious liability are relevant where the employer is able to control the activities of the employee but may be deficient in the case of an independent contractor over whom the employer has little control. However, control is not the only factor to consider in determining if a worker is an employee or an independent contractor. For the reasons discussed below, reliance on control alone can be misleading, and there are other relevant factors which should be considered in making this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Although there is no universal test to determine whether a person is an employee or an independent contractor, I agree with MacGuigan J.A. that a persuasive approach to the issue is that taken by Cooke J. in Market Investigations, supra. The central question is whether the person who has been engaged to perform the services is performing them as a person in business on his own account. In making this determination, the level of control the employer has over the worker's activities will always be a factor. However, other factors to consider include whether the worker provides his or her own equipment, whether the worker hires his or her own helpers, the degree of financial risk taken by the worker, the degree of responsibility for investment and management held by the worker, and the worker's opportunity for profit in the performance of his or her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It bears repeating that the above factors constitute a non-exhaustive list, and there is no set formula as to their application. The relative weight of each will depend on the particular facts and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based on a review of the above authority, did not sue the direct tortfeasor, the worker in the restaurant, or the employer of that worker, Exmac Holdings Ltd. There is no claim made that ties the current defendants in any relationship to either the direct tortfeasor or to their employer. Because those ties are lacking, it would make no difference in this case if the relationship between the direct tortfeasor and their employer was pleaded as employer and employee or employer and independent contractor. The plaintiff's claim addresses neither of these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a result this action is dismissed with costs in favour of the present defendants, SFS and SRS payable by the plaintiff to be assessed on Appendix B, Scale B. I decline to fix costs at this time and there will be a reference to the Registrar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Ciolli v. Galley, [2010] B.C.J. No. 143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M072274, M082554 and M084005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C.P.C. (6th)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185 A.C.W.S. (3d) 885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Micheline Ciolli, Plaintiff, and James Galley, Defendant And between Micheline Ciolli, Plaintiff, and BMW Canada Inc., Cobra Integrated Systems Ltd. and Scott Walter Knutsen, Defendants And between Micheline Ciolli, Plaintiff, and Yvonne Bauche and Michael Andre Bauche,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6"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1"/>
      <w:bookmarkEnd w:id="26"/>
      <w:r>
        <w:rPr>
          <w:rFonts w:ascii="arial" w:eastAsia="arial" w:hAnsi="arial" w:cs="arial"/>
          <w:b/>
          <w:color w:val="000000"/>
          <w:sz w:val="20"/>
          <w:lang w:val="en-US" w:eastAsia="en-US" w:bidi="ar-SA"/>
        </w:rPr>
        <w:t>Civil litigation — Civil procedure — Trials — Jury trials — Verdicts — Application by the defendant Galley for a rejection of the jury's verdict and a new trial dismissed — The jury initially awarded the plaintiff $12,451,000, for damages sustained in three motor vehicle accidents, but the award was later reduced to $6,278,000 when $6,500,000 for non-pecuniary loss was reduced to $327,000 — 55 per cent of the damages were attributed to Galley — A trial judge could not reject a jury's verdict unless there was no evidence to support the jury's findings — There was evidence relating to the plaintiff's claim for pecuniary loss.</w:t>
      </w:r>
    </w:p>
    <w:p>
      <w:pPr>
        <w:jc w:val="both"/>
        <w:rPr>
          <w:rFonts w:ascii="arial" w:eastAsia="arial" w:hAnsi="arial" w:cs="arial"/>
          <w:sz w:val="20"/>
          <w:lang w:val="en-US" w:eastAsia="en-US" w:bidi="ar-SA"/>
        </w:rPr>
      </w:pPr>
      <w:bookmarkStart w:id="27" w:name="Legislation Cited_1"/>
      <w:bookmarkEnd w:id="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7"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keepNext/>
        <w:spacing w:before="240" w:line="340" w:lineRule="atLeast"/>
        <w:rPr>
          <w:rFonts w:ascii="arial" w:eastAsia="arial" w:hAnsi="arial" w:cs="arial"/>
          <w:sz w:val="20"/>
          <w:lang w:val="en-US" w:eastAsia="en-US" w:bidi="ar-SA"/>
        </w:rPr>
      </w:pPr>
      <w:bookmarkStart w:id="28" w:name="Cases Cited"/>
      <w:bookmarkEnd w:id="28"/>
      <w:r>
        <w:rPr>
          <w:rFonts w:ascii="arial" w:eastAsia="arial" w:hAnsi="arial" w:cs="arial"/>
          <w:b/>
          <w:color w:val="000000"/>
          <w:sz w:val="28"/>
          <w:lang w:val="en-US" w:eastAsia="en-US" w:bidi="ar-SA"/>
        </w:rPr>
        <w:t>Cases cited:</w:t>
      </w:r>
    </w:p>
    <w:p>
      <w:pPr>
        <w:spacing w:line="60" w:lineRule="exact"/>
        <w:rPr>
          <w:rFonts w:ascii="arial" w:eastAsia="arial" w:hAnsi="arial" w:cs="arial"/>
          <w:sz w:val="20"/>
          <w:lang w:val="en-US" w:eastAsia="en-US" w:bidi="ar-SA"/>
        </w:rPr>
      </w:pPr>
      <w:r>
        <w:pict>
          <v:line id="_x0000_s1038"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Bell v. Stubbins</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(1991), 7 B.C.A.C. 177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Boota v. Dhaliwal</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2009 BCCA 586</w:t>
        </w:r>
      </w:hyperlink>
      <w:r>
        <w:rPr>
          <w:rFonts w:ascii="arial" w:eastAsia="arial" w:hAnsi="arial" w:cs="arial"/>
          <w:color w:val="000000"/>
          <w:sz w:val="20"/>
          <w:lang w:val="en-US" w:eastAsia="en-US" w:bidi="ar-SA"/>
        </w:rPr>
        <w:t xml:space="preserve"> (excerpts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Brito (Litigation Guardian) v. Woolley,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aff'd, </w:t>
      </w:r>
      <w:hyperlink r:id="rId72"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16 B.C.L.R. (4th) 220</w:t>
        </w:r>
      </w:hyperlink>
      <w:r>
        <w:rPr>
          <w:rFonts w:ascii="arial" w:eastAsia="arial" w:hAnsi="arial" w:cs="arial"/>
          <w:color w:val="000000"/>
          <w:sz w:val="20"/>
          <w:lang w:val="en-US" w:eastAsia="en-US" w:bidi="ar-SA"/>
        </w:rPr>
        <w:t>, leave to appeal ref'd, [2004] 1 S.C.R. vi. (excerpts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Doell v. Moskyliuk</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2004 BCSC 1502</w:t>
        </w:r>
      </w:hyperlink>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34 B.C.L.R. (4th) 191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Force v. Gibbons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(1978), 9 B.C.L.R. 144</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93 D.L.R. (3d) 626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Goulboume v. Buoy</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2004 ABQB 70</w:t>
        </w:r>
      </w:hyperlink>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350 A.R. 245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Halliday (Next friend of) v. Sanrud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(1979), 15 B.C.L.R. 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Horita (Committee of) v. Graham</w:t>
      </w:r>
      <w:r>
        <w:rPr>
          <w:rFonts w:ascii="arial" w:eastAsia="arial" w:hAnsi="arial" w:cs="arial"/>
          <w:color w:val="000000"/>
          <w:sz w:val="20"/>
          <w:lang w:val="en-US" w:eastAsia="en-US" w:bidi="ar-SA"/>
        </w:rPr>
        <w:t xml:space="preserve"> (18 December 1997), Vancouver B964313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(excerpts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Johnson v. Laing</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2004 BCCA 364</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30 B.C.L.R. (4th) 103</w:t>
        </w:r>
      </w:hyperlink>
      <w:r>
        <w:rPr>
          <w:rFonts w:ascii="arial" w:eastAsia="arial" w:hAnsi="arial" w:cs="arial"/>
          <w:color w:val="000000"/>
          <w:sz w:val="20"/>
          <w:lang w:val="en-US" w:eastAsia="en-US" w:bidi="ar-SA"/>
        </w:rPr>
        <w:t>, leave to appeal ref'd, [2005] 1 S.C.R. 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Krangle (Litigation Guardian) v. Brisco</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Leblanc v. Penticton (City)</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(1981), 28 B.C.L.R. 179</w:t>
        </w:r>
      </w:hyperlink>
      <w:r>
        <w:rPr>
          <w:rFonts w:ascii="arial" w:eastAsia="arial" w:hAnsi="arial" w:cs="arial"/>
          <w:color w:val="000000"/>
          <w:sz w:val="20"/>
          <w:lang w:val="en-US" w:eastAsia="en-US" w:bidi="ar-SA"/>
        </w:rPr>
        <w:t xml:space="preserve"> at 189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MacLean v. Wallace</w:t>
      </w:r>
      <w:r>
        <w:rPr>
          <w:rFonts w:ascii="arial" w:eastAsia="arial" w:hAnsi="arial" w:cs="arial"/>
          <w:color w:val="000000"/>
          <w:sz w:val="20"/>
          <w:lang w:val="en-US" w:eastAsia="en-US" w:bidi="ar-SA"/>
        </w:rPr>
        <w:t xml:space="preserve"> (2 September 1999), Docket No. 93-CU-072555 (Ont. Sup. Ct. J.). (excerpts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(1993), 81 B.C.L.R. (2d) 328</w:t>
        </w:r>
      </w:hyperlink>
      <w:r>
        <w:rPr>
          <w:rFonts w:ascii="arial" w:eastAsia="arial" w:hAnsi="arial" w:cs="arial"/>
          <w:color w:val="000000"/>
          <w:sz w:val="20"/>
          <w:lang w:val="en-US" w:eastAsia="en-US" w:bidi="ar-SA"/>
        </w:rPr>
        <w:t xml:space="preserve"> (S.C.), aff'd </w:t>
      </w:r>
      <w:hyperlink r:id="rId82" w:history="1">
        <w:r>
          <w:rPr>
            <w:rFonts w:ascii="arial" w:eastAsia="arial" w:hAnsi="arial" w:cs="arial"/>
            <w:i/>
            <w:color w:val="0077CC"/>
            <w:sz w:val="20"/>
            <w:u w:val="single"/>
            <w:shd w:val="clear" w:color="auto" w:fill="FFFFFF"/>
            <w:lang w:val="en-US" w:eastAsia="en-US" w:bidi="ar-SA"/>
          </w:rPr>
          <w:t>(1996), 19 B.C.L.R. (3d) 1</w:t>
        </w:r>
      </w:hyperlink>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74 B.C.A.C. 304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Mitchell v. We Care Health Services Inc.</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2004 BCSC 902</w:t>
        </w:r>
      </w:hyperlink>
      <w:r>
        <w:rPr>
          <w:rFonts w:ascii="arial" w:eastAsia="arial" w:hAnsi="arial" w:cs="arial"/>
          <w:color w:val="000000"/>
          <w:sz w:val="20"/>
          <w:lang w:val="en-US" w:eastAsia="en-US" w:bidi="ar-SA"/>
        </w:rPr>
        <w:t xml:space="preserve"> (excerpts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Muis v. Alekson</w:t>
      </w:r>
      <w:r>
        <w:rPr>
          <w:rFonts w:ascii="arial" w:eastAsia="arial" w:hAnsi="arial" w:cs="arial"/>
          <w:color w:val="000000"/>
          <w:sz w:val="20"/>
          <w:lang w:val="en-US" w:eastAsia="en-US" w:bidi="ar-SA"/>
        </w:rPr>
        <w:t>, [1965], 53 W.W.R. 255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Paesch v. Teskey</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2004 ABQB 111</w:t>
        </w:r>
      </w:hyperlink>
      <w:r>
        <w:rPr>
          <w:rFonts w:ascii="arial" w:eastAsia="arial" w:hAnsi="arial" w:cs="arial"/>
          <w:color w:val="000000"/>
          <w:sz w:val="20"/>
          <w:lang w:val="en-US" w:eastAsia="en-US" w:bidi="ar-SA"/>
        </w:rPr>
        <w:t xml:space="preserve">, var'd on other grounds, </w:t>
      </w:r>
      <w:hyperlink r:id="rId85" w:history="1">
        <w:r>
          <w:rPr>
            <w:rFonts w:ascii="arial" w:eastAsia="arial" w:hAnsi="arial" w:cs="arial"/>
            <w:i/>
            <w:color w:val="0077CC"/>
            <w:sz w:val="20"/>
            <w:u w:val="single"/>
            <w:shd w:val="clear" w:color="auto" w:fill="FFFFFF"/>
            <w:lang w:val="en-US" w:eastAsia="en-US" w:bidi="ar-SA"/>
          </w:rPr>
          <w:t>2005 ABCA 209</w:t>
        </w:r>
      </w:hyperlink>
      <w:r>
        <w:rPr>
          <w:rFonts w:ascii="arial" w:eastAsia="arial" w:hAnsi="arial" w:cs="arial"/>
          <w:color w:val="000000"/>
          <w:sz w:val="20"/>
          <w:lang w:val="en-US" w:eastAsia="en-US" w:bidi="ar-SA"/>
        </w:rPr>
        <w:t>, leave to appeal ref'd, [2005] 3 S.C.R. 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Palpal-Latoc v. Berstad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ABQB 236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15 Alta. L.R. (4th) 187</w:t>
      </w:r>
      <w:r>
        <w:rPr>
          <w:rFonts w:ascii="arial" w:eastAsia="arial" w:hAnsi="arial" w:cs="arial"/>
          <w:color w:val="000000"/>
          <w:sz w:val="20"/>
          <w:lang w:val="en-US" w:eastAsia="en-US" w:bidi="ar-SA"/>
        </w:rPr>
        <w:t xml:space="preserve">, var'd on other grounds, </w:t>
      </w:r>
      <w:hyperlink r:id="rId86" w:history="1">
        <w:r>
          <w:rPr>
            <w:rFonts w:ascii="arial" w:eastAsia="arial" w:hAnsi="arial" w:cs="arial"/>
            <w:i/>
            <w:color w:val="0077CC"/>
            <w:sz w:val="20"/>
            <w:u w:val="single"/>
            <w:shd w:val="clear" w:color="auto" w:fill="FFFFFF"/>
            <w:lang w:val="en-US" w:eastAsia="en-US" w:bidi="ar-SA"/>
          </w:rPr>
          <w:t>2004 ABCA 92</w:t>
        </w:r>
      </w:hyperlink>
      <w:r>
        <w:rPr>
          <w:rFonts w:ascii="arial" w:eastAsia="arial" w:hAnsi="arial" w:cs="arial"/>
          <w:color w:val="000000"/>
          <w:sz w:val="20"/>
          <w:lang w:val="en-US" w:eastAsia="en-US" w:bidi="ar-SA"/>
        </w:rPr>
        <w:t xml:space="preserve">, supplemented by </w:t>
      </w:r>
      <w:hyperlink r:id="rId87" w:history="1">
        <w:r>
          <w:rPr>
            <w:rFonts w:ascii="arial" w:eastAsia="arial" w:hAnsi="arial" w:cs="arial"/>
            <w:i/>
            <w:color w:val="0077CC"/>
            <w:sz w:val="20"/>
            <w:u w:val="single"/>
            <w:shd w:val="clear" w:color="auto" w:fill="FFFFFF"/>
            <w:lang w:val="en-US" w:eastAsia="en-US" w:bidi="ar-SA"/>
          </w:rPr>
          <w:t>2004 ABCA 212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93 B.C.L.R. (4th) 300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Rieger v. Burgess</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(1988), 66 Sask.R. 1</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[1988] 4 W.W.R. 577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39 B.C.L.R. (4th) 185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Segreti v. Toronto (City)</w:t>
      </w:r>
      <w:r>
        <w:rPr>
          <w:rFonts w:ascii="arial" w:eastAsia="arial" w:hAnsi="arial" w:cs="arial"/>
          <w:color w:val="000000"/>
          <w:sz w:val="20"/>
          <w:lang w:val="en-US" w:eastAsia="en-US" w:bidi="ar-SA"/>
        </w:rPr>
        <w:t xml:space="preserve"> (1981), 20 C.P.C. 110 at 114 (Ont.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Smith v. Foussias</w:t>
      </w:r>
      <w:r>
        <w:rPr>
          <w:rFonts w:ascii="arial" w:eastAsia="arial" w:hAnsi="arial" w:cs="arial"/>
          <w:color w:val="000000"/>
          <w:sz w:val="20"/>
          <w:lang w:val="en-US" w:eastAsia="en-US" w:bidi="ar-SA"/>
        </w:rPr>
        <w:t xml:space="preserve"> (31 January 1996), Court File No. 89-CU-356998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721-22 (paras. 104, 114), </w:t>
      </w:r>
      <w:hyperlink r:id="rId92"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xml:space="preserve"> (excerpts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Vaillancourt v. Molnar (Estate)</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8 B.C.L.R. (4th) 260</w:t>
        </w:r>
      </w:hyperlink>
      <w:r>
        <w:rPr>
          <w:rFonts w:ascii="arial" w:eastAsia="arial" w:hAnsi="arial" w:cs="arial"/>
          <w:color w:val="000000"/>
          <w:sz w:val="20"/>
          <w:lang w:val="en-US" w:eastAsia="en-US" w:bidi="ar-SA"/>
        </w:rPr>
        <w:t>, leave to appeal ref'd, [2003] 2 S.C.R. xi.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Texts cited:</w:t>
      </w:r>
    </w:p>
    <w:p>
      <w:pPr>
        <w:spacing w:line="60" w:lineRule="exact"/>
        <w:rPr>
          <w:rFonts w:ascii="arial" w:eastAsia="arial" w:hAnsi="arial" w:cs="arial"/>
          <w:sz w:val="20"/>
          <w:lang w:val="en-US" w:eastAsia="en-US" w:bidi="ar-SA"/>
        </w:rPr>
      </w:pPr>
      <w:r>
        <w:pict>
          <v:line id="_x0000_s1039" style="position:absolute;z-index:251813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Wilson, R.D., N.J. Garson, and C.E. Hinkson. </w:t>
      </w:r>
      <w:r>
        <w:rPr>
          <w:rFonts w:ascii="arial" w:eastAsia="arial" w:hAnsi="arial" w:cs="arial"/>
          <w:i/>
          <w:color w:val="000000"/>
          <w:sz w:val="20"/>
          <w:lang w:val="en-US" w:eastAsia="en-US" w:bidi="ar-SA"/>
        </w:rPr>
        <w:t>CIVJI: Civil Jury Instructions</w:t>
      </w:r>
      <w:r>
        <w:rPr>
          <w:rFonts w:ascii="arial" w:eastAsia="arial" w:hAnsi="arial" w:cs="arial"/>
          <w:color w:val="000000"/>
          <w:sz w:val="20"/>
          <w:lang w:val="en-US" w:eastAsia="en-US" w:bidi="ar-SA"/>
        </w:rPr>
        <w:t>. 2d ed. (Vancouver, B.C.: Continuing Legal Education Society of British Columbia, 2009) (excerpts only).</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1"/>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865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D.S.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James Galley: A.M. Gunn, Jr., R.W.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Bauche Defendants: S.B.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BMW Canada Inc.: A.B.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Cobra Integrated Systems Ltd. and Scott Knutsen: J.D.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1"/>
      <w:bookmarkEnd w:id="30"/>
      <w:r>
        <w:pict>
          <v:line id="_x0000_s1041" style="position:absolute;z-index:251908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L.A. LOO J."/>
            <w:bookmarkEnd w:id="31"/>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James Galley for the following orders: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jury's verdict be rejected in its entirety;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mistrial be declared;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new trial be directed on all quantum issues;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be remitted to the trial list generally, with the costs of the first trial to be in the discretion of the judge presiding at the second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Micheline Ciolli was injured in four separate accidents. The first accident occurred on September 1, 2003 at the Pacific National Exhibition in what has been referred to as the "PNE accident". As a result of the PNE accident, Ms. Ciolli underwent surgery in May 2006. She was recovering from the PNE accident and the surgery when she was injured in the first of three motor vehicle accidents. The first motor vehicle accident occurred on December 21, 2006 when Ms. Ciolli's vehicle was T-boned by a vehicle driven by Yvonne Bauche and owned by her husband Michael Bauche. The second motor vehicle accident occurred on March 5, 2007 when Ms. Ciolli was rear ended by a truck driven by James Galley. The third motor vehicle accident occurred on April 3, 2008 when Ms. Ciolli was rear ended by a vehicle driven by Scott Knutsen, owned by BMW Canada Inc., and leased by Cobra Integrated Systems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Ciolli commenced four separate actions as a result of the PNE accident and the three motor vehicle accidents. The four actions were ordered to be heard together, but the action relating to the PNE accident was settled, leaving the three remaining motor vehicle actions to proceed to trial before a jury. The defendants in each action admitted liability: the only issue was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26, 2009 following six days of trial, the jury returned the following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earning</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$5,600,000.00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303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$16,000.00</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4287"/>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$12,451,000.00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jury attributed five percent of the total damages to the first motor vehicle accident, 55 percent to the second motor vehicle accident, and 40 percent to the third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consultation with counsel, the jury was redirected and subsequently indicated that it intended to award Ms. Ciolli the rough upper limit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since agreed that as of the date of the jury's verdict, the prevailing value of the upper limit on damages for non-pecuniary loss is $327,000, and this results in the following quantum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$327,000.00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earning</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$5,600,000.00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418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$6,278,000.00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this application is brought by James Galley, the defendant in the second action, it is supported by all of the defendants in the first action and the third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pause to note that at trial all the defendants in the three actions were represented by one counsel. On this application there are now different counsel for the defendants in each of the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contend that among Canadian jury quantum assessments, this jury's verdict stands alone and is an exceptional case where the law authorizes and mandates judicial intervention. The defendants are appealing the jury's award to the Court of Appeal, but agree that this application for a mistrial should be heard before judgment is entered in this Court. The parties have agreed that the defendant's written submission and transcript of this application will form part of the record at trial and be before the Court of Appeal on the hearing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has provided an extensive book of authorities, the index to which I have included as Appendix 1. However, I have decided to confine my decision to what counsel agree is the leading case on the power of a trial judge to set aside a jury's verdict: </w:t>
      </w:r>
      <w:r>
        <w:rPr>
          <w:rFonts w:ascii="arial" w:eastAsia="arial" w:hAnsi="arial" w:cs="arial"/>
          <w:i/>
          <w:color w:val="000000"/>
          <w:sz w:val="20"/>
          <w:lang w:val="en-US" w:eastAsia="en-US" w:bidi="ar-SA"/>
        </w:rPr>
        <w:t>Leblanc v. Penticton (City)</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(1981), 28 B.C.L.R. 179</w:t>
        </w:r>
      </w:hyperlink>
      <w:r>
        <w:rPr>
          <w:rFonts w:ascii="arial" w:eastAsia="arial" w:hAnsi="arial" w:cs="arial"/>
          <w:color w:val="000000"/>
          <w:sz w:val="20"/>
          <w:lang w:val="en-US" w:eastAsia="en-US" w:bidi="ar-SA"/>
        </w:rPr>
        <w:t xml:space="preserve"> at 184. Only in limited circumstances may a trial judge refuse to accept a jury's verdict; when he or she concludes "that there is no evidence to support the findings of the jury; or where the jury gives an answer to a question which cannot, in law, provide a foundation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LeBlanc</w:t>
      </w:r>
      <w:r>
        <w:rPr>
          <w:rFonts w:ascii="arial" w:eastAsia="arial" w:hAnsi="arial" w:cs="arial"/>
          <w:color w:val="000000"/>
          <w:sz w:val="20"/>
          <w:lang w:val="en-US" w:eastAsia="en-US" w:bidi="ar-SA"/>
        </w:rPr>
        <w:t xml:space="preserve"> was affirmed by the Court of Appeal in </w:t>
      </w:r>
      <w:r>
        <w:rPr>
          <w:rFonts w:ascii="arial" w:eastAsia="arial" w:hAnsi="arial" w:cs="arial"/>
          <w:i/>
          <w:color w:val="000000"/>
          <w:sz w:val="20"/>
          <w:lang w:val="en-US" w:eastAsia="en-US" w:bidi="ar-SA"/>
        </w:rPr>
        <w:t>Johnson v. Laing</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2004 BCCA 364</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30 B.C.L.R. (4th) 103</w:t>
        </w:r>
      </w:hyperlink>
      <w:r>
        <w:rPr>
          <w:rFonts w:ascii="arial" w:eastAsia="arial" w:hAnsi="arial" w:cs="arial"/>
          <w:color w:val="000000"/>
          <w:sz w:val="20"/>
          <w:lang w:val="en-US" w:eastAsia="en-US" w:bidi="ar-SA"/>
        </w:rPr>
        <w:t xml:space="preserve"> at paras. 125-126.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argue that a trial judge who determines that a jury verdict should not be accepted, should direct a new trial in respect of all heads of quantum. In advancing this proposition, the defendants rely on the following passages in </w:t>
      </w:r>
      <w:r>
        <w:rPr>
          <w:rFonts w:ascii="arial" w:eastAsia="arial" w:hAnsi="arial" w:cs="arial"/>
          <w:i/>
          <w:color w:val="000000"/>
          <w:sz w:val="20"/>
          <w:lang w:val="en-US" w:eastAsia="en-US" w:bidi="ar-SA"/>
        </w:rPr>
        <w:t>Smith v. Foussias</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[1996] O.J. No. 1426</w:t>
        </w:r>
      </w:hyperlink>
      <w:r>
        <w:rPr>
          <w:rFonts w:ascii="arial" w:eastAsia="arial" w:hAnsi="arial" w:cs="arial"/>
          <w:color w:val="000000"/>
          <w:sz w:val="20"/>
          <w:lang w:val="en-US" w:eastAsia="en-US" w:bidi="ar-SA"/>
        </w:rPr>
        <w:t xml:space="preserve"> (Ct. J. (Gen. Div.)) at paras. 11-16: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my view, this jury clearly went off the rails. There was no evidence to support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perhaps I'm at fault for even allowing the question to be put in those circumstances. Perhaps even greater significance than that is the apparent perversity of awarding someone damages for a year's loss of income and no damages whatever for pain and suffering. Quite obviously those answers are inconsistent and cannot 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has been urged upon me that I have jurisdiction not only to declare the jury's verdict to be perverse, but to substitute my own view on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assessment of damages, both special and general. I indicated to counsel that the cases did persuade me that I had jurisdiction to set aside the jury's answers and award as perverse, but did not have the power to substitute my view as to the appropriate amount for damages, particularly in the case where the jury had awarded absolutely nothing, as in the case of the general damages in this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also indicated that even if I did have such a discretion, that I do not consider this to be a proper case in which to exercise it. The defendant filed the jury notice in this case and is entitled to have these matters determined by a jury and not by a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 would also consider it completely inappropriate and impractical to preserve the jury's assessment for loss of income while setting aside all its other findings. The matter, in my view, quite clearly should be retried in its entirety in the absence of a settlement of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remaining question is one which could only interest lawyers, and would have no interest I think to the man in the street; and that is, who is it that can direct the new trial? I think I can. And I intend to do so. If I'm wrong, an appeal can be taken to the Court of Appeal; the Court of Appeal can then tell me that I was wrong in directing a new trial, and proceed to direct a new trial themselves. That would appear to me to be a monumental waste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On the other hand, I can decline to direct a new trial; someone can appeal it to the Court of Appeal; the Court of Appeal can tell me I was wrong and should have directed a new trial, and proceed to direct a new trial themselves. The end result, I think, no matter which route is taken, would be the direction of a new trial. So I'm going to make so bold as to do that myself, and hope that counsel will between them agree that there is no point in appealing my decision, because in the end, the end result will be exactly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have been provided with no authority that </w:t>
      </w:r>
      <w:r>
        <w:rPr>
          <w:rFonts w:ascii="arial" w:eastAsia="arial" w:hAnsi="arial" w:cs="arial"/>
          <w:i/>
          <w:color w:val="000000"/>
          <w:sz w:val="20"/>
          <w:lang w:val="en-US" w:eastAsia="en-US" w:bidi="ar-SA"/>
        </w:rPr>
        <w:t>Smith v. Foussias</w:t>
      </w:r>
      <w:r>
        <w:rPr>
          <w:rFonts w:ascii="arial" w:eastAsia="arial" w:hAnsi="arial" w:cs="arial"/>
          <w:color w:val="000000"/>
          <w:sz w:val="20"/>
          <w:lang w:val="en-US" w:eastAsia="en-US" w:bidi="ar-SA"/>
        </w:rPr>
        <w:t xml:space="preserve"> has been followed in this Province and I do not believe that it reflects the law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written submission carefully reviews the evidence that was before the jury. In oral argument, Mr. Gunn concedes that there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evidence before the jury to sustain an award, but argues that there was </w:t>
      </w:r>
      <w:r>
        <w:rPr>
          <w:rFonts w:ascii="arial" w:eastAsia="arial" w:hAnsi="arial" w:cs="arial"/>
          <w:i/>
          <w:color w:val="000000"/>
          <w:sz w:val="20"/>
          <w:lang w:val="en-US" w:eastAsia="en-US" w:bidi="ar-SA"/>
        </w:rPr>
        <w:t>no</w:t>
      </w:r>
      <w:r>
        <w:rPr>
          <w:rFonts w:ascii="arial" w:eastAsia="arial" w:hAnsi="arial" w:cs="arial"/>
          <w:color w:val="000000"/>
          <w:sz w:val="20"/>
          <w:lang w:val="en-US" w:eastAsia="en-US" w:bidi="ar-SA"/>
        </w:rPr>
        <w:t xml:space="preserve"> evidence to sustain an award of over $12 million. In other words, the award was so high that it has "no evidentiary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argued that the trial judge has a duty to determine whether or not there is any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evidence to support a jury's verdict, and if there is not, the trial judge should not enter that verdict. In advancing that proposition, the defendants rely on the decision of Mr. Justice Sigurdson in </w:t>
      </w:r>
      <w:r>
        <w:rPr>
          <w:rFonts w:ascii="arial" w:eastAsia="arial" w:hAnsi="arial" w:cs="arial"/>
          <w:i/>
          <w:color w:val="000000"/>
          <w:sz w:val="20"/>
          <w:lang w:val="en-US" w:eastAsia="en-US" w:bidi="ar-SA"/>
        </w:rPr>
        <w:t>Horita (Committee of) v. Graham</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[1997] B.C.J. No. 2880</w:t>
        </w:r>
      </w:hyperlink>
      <w:r>
        <w:rPr>
          <w:rFonts w:ascii="arial" w:eastAsia="arial" w:hAnsi="arial" w:cs="arial"/>
          <w:color w:val="000000"/>
          <w:sz w:val="20"/>
          <w:lang w:val="en-US" w:eastAsia="en-US" w:bidi="ar-SA"/>
        </w:rPr>
        <w:t xml:space="preserve"> (S.C.), where plaintiff's counsel argued that the Court should refuse to accept the jury's verdict with respect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ground that there was no evidence to support its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Justice Sigurdson referred to </w:t>
      </w:r>
      <w:r>
        <w:rPr>
          <w:rFonts w:ascii="arial" w:eastAsia="arial" w:hAnsi="arial" w:cs="arial"/>
          <w:i/>
          <w:color w:val="000000"/>
          <w:sz w:val="20"/>
          <w:lang w:val="en-US" w:eastAsia="en-US" w:bidi="ar-SA"/>
        </w:rPr>
        <w:t>LeBlanc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(1993), 81 B.C.L.R. (2d) 328</w:t>
        </w:r>
      </w:hyperlink>
      <w:r>
        <w:rPr>
          <w:rFonts w:ascii="arial" w:eastAsia="arial" w:hAnsi="arial" w:cs="arial"/>
          <w:color w:val="000000"/>
          <w:sz w:val="20"/>
          <w:lang w:val="en-US" w:eastAsia="en-US" w:bidi="ar-SA"/>
        </w:rPr>
        <w:t xml:space="preserve"> (S.C.), where Mr. Justice MacDonald concluded there was no evidence to support the jury's finding that the plaintiff was contributorily negligent,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No evidence has been interpreted to mean no reasonable evidence. In </w:t>
      </w:r>
      <w:r>
        <w:rPr>
          <w:rFonts w:ascii="arial" w:eastAsia="arial" w:hAnsi="arial" w:cs="arial"/>
          <w:i/>
          <w:color w:val="000000"/>
          <w:sz w:val="20"/>
          <w:lang w:val="en-US" w:eastAsia="en-US" w:bidi="ar-SA"/>
        </w:rPr>
        <w:t>McElroy</w:t>
      </w:r>
      <w:r>
        <w:rPr>
          <w:rFonts w:ascii="arial" w:eastAsia="arial" w:hAnsi="arial" w:cs="arial"/>
          <w:color w:val="000000"/>
          <w:sz w:val="20"/>
          <w:lang w:val="en-US" w:eastAsia="en-US" w:bidi="ar-SA"/>
        </w:rPr>
        <w:t xml:space="preserve">, MacDonald J. referred to </w:t>
      </w:r>
      <w:r>
        <w:rPr>
          <w:rFonts w:ascii="arial" w:eastAsia="arial" w:hAnsi="arial" w:cs="arial"/>
          <w:i/>
          <w:color w:val="000000"/>
          <w:sz w:val="20"/>
          <w:lang w:val="en-US" w:eastAsia="en-US" w:bidi="ar-SA"/>
        </w:rPr>
        <w:t>Avery v. Bowden</w:t>
      </w:r>
      <w:r>
        <w:rPr>
          <w:rFonts w:ascii="arial" w:eastAsia="arial" w:hAnsi="arial" w:cs="arial"/>
          <w:color w:val="000000"/>
          <w:sz w:val="20"/>
          <w:lang w:val="en-US" w:eastAsia="en-US" w:bidi="ar-SA"/>
        </w:rPr>
        <w:t xml:space="preserve"> (1856), 26 L.J.Q.B. 3 (Ex. Ch.) where Pollock C.B. said at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a point is reserved at the trial, by consent of counsel, and the verdict is to be set aside if, in the opinion of the Court, there is no evidence to support it, I am of the opinion that the expression "no evidence" must be considered to mean no reasonable evidence; and that if the evidence proposed to be left to the jury were such, that if a verdict were founded on that alone the Court would set it aside as against the evidence, such evidence would not be reasonable evidence with the meaning of a rule of this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do not find that Mr. Justice Sigurdson changed or intended to change the law as set out in </w:t>
      </w:r>
      <w:r>
        <w:rPr>
          <w:rFonts w:ascii="arial" w:eastAsia="arial" w:hAnsi="arial" w:cs="arial"/>
          <w:i/>
          <w:color w:val="000000"/>
          <w:sz w:val="20"/>
          <w:lang w:val="en-US" w:eastAsia="en-US" w:bidi="ar-SA"/>
        </w:rPr>
        <w:t>LeBlanc</w:t>
      </w:r>
      <w:r>
        <w:rPr>
          <w:rFonts w:ascii="arial" w:eastAsia="arial" w:hAnsi="arial" w:cs="arial"/>
          <w:color w:val="000000"/>
          <w:sz w:val="20"/>
          <w:lang w:val="en-US" w:eastAsia="en-US" w:bidi="ar-SA"/>
        </w:rPr>
        <w:t xml:space="preserve"> as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weight, assessment and sufficiency of the evidence are matters purely for the jury: see </w:t>
      </w:r>
      <w:r>
        <w:rPr>
          <w:rFonts w:ascii="arial" w:eastAsia="arial" w:hAnsi="arial" w:cs="arial"/>
          <w:i/>
          <w:color w:val="000000"/>
          <w:sz w:val="20"/>
          <w:lang w:val="en-US" w:eastAsia="en-US" w:bidi="ar-SA"/>
        </w:rPr>
        <w:t>Force v. Gibbons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(1978), 9 B.C.L.R 144</w:t>
        </w:r>
      </w:hyperlink>
      <w:r>
        <w:rPr>
          <w:rFonts w:ascii="arial" w:eastAsia="arial" w:hAnsi="arial" w:cs="arial"/>
          <w:color w:val="000000"/>
          <w:sz w:val="20"/>
          <w:lang w:val="en-US" w:eastAsia="en-US" w:bidi="ar-SA"/>
        </w:rPr>
        <w:t xml:space="preserve"> (S.C.) at 152. If there is some evidence on which a properly instructed jury could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motion to reject the jury's verdict on the ground of no evidence must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 In determining whether or not to set aside the verdict of the jury, I must keep in mind that I am not entitled to weigh the evidence or make findings of fact. The decision to alter the verdict of a jury when the amount assessed is inordinately low falls within a jurisdiction that may only be exercised by the Court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my view, the plaintiff is really asking me to vary the damages, not because there is no evidence to support the award made by the jury, but because given that there is no doubt that the jury found that the plaintiff was severely injured, the award for non-pecuniary damages is inordinately low. If as a trial judge I concluded that based on the decided authorities and my own assessment of the evidence it was unreasonable for the plaintiff in these circumstances to receive zero for non-pecuniary damages, would I have the jurisdiction to substitute my opinion for that of the jury? That is a jurisdiction that I do not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My jurisdiction as a trial judge sitting with a jury is limited and I cannot vary an award on the basis that I think it is inordinately 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must deal with this as an application to refuse a verdict on the ground of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Stewart, on behalf of the defendants in the first action, argues that the first accident was a very minor accident because Ms. Ciolli sought no medical attention, missed no work, and went on a holiday the following month. Yet, five percent of the damage award is equivalent to $280,000, which he contends is based on no evidence and perverse.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Gray on behalf of Mrs. Ciolli points to the position of counsel for the defendants at trial in his closing address to the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general damages is this notional number for pain. You could give somebody five million dollars for pain, and of course, it doesn't have any effect on the pain. It's just a number that is some kind of solace for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there's the question of -- and let me just add. For the first car accident, in my submission, there is nothing. The second car accident, clearly there was something. On my submission, it wasn't very substantial, but there's something. The third car accident is something less than the second one. You pick the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respectful view, the defendants are really complaining that the jury's award is inordinately high or wholly out of proportion to the evidence and cannot be reasonably supported by the evidence. That may be, but unless there is no evidence to support the jury's findings, a trial judge may not reject a jury's verdict. I cannot conclude that there was no evidence before the jury relating to Ms. Ciolli's claim for pecuniary loss, and accordingly,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BOOK OF AUTHORITIES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APPLICATION TO REJECT JURY VERDICT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 DECLARE MISTRIAL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CASE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t>
      </w:r>
      <w:r>
        <w:rPr>
          <w:rFonts w:ascii="arial" w:eastAsia="arial" w:hAnsi="arial" w:cs="arial"/>
          <w:i/>
          <w:color w:val="000000"/>
          <w:sz w:val="20"/>
          <w:lang w:val="en-US" w:eastAsia="en-US" w:bidi="ar-SA"/>
        </w:rPr>
        <w:t>Bell v. Stubbins</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(1991), 7 B.C.A.C. 177</w:t>
        </w:r>
      </w:hyperlink>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Boota v. Dhaliwal</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2009 BCCA 586</w:t>
        </w:r>
      </w:hyperlink>
      <w:r>
        <w:rPr>
          <w:rFonts w:ascii="arial" w:eastAsia="arial" w:hAnsi="arial" w:cs="arial"/>
          <w:color w:val="000000"/>
          <w:sz w:val="20"/>
          <w:lang w:val="en-US" w:eastAsia="en-US" w:bidi="ar-SA"/>
        </w:rPr>
        <w:t>. (excerpts only)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Brito (Litigation Guardian) v. Woolley,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aff'd, </w:t>
      </w:r>
      <w:hyperlink r:id="rId72"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16 B.C.L.R. (4th) 220</w:t>
        </w:r>
      </w:hyperlink>
      <w:r>
        <w:rPr>
          <w:rFonts w:ascii="arial" w:eastAsia="arial" w:hAnsi="arial" w:cs="arial"/>
          <w:color w:val="000000"/>
          <w:sz w:val="20"/>
          <w:lang w:val="en-US" w:eastAsia="en-US" w:bidi="ar-SA"/>
        </w:rPr>
        <w:t>, leave to appeal ref'd, [2004] 1 S.C.R. vi. (excerpts only)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Doell v. Moskyliuk</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2004 BCSC 1502</w:t>
        </w:r>
      </w:hyperlink>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34 B.C.L.R. (4th) 191</w:t>
        </w:r>
      </w:hyperlink>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Force v. Gibbons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(1978), 9 B.C.L.R. 144</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93 D.L.R. (3d) 626</w:t>
        </w:r>
      </w:hyperlink>
      <w:r>
        <w:rPr>
          <w:rFonts w:ascii="arial" w:eastAsia="arial" w:hAnsi="arial" w:cs="arial"/>
          <w:color w:val="000000"/>
          <w:sz w:val="20"/>
          <w:lang w:val="en-US" w:eastAsia="en-US" w:bidi="ar-SA"/>
        </w:rPr>
        <w:t xml:space="preserve"> (S.C.).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Goulboume v. Buoy</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2004 ABQB 70</w:t>
        </w:r>
      </w:hyperlink>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350 A.R. 245</w:t>
        </w:r>
      </w:hyperlink>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Halliday (Next friend of) v. Sanrud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(1979), 15 B.C.L.R. 4</w:t>
        </w:r>
      </w:hyperlink>
      <w:r>
        <w:rPr>
          <w:rFonts w:ascii="arial" w:eastAsia="arial" w:hAnsi="arial" w:cs="arial"/>
          <w:color w:val="000000"/>
          <w:sz w:val="20"/>
          <w:lang w:val="en-US" w:eastAsia="en-US" w:bidi="ar-SA"/>
        </w:rPr>
        <w:t xml:space="preserve"> (C.A.).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Horita (Committee of) v. Graham</w:t>
      </w:r>
      <w:r>
        <w:rPr>
          <w:rFonts w:ascii="arial" w:eastAsia="arial" w:hAnsi="arial" w:cs="arial"/>
          <w:color w:val="000000"/>
          <w:sz w:val="20"/>
          <w:lang w:val="en-US" w:eastAsia="en-US" w:bidi="ar-SA"/>
        </w:rPr>
        <w:t xml:space="preserve"> (18 December 1997), Vancouver B964313 (B.C.S.C.).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(excerpts only)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Johnson v. Laing</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2004 BCCA 364</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30 B.C.L.R. (4th) 103</w:t>
        </w:r>
      </w:hyperlink>
      <w:r>
        <w:rPr>
          <w:rFonts w:ascii="arial" w:eastAsia="arial" w:hAnsi="arial" w:cs="arial"/>
          <w:color w:val="000000"/>
          <w:sz w:val="20"/>
          <w:lang w:val="en-US" w:eastAsia="en-US" w:bidi="ar-SA"/>
        </w:rPr>
        <w:t>, leave to appeal ref'd, [2005] 1 S.C.R. xi.</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Krangle (Litigation Guardian) v. Brisco</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Leblanc v. Penticton (City)</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(1981), 28 B.C.L.R. 179</w:t>
        </w:r>
      </w:hyperlink>
      <w:r>
        <w:rPr>
          <w:rFonts w:ascii="arial" w:eastAsia="arial" w:hAnsi="arial" w:cs="arial"/>
          <w:color w:val="000000"/>
          <w:sz w:val="20"/>
          <w:lang w:val="en-US" w:eastAsia="en-US" w:bidi="ar-SA"/>
        </w:rPr>
        <w:t xml:space="preserve"> at 189 (C.A.).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MacLean v. Wallace</w:t>
      </w:r>
      <w:r>
        <w:rPr>
          <w:rFonts w:ascii="arial" w:eastAsia="arial" w:hAnsi="arial" w:cs="arial"/>
          <w:color w:val="000000"/>
          <w:sz w:val="20"/>
          <w:lang w:val="en-US" w:eastAsia="en-US" w:bidi="ar-SA"/>
        </w:rPr>
        <w:t xml:space="preserve"> (2 September 1999), Docket No. 93-CU-072555 (Ont. Sup. Ct. J.). (excerpts only)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(1993), 81 B.C.L.R. (2d) 328</w:t>
        </w:r>
      </w:hyperlink>
      <w:r>
        <w:rPr>
          <w:rFonts w:ascii="arial" w:eastAsia="arial" w:hAnsi="arial" w:cs="arial"/>
          <w:color w:val="000000"/>
          <w:sz w:val="20"/>
          <w:lang w:val="en-US" w:eastAsia="en-US" w:bidi="ar-SA"/>
        </w:rPr>
        <w:t xml:space="preserve"> (S.C.), aff'd </w:t>
      </w:r>
      <w:hyperlink r:id="rId82" w:history="1">
        <w:r>
          <w:rPr>
            <w:rFonts w:ascii="arial" w:eastAsia="arial" w:hAnsi="arial" w:cs="arial"/>
            <w:i/>
            <w:color w:val="0077CC"/>
            <w:sz w:val="20"/>
            <w:u w:val="single"/>
            <w:shd w:val="clear" w:color="auto" w:fill="FFFFFF"/>
            <w:lang w:val="en-US" w:eastAsia="en-US" w:bidi="ar-SA"/>
          </w:rPr>
          <w:t>(1996), 19 B.C.L.R. (3d) 1</w:t>
        </w:r>
      </w:hyperlink>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74 B.C.A.C. 304</w:t>
        </w:r>
      </w:hyperlink>
      <w:r>
        <w:rPr>
          <w:rFonts w:ascii="arial" w:eastAsia="arial" w:hAnsi="arial" w:cs="arial"/>
          <w:color w:val="000000"/>
          <w:sz w:val="20"/>
          <w:lang w:val="en-US" w:eastAsia="en-US" w:bidi="ar-SA"/>
        </w:rPr>
        <w:t xml:space="preserve"> (C.A.).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Mitchell v. We Care Health Services Inc.</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2004 BCSC 902</w:t>
        </w:r>
      </w:hyperlink>
      <w:r>
        <w:rPr>
          <w:rFonts w:ascii="arial" w:eastAsia="arial" w:hAnsi="arial" w:cs="arial"/>
          <w:color w:val="000000"/>
          <w:sz w:val="20"/>
          <w:lang w:val="en-US" w:eastAsia="en-US" w:bidi="ar-SA"/>
        </w:rPr>
        <w:t>. (excerpts only)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Muis v. Alekson</w:t>
      </w:r>
      <w:r>
        <w:rPr>
          <w:rFonts w:ascii="arial" w:eastAsia="arial" w:hAnsi="arial" w:cs="arial"/>
          <w:color w:val="000000"/>
          <w:sz w:val="20"/>
          <w:lang w:val="en-US" w:eastAsia="en-US" w:bidi="ar-SA"/>
        </w:rPr>
        <w:t>, [1965], 53 W.W.R. 255 (B.C.S.C.).</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Paesch v. Teskey</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2004 ABQB 111</w:t>
        </w:r>
      </w:hyperlink>
      <w:r>
        <w:rPr>
          <w:rFonts w:ascii="arial" w:eastAsia="arial" w:hAnsi="arial" w:cs="arial"/>
          <w:color w:val="000000"/>
          <w:sz w:val="20"/>
          <w:lang w:val="en-US" w:eastAsia="en-US" w:bidi="ar-SA"/>
        </w:rPr>
        <w:t xml:space="preserve">, var'd on other grounds, </w:t>
      </w:r>
      <w:hyperlink r:id="rId85" w:history="1">
        <w:r>
          <w:rPr>
            <w:rFonts w:ascii="arial" w:eastAsia="arial" w:hAnsi="arial" w:cs="arial"/>
            <w:i/>
            <w:color w:val="0077CC"/>
            <w:sz w:val="20"/>
            <w:u w:val="single"/>
            <w:shd w:val="clear" w:color="auto" w:fill="FFFFFF"/>
            <w:lang w:val="en-US" w:eastAsia="en-US" w:bidi="ar-SA"/>
          </w:rPr>
          <w:t>2005 ABCA 209</w:t>
        </w:r>
      </w:hyperlink>
      <w:r>
        <w:rPr>
          <w:rFonts w:ascii="arial" w:eastAsia="arial" w:hAnsi="arial" w:cs="arial"/>
          <w:color w:val="000000"/>
          <w:sz w:val="20"/>
          <w:lang w:val="en-US" w:eastAsia="en-US" w:bidi="ar-SA"/>
        </w:rPr>
        <w:t>, leave to appeal ref'd, [2005] 3 S.C.R. vii.</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Palpal-Latoc v. Berstad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ABQB 236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15 Alta. L.R. (4th) 187</w:t>
      </w:r>
      <w:r>
        <w:rPr>
          <w:rFonts w:ascii="arial" w:eastAsia="arial" w:hAnsi="arial" w:cs="arial"/>
          <w:color w:val="000000"/>
          <w:sz w:val="20"/>
          <w:lang w:val="en-US" w:eastAsia="en-US" w:bidi="ar-SA"/>
        </w:rPr>
        <w:t xml:space="preserve">, var'd on other grounds, </w:t>
      </w:r>
      <w:hyperlink r:id="rId86" w:history="1">
        <w:r>
          <w:rPr>
            <w:rFonts w:ascii="arial" w:eastAsia="arial" w:hAnsi="arial" w:cs="arial"/>
            <w:i/>
            <w:color w:val="0077CC"/>
            <w:sz w:val="20"/>
            <w:u w:val="single"/>
            <w:shd w:val="clear" w:color="auto" w:fill="FFFFFF"/>
            <w:lang w:val="en-US" w:eastAsia="en-US" w:bidi="ar-SA"/>
          </w:rPr>
          <w:t>2004 ABCA 92</w:t>
        </w:r>
      </w:hyperlink>
      <w:r>
        <w:rPr>
          <w:rFonts w:ascii="arial" w:eastAsia="arial" w:hAnsi="arial" w:cs="arial"/>
          <w:color w:val="000000"/>
          <w:sz w:val="20"/>
          <w:lang w:val="en-US" w:eastAsia="en-US" w:bidi="ar-SA"/>
        </w:rPr>
        <w:t xml:space="preserve">, supplemented by </w:t>
      </w:r>
      <w:hyperlink r:id="rId87" w:history="1">
        <w:r>
          <w:rPr>
            <w:rFonts w:ascii="arial" w:eastAsia="arial" w:hAnsi="arial" w:cs="arial"/>
            <w:i/>
            <w:color w:val="0077CC"/>
            <w:sz w:val="20"/>
            <w:u w:val="single"/>
            <w:shd w:val="clear" w:color="auto" w:fill="FFFFFF"/>
            <w:lang w:val="en-US" w:eastAsia="en-US" w:bidi="ar-SA"/>
          </w:rPr>
          <w:t>2004 ABCA 212</w:t>
        </w:r>
      </w:hyperlink>
      <w:r>
        <w:rPr>
          <w:rFonts w:ascii="arial" w:eastAsia="arial" w:hAnsi="arial" w:cs="arial"/>
          <w:color w:val="000000"/>
          <w:sz w:val="20"/>
          <w:lang w:val="en-US" w:eastAsia="en-US" w:bidi="ar-SA"/>
        </w:rPr>
        <w:t>.</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93 B.C.L.R. (4th) 300</w:t>
        </w:r>
      </w:hyperlink>
      <w:r>
        <w:rPr>
          <w:rFonts w:ascii="arial" w:eastAsia="arial" w:hAnsi="arial" w:cs="arial"/>
          <w:color w:val="000000"/>
          <w:sz w:val="20"/>
          <w:lang w:val="en-US" w:eastAsia="en-US" w:bidi="ar-SA"/>
        </w:rPr>
        <w: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Rieger v. Burgess</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(1988), 66 Sask. R. 1</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[1988] 4 W.W.R. 577</w:t>
        </w:r>
      </w:hyperlink>
      <w:r>
        <w:rPr>
          <w:rFonts w:ascii="arial" w:eastAsia="arial" w:hAnsi="arial" w:cs="arial"/>
          <w:color w:val="000000"/>
          <w:sz w:val="20"/>
          <w:lang w:val="en-US" w:eastAsia="en-US" w:bidi="ar-SA"/>
        </w:rPr>
        <w:t xml:space="preserve"> (C.A.).</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39 B.C.L.R. (4th) 185</w:t>
        </w:r>
      </w:hyperlink>
      <w:r>
        <w:rPr>
          <w:rFonts w:ascii="arial" w:eastAsia="arial" w:hAnsi="arial" w:cs="arial"/>
          <w:color w:val="000000"/>
          <w:sz w:val="20"/>
          <w:lang w:val="en-US" w:eastAsia="en-US" w:bidi="ar-SA"/>
        </w:rPr>
        <w:t>.</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Segreti v. Toronto (City)</w:t>
      </w:r>
      <w:r>
        <w:rPr>
          <w:rFonts w:ascii="arial" w:eastAsia="arial" w:hAnsi="arial" w:cs="arial"/>
          <w:color w:val="000000"/>
          <w:sz w:val="20"/>
          <w:lang w:val="en-US" w:eastAsia="en-US" w:bidi="ar-SA"/>
        </w:rPr>
        <w:t xml:space="preserve"> (1981), 20 C.P.C. 110 at 114 (Ont. H.C.J.).</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Smith v. Foussias</w:t>
      </w:r>
      <w:r>
        <w:rPr>
          <w:rFonts w:ascii="arial" w:eastAsia="arial" w:hAnsi="arial" w:cs="arial"/>
          <w:color w:val="000000"/>
          <w:sz w:val="20"/>
          <w:lang w:val="en-US" w:eastAsia="en-US" w:bidi="ar-SA"/>
        </w:rPr>
        <w:t xml:space="preserve"> (31 January 1996), Court File No. 89-CU-356998 (Ont. Gen. Div.).</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721-22 (paras. 104, 114), </w:t>
      </w:r>
      <w:hyperlink r:id="rId92"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(excerpts only)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Vaillancourt v. Molnar (Estate)</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8 B.C.L.R. (4th) 260</w:t>
        </w:r>
      </w:hyperlink>
      <w:r>
        <w:rPr>
          <w:rFonts w:ascii="arial" w:eastAsia="arial" w:hAnsi="arial" w:cs="arial"/>
          <w:color w:val="000000"/>
          <w:sz w:val="20"/>
          <w:lang w:val="en-US" w:eastAsia="en-US" w:bidi="ar-SA"/>
        </w:rPr>
        <w:t>, leave to appeal ref'd, [2003] 2 S.C.R. xi.</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SECONDARY SOURCE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Wilson, R. D., N. J. Garson, and C. E. Hinkson. </w:t>
      </w:r>
      <w:r>
        <w:rPr>
          <w:rFonts w:ascii="arial" w:eastAsia="arial" w:hAnsi="arial" w:cs="arial"/>
          <w:i/>
          <w:color w:val="000000"/>
          <w:sz w:val="20"/>
          <w:lang w:val="en-US" w:eastAsia="en-US" w:bidi="ar-SA"/>
        </w:rPr>
        <w:t>CIVJI: Civil Jury Instructions</w:t>
      </w:r>
      <w:r>
        <w:rPr>
          <w:rFonts w:ascii="arial" w:eastAsia="arial" w:hAnsi="arial" w:cs="arial"/>
          <w:color w:val="000000"/>
          <w:sz w:val="20"/>
          <w:lang w:val="en-US" w:eastAsia="en-US" w:bidi="ar-SA"/>
        </w:rPr>
        <w:t>. 2d ed. (Vancouver, B.C.: Continuing Legal Education Society of British Columbia, 2009). (excerpts only)</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912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Emel v. Westfair Foods Ltd. (c.o.b. Real Canadian Superstore), [2002] B.C.J. No. 2574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S015988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1010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Tonya Marie Emel, plaintiff, and Westfair Foods Ltd. doing business as Real Canadian Superstore,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2"/>
      <w:bookmarkEnd w:id="32"/>
      <w:r>
        <w:rPr>
          <w:rFonts w:ascii="arial" w:eastAsia="arial" w:hAnsi="arial" w:cs="arial"/>
          <w:b/>
          <w:color w:val="000000"/>
          <w:sz w:val="20"/>
          <w:lang w:val="en-US" w:eastAsia="en-US" w:bidi="ar-SA"/>
        </w:rPr>
        <w:t xml:space="preserve">Torts — Occupiers' liability for dangerous premises — Knowledge of occupier, what constitutes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Standard of care — Floors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1"/>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Emel for personal injuries suffered after she slipped on water in the defendant Superstore's produce department. Emel suffered a minor tear in the medial meniscus of her knee. After she fell, Emel saw a cart containing lettuce with water dripping on the floor. She could not conclude that the water she slipped on came from the cart. No one could say where the water came from. Superstore provided evidence of its cleaning routine, which included sweeping the area at least once per hour and keeping a log of each sweep. The floors were also washed nightly. A supervisor had inspected the floor 13 minutes before Emel fell and found that it was clear.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1"/>
            <w:bookmarkEnd w:id="3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 given that things could and did fall to the floor in supermarkets and created hazards. Superstore's cleaning routine was reasonable. While the accident might have been prevented if the store ensured that nothing ever fell on the floor, or if it did, that it was cleaned up instantly, the law did not impose that high a standard. Damages were provisionally assessed in the sum of $20,000.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2"/>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03"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2"/>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M.T.L. Blaxland, for the plaintiff. I.C. Hallam,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2"/>
      <w:bookmarkEnd w:id="37"/>
      <w:r>
        <w:pict>
          <v:line id="_x0000_s1046"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LOO J."/>
            <w:bookmarkEnd w:id="38"/>
            <w:r>
              <w:rPr>
                <w:rFonts w:ascii="arial" w:eastAsia="arial" w:hAnsi="arial" w:cs="arial"/>
                <w:b/>
                <w:color w:val="000000"/>
                <w:sz w:val="30"/>
                <w:lang w:val="en-US" w:eastAsia="en-US" w:bidi="ar-SA"/>
              </w:rPr>
              <w:t>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Tonya Emel was shopping at the Real Canadian Superstore in North Vancouver when she slipped on some water in the produce department, landed on her posterior, and twisted her right leg backwards. Mrs. Emel who was 21 years old at the time, sustained a minor tear in the medial meniscus of her right knee. The incident occurred at approximately 12:45 p.m. on Saturday, September 23, 2000. Within a few minutes Gerald Jo, the assistant manager, attended on Mrs. Emel. He arranged for a wheelchair, and saw that her shopping was completed and took her out to a truck in the parking lot where her husband was waiting. Mrs. Emel said that after she fell, she saw a cart nearby with boxes of produce, including lettuce, water dripping from the lettuce onto the floor, and a hose slung over the side of the cart. However, Mrs. Emel, on her own evidence, was unable to conclude that the water she slipped on, came from a produce cart. Even if she could, it is not determinative of the issue I must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Within an hour or so after the incident, in accordance with Superstore policy, Mr. Jo arranged for the produce employees who had any knowledge of the incident to prepare a written statement. In addition, he compiled the necessary information and Polaroid photographs for the insurance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Emel fell close to what is referred to as a fixed "wet table" that was situated away from the wall. The wet table is capable of holding ice which is needed for certain types of produce, such as broccoli. As the ice melts, the water goes down a drain in the centre of the unit. Mrs. Emel fell in an aisle that runs off the main produce aisle where the produce counter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water where Mrs. Emel fell has been variously described as a "little wet floor", a "puddle", and about two inches in size. None of the produce employees knew where the water came from. Raymon Louie said that he had never seen a puddle that size in all the 12 years he worked at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counsel for Mrs. Emel suggests the water could have come from the hose that is used for keeping the produce wet on the counter areas against the walls (the hose is never used to spray produce on the wet tables), he suggests that it could have come from the wet table. He argues that broccoli could have plugged the drain and somehow water could have then dripped over the edge of the table. This is, however,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What is clear, is that no one can say where the water came from and none of the employees in the produce department could be persuaded on cross-examination to say that it came from any of the activities that they generally carried out in that department. For all anyone knows, it could have come from a customer who spilled water while drinking from a 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behalf of Mrs. Emel it is argued that there should have been an additional employee working because weekends are busier, and that an additional employee ought to have been in charge of cleaning, mopping, and inspecting the floor. It is also contended that there should have been permanent or additional safety cones on the floor, warning customers of potential hazards on the floor, and that there is no written policy to ensure that produce is always placed in plastic tubs before it is placed on the produce carts.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real issue is whether the defendant had a reasonable system in place to safeguard against dangerous substances remaining on the floor, and whether the system was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a given that things can and do fall to the floor in supermarkets and create a hazard. As long as there is a reasonable system in place, and that system was being followed, the supermarket will generally have met the burden imposed on it by s. 3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establishes the cleaning routine at Superstore, which includes the following:</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written policy, and employees are repeatedly reminded that if they see a potential hazard on the floor, they must immediately pick it up, or remove it;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written policy that employees must keep an eye out for potentially dangerous activities by customers such as carrying leaking containers or drinks;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unwritten policy and practise that all wet produce is placed in plastic tubs in the back of the store before it is placed on produce carts and taken to the front of the store;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mandatory sweep program in each of the departments; in the produce department it is mandatory to sweep the entire floor at least once every hour or less, and to record every sweep or cleaning in the sweep log;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sweep logs are monitored throughout the day by the department supervisor, and reviewed weekly by the store manager;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store managers are required to "move continuously" through all areas of the store monitoring, as do all employees, for things that need refilling, and for offending substances;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floors are washed nightly, and the wax stripped if necessary and re-waxed with a non-slip polish.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cleaning routine is the same for all Superstores and is planned so that it meets the needs of the busiest days and the busiest stores. The North Vancouver Superstore has only about 65 per cent of the customers compared to Metrotown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satisfied that the cleaning routine is a reasonable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Rakesh Bhasin was the senior produce supervisor on duty the day of the incident. I am satisfied that Mr. Bhasin adheres scrupulously to cleaning policies. He constantly reminds employees of the need to clean, sweep, and pick up debris. So much so, that Niloo Purrahnama, who worked part time on weekends, recalls Mr. Bhasin yelling at her as soon as she started her shift at noon that day, to sweep the floor. Ms. Purrahnama swept the entire floor at noon. At 12:32 p.m. Mr. Bhasin cleaned the main aisle, and inspected the aisles that run off the main aisle, including the aisle where Mrs. Emel slipped and fell. At that time, there was no water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Somehow in the 13 minute interval between 12:32 p.m. when Mr. Bhasin inspected the aisle and 12:45 p.m. when Mrs. Emel slipped and fell, water got onto the floor. The source of the water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behalf of Mrs. Emel it is argued that a hazard cone should have been placed in the area where she fell. I think that argument could only prevail, if employees knew of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accident might have been prevented if the store ensured that nothing ever fell on the floor, or if it did, it was cleaned up instantly. However, the law does not impose that high a standard (Beaman v. Canada Safeway Limited, </w:t>
      </w:r>
      <w:hyperlink r:id="rId104" w:history="1">
        <w:r>
          <w:rPr>
            <w:rFonts w:ascii="arial" w:eastAsia="arial" w:hAnsi="arial" w:cs="arial"/>
            <w:i/>
            <w:color w:val="0077CC"/>
            <w:sz w:val="20"/>
            <w:u w:val="single"/>
            <w:shd w:val="clear" w:color="auto" w:fill="FFFFFF"/>
            <w:lang w:val="en-US" w:eastAsia="en-US" w:bidi="ar-SA"/>
          </w:rPr>
          <w:t>[1993] S.J. No. 617</w:t>
        </w:r>
      </w:hyperlink>
      <w:r>
        <w:rPr>
          <w:rFonts w:ascii="arial" w:eastAsia="arial" w:hAnsi="arial" w:cs="arial"/>
          <w:color w:val="000000"/>
          <w:sz w:val="20"/>
          <w:lang w:val="en-US" w:eastAsia="en-US" w:bidi="ar-SA"/>
        </w:rPr>
        <w:t>, 12 November 1993, Saskatoon Registry No. 3377 (Sask. Q.B.) at pp.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Constant surveillance and instant response might very well prevent such an accident, but such a high standard is not required. The defendant is not obliged to have his employees standing around to observe or follow each customer and instantly sweep up after those who spill items on the floor. Unrealistic procedures are not required. Reasonableness is the standard, not perfection.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I have sympathy for Mrs. Emel, and there is no doubt that she is a credible witness, her action against Superstore is dismissed. I will however deal with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Emel lost two days work from the Canadian Bar Association where she works as an accounting clerk. When she returned to work, she had to keep her right leg elevated on a pillow and chair. Her right knee was so swollen that it was not until December that she could do any exercises to strengthen her quadriceps. It took three or four months before she was able to resume her full household duties. Some chores continue to take her a little longer than they used to. Mrs. Emel is still unable to resume vigorous physical activities, such as roller-blading, skiing, bicycling, and jogging to the extent she once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May 10, 2001, report of Dr. Pate, an orthopaedic surgeon states that he has discussed the possibility of surgery, Mrs. Emel testified that no decision has been made. In the meantime, Mrs. Emel carries out exercises recommended by Dr. Prasad, a sports medical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Had I found liability in favour of Mrs. Emel, I would have awarded her damages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F.A. v. Henley, [2006] B.C.J. No. 1528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Rupert,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Halfyard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18, 2006.</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July 10, 2006.</w:t>
      </w:r>
    </w:p>
    <w:p>
      <w:pPr>
        <w:spacing w:before="120" w:line="260" w:lineRule="atLeast"/>
        <w:jc w:val="center"/>
        <w:rPr>
          <w:lang w:val="en-US" w:eastAsia="en-US" w:bidi="ar-SA"/>
        </w:rPr>
      </w:pPr>
      <w:r>
        <w:rPr>
          <w:rFonts w:ascii="arial" w:eastAsia="arial" w:hAnsi="arial" w:cs="arial"/>
          <w:color w:val="000000"/>
          <w:sz w:val="20"/>
          <w:lang w:val="en-US" w:eastAsia="en-US" w:bidi="ar-SA"/>
        </w:rPr>
        <w:t>Prince Rupert Registry No. SC4937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1528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908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150 A.C.W.S. (3d) 1029</w:t>
      </w:r>
    </w:p>
    <w:p>
      <w:pPr>
        <w:spacing w:before="120" w:line="260" w:lineRule="atLeast"/>
        <w:rPr>
          <w:lang w:val="en-US" w:eastAsia="en-US" w:bidi="ar-SA"/>
        </w:rPr>
      </w:pPr>
      <w:r>
        <w:rPr>
          <w:rFonts w:ascii="arial" w:eastAsia="arial" w:hAnsi="arial" w:cs="arial"/>
          <w:color w:val="000000"/>
          <w:sz w:val="20"/>
          <w:lang w:val="en-US" w:eastAsia="en-US" w:bidi="ar-SA"/>
        </w:rPr>
        <w:t>Between F.A., J.A., H.B. Jr., C.D., C.N., V.S., G.S., R.S. Jr., T.S. and T.W., plaintiffs, and Michael Henley, The Board of School Trustees of School District No. 92 (Nisga'a) and The Attorney General of Canada, defendants, and Gail Smythe, R.S., Sr., V.S., W.S., S.S., W.A. Sr. and Elizabeth Moore, third parties, and The Board of School Trustees of School District No. 92 (Nisga'a),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8" style="position:absolute;z-index:2516623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9" w:name="Keywords_3"/>
      <w:bookmarkEnd w:id="39"/>
      <w:r>
        <w:rPr>
          <w:rFonts w:ascii="arial" w:eastAsia="arial" w:hAnsi="arial" w:cs="arial"/>
          <w:b/>
          <w:color w:val="000000"/>
          <w:sz w:val="20"/>
          <w:lang w:val="en-US" w:eastAsia="en-US" w:bidi="ar-SA"/>
        </w:rPr>
        <w:t>Civil procedure — Trials — Severance of issues or parties — Application by defendant Her Majesty the Queen in Right of Canada for severance of liability issue from issue of damages allowed — There was real likelihood of a significant saving in time and expense — Determination of liability issue would end lawsuit and spare plaintiffs from testifying about the alleged sexual assaults — Evidence on severed issue was not significantly interwoven with evidence on other issues — British Columbia Supreme Court Rules, Rule 39(29).</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0" w:name="Case Summary_2"/>
            <w:bookmarkEnd w:id="4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defendant Her Majesty the Queen in Right of Canada for severance of liability issue from issue of damages -- Plaintiffs were aboriginal peoples who claimed they were sexually abused at a residential school funded by Canada -- Plaintiffs commenced a$ction against the teacher, the school district and Canada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 Plaintiffs settled with teacher and school district -- Canada brought application to sever on eve of trial -- HELD: Application allowed -- There was real likelihood of a significant saving in time and expense if severance was granted -- Application was not brought too late, as settlement with other defendants was reached only one week earlier -- Determination of liability issue would end lawsuit and could spare plaintiffs from testifying about the alleged sexual assaults -- Evidence on severed issue was not significantly interwoven with evidence on other issues. </w:t>
            </w:r>
            <w:r>
              <w:rPr>
                <w:lang w:val="en-US" w:eastAsia="en-US" w:bidi="ar-SA"/>
              </w:rPr>
              <w:cr/>
            </w:r>
          </w:p>
          <w:p>
            <w:pPr>
              <w:rPr>
                <w:lang w:val="en-US" w:eastAsia="en-US" w:bidi="ar-SA"/>
              </w:rPr>
            </w:pPr>
          </w:p>
        </w:tc>
      </w:tr>
    </w:tbl>
    <w:p>
      <w:pPr>
        <w:jc w:val="both"/>
        <w:rPr>
          <w:lang w:val="en-US" w:eastAsia="en-US" w:bidi="ar-SA"/>
        </w:rPr>
      </w:pPr>
      <w:bookmarkStart w:id="41" w:name="Legislation Cited_3"/>
      <w:bookmarkEnd w:id="4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9" style="position:absolute;z-index:2517135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 Rule 34, Rule 39(29)</w:t>
      </w:r>
      <w:r>
        <w:rPr>
          <w:lang w:val="en-US" w:eastAsia="en-US" w:bidi="ar-SA"/>
        </w:rPr>
        <w:cr/>
      </w:r>
    </w:p>
    <w:p>
      <w:pPr>
        <w:keepNext/>
        <w:spacing w:before="240" w:line="340" w:lineRule="atLeast"/>
        <w:rPr>
          <w:lang w:val="en-US" w:eastAsia="en-US" w:bidi="ar-SA"/>
        </w:rPr>
      </w:pPr>
      <w:bookmarkStart w:id="42" w:name="Counsel_3"/>
      <w:bookmarkEnd w:id="4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0" style="position:absolute;z-index:2517647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I. Lawson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Attorney General of Canada: D. Kwan, M. Shea, L. Riddle</w:t>
      </w:r>
      <w:r>
        <w:rPr>
          <w:lang w:val="en-US" w:eastAsia="en-US" w:bidi="ar-SA"/>
        </w:rPr>
        <w:cr/>
      </w:r>
    </w:p>
    <w:p>
      <w:pPr>
        <w:spacing w:after="240"/>
        <w:rPr>
          <w:lang w:val="en-US" w:eastAsia="en-US" w:bidi="ar-SA"/>
        </w:rPr>
      </w:pPr>
      <w:bookmarkStart w:id="43" w:name="Judgment_3"/>
      <w:bookmarkEnd w:id="43"/>
      <w:r>
        <w:pict>
          <v:line id="_x0000_s1051" style="position:absolute;z-index:251815936"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The note "[text deleted by LexisNexis Canada]" indicates the removal of information which may identify individuals protected by LexisNexis Canada's Guidelines for the Protection of Identities.]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4" w:name="HALFYARD J. (orally)"/>
            <w:bookmarkEnd w:id="44"/>
            <w:r>
              <w:rPr>
                <w:rFonts w:ascii="arial" w:eastAsia="arial" w:hAnsi="arial" w:cs="arial"/>
                <w:b/>
                <w:color w:val="000000"/>
                <w:sz w:val="30"/>
                <w:lang w:val="en-US" w:eastAsia="en-US" w:bidi="ar-SA"/>
              </w:rPr>
              <w:t>HALFYARD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think I am going to give a ruling on the application for severance before we conclude the application for the independent medical examinations. I think there is more to be done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application, the Attorney General of Canada, on behalf of Her Majesty the Queen, applies for severance of the issues of liability and damages in this trial, which is the eve of trial at this time, under Rule 39(29). The first part of that rule says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 .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action, the ten plaintiffs allege that the defendant Henley committed sexual assaults on them in the teachers' residence at [text deleted by LexisNexis Canada], B.C., during the timeframe from 1981 to 1987. The defendant Henley was a teacher at a school in [text deleted by LexisNexis Canada], and the defendant School District 92 was his employer.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Recently, in the last week or ten days, the plaintiffs have settled with the defendant School District 92 and, I am told, with the defendant Henley. They are now proceeding to trial only as against Her Majesty the Queen in Right of Canada. The statement of claim is in the process of being amended to reflect the settlement that has been reached.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against the remaining defendant that I will call the Crown, the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not with respect to the operation of the school, and also there is an allegation of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Crown admits that it funded the construction of the school and the teachers' residence, and it funded the costs in operating the school, also that it held legal title to the lands on which the school and the residence were built. The Crown does not admit that the defendant Henley sexually assaulted the plaintiffs. The Crown denies that it owned or occupied the teachers' residence and denies that it had any part in the operation of the school. Further, the Crown denies that it owed any duty of care to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Many weeks of trial have been scheduled and reserved for the trial. The issue of damages will likely require far more time than 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submitted on behalf of the applicant Crown that if severance is ordered, the trial on liability will take only two or three weeks to complete, and there will be no need for the plaintiffs to testify on the issue of liability, certainly no need for them to testify as about the alleged sexual assaults.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further pointed out that if the Crown is successful on the issue of liability, then the lawsuit will be concluded, and of course the plaintiffs will not have to testify at all, subject to an appeal ordering a new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further submission is made on behalf of the applicant that if severance is granted and the Crown is found liable, that that will not appreciably lengthen the trial either. The full trial on all issues will no doubt take several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have referred me to the relevant authorities governing the exercise of discretion under this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For the plaintiffs, Mr. Lawson argues that one of the key test factors from </w:t>
      </w:r>
      <w:r>
        <w:rPr>
          <w:rFonts w:ascii="arial" w:eastAsia="arial" w:hAnsi="arial" w:cs="arial"/>
          <w:b/>
          <w:i/>
          <w:color w:val="000000"/>
          <w:sz w:val="20"/>
          <w:lang w:val="en-US" w:eastAsia="en-US" w:bidi="ar-SA"/>
        </w:rPr>
        <w:t>Nguyen v. Bains</w:t>
      </w:r>
      <w:r>
        <w:rPr>
          <w:rFonts w:ascii="arial" w:eastAsia="arial" w:hAnsi="arial" w:cs="arial"/>
          <w:color w:val="000000"/>
          <w:sz w:val="20"/>
          <w:lang w:val="en-US" w:eastAsia="en-US" w:bidi="ar-SA"/>
        </w:rPr>
        <w:t xml:space="preserve">, reported at </w:t>
      </w:r>
      <w:hyperlink r:id="rId112" w:history="1">
        <w:r>
          <w:rPr>
            <w:rFonts w:ascii="arial" w:eastAsia="arial" w:hAnsi="arial" w:cs="arial"/>
            <w:i/>
            <w:color w:val="0077CC"/>
            <w:sz w:val="20"/>
            <w:u w:val="single"/>
            <w:shd w:val="clear" w:color="auto" w:fill="FFFFFF"/>
            <w:lang w:val="en-US" w:eastAsia="en-US" w:bidi="ar-SA"/>
          </w:rPr>
          <w:t>(2001) 11 C.P.C. (5th) 177</w:t>
        </w:r>
      </w:hyperlink>
      <w:r>
        <w:rPr>
          <w:rFonts w:ascii="arial" w:eastAsia="arial" w:hAnsi="arial" w:cs="arial"/>
          <w:color w:val="000000"/>
          <w:sz w:val="20"/>
          <w:lang w:val="en-US" w:eastAsia="en-US" w:bidi="ar-SA"/>
        </w:rPr>
        <w:t>, a judgment of Madam Justice Martinson, he referred to one of the main test factors as being whether there is a real likelihood of a significant saving in time and expense being achieved if severance is granted. Mr. Lawson argues that obviously the onus is on the applicant, and he says that that onus has not been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Secondly, Mr. Lawson argues that Mr. Justice Leask recently dismissed an application by the Crown under Rule 18A for dismissal of the claim as against the Crown, and he argues that to allow this application would be to allow the Crown a second kick at the 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Another concern of Mr. Lawson's was that the plaintiffs might well have to testify if the trial of the two issues is severed, and he did not persuade me that that was necessary, but he is certainly concerned that they might have to, and that of course would defeat the strongest reason for granting severance, or one of the strongest reasons, in this case. To alleviate that concern, Mr. Lawson argued that the issue should be determined on a point of law under Rule 34 rather than in the way that the Crown is proposing. I do not think that Rule 34 could properly be applied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Mr. Lawson argued that the application should be dismissed because it has been brought too late, which was on the eve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first test factor, that is, the factor about real likelihood that Mr. Lawson raised, I am satisfied that the applicant has met that test, that is, that "there is a real likelihood of a significant saving in time and expense" being achieved if severance is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point raised by Mr. Lawson concerning Mr. Justice Leask's dismissal of the Crown's application under Rule 18A, I do not accede to that submission. The ruling of Mr. Justice Leask was that there was an insufficient evidentiary foundation for the application at that time. The ruling I think was made on March 22nd, 2006, at a time also when all other defendants were still live parties to this action. I do not accept that allowing severance would give the Crown a second kick at the can, so to speak.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argument that the application is brought too late, I note that it is only a week or ten days ago that the settlement was reached with the other defendants, and really, the Crown did not have much time to get this application together. There had been an earlier application by the plaintiffs on I think September 27, 2004, for severance. At that time, I dismissed the plaintiffs' application on the main ground that the issue of credibility was live and was interwoven through the issues of liability and damages, and that credibility needed to be decided on the whole of the evidence. There has been a great change in circumstances, of course, since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allow the application for severance. The order I am going to make is this. The questions of fact and law relating to the issue of whether the Crown was negligent, or in breach of fiduciary duty, shall be tried and determined before the issue of whether the defendant Henley sexually assaulted the plaintiffs, the issue of what injuries were caused by the alleged assaults, and the issue of what damages should be awarded for the alleged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Just to summarize the reasons why I am making that order, I think they are clear, but firstly, I am satisfied that there is that real likelihood that I mentioned. Second, if the Crown is successful on the issue, the lawsuit will be ended. Third, the evidence on the severed issue is not significantly interwoven with the evidence on the other issues. Finally, in my opinion, it is most desirable to avoid requiring the plaintiffs to testify about the alleged sexual assaults if at all possible. A decision on the issue of liability that I have set out has the potential to achieve that result.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HALFYARD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Ferris v. Greater Vancouver (Regional District), [2002] B.C.J. No. 299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Catliff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5 - 8,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15,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C966725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215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27 M.P.L.R. (3d) 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111 A.C.W.S. (3d) 646</w:t>
      </w:r>
    </w:p>
    <w:p>
      <w:pPr>
        <w:spacing w:before="120" w:line="260" w:lineRule="atLeast"/>
        <w:rPr>
          <w:lang w:val="en-US" w:eastAsia="en-US" w:bidi="ar-SA"/>
        </w:rPr>
      </w:pPr>
      <w:r>
        <w:rPr>
          <w:rFonts w:ascii="arial" w:eastAsia="arial" w:hAnsi="arial" w:cs="arial"/>
          <w:color w:val="000000"/>
          <w:sz w:val="20"/>
          <w:lang w:val="en-US" w:eastAsia="en-US" w:bidi="ar-SA"/>
        </w:rPr>
        <w:t>Between Alan Ferris, plaintiff, and Greater Vancouver Regional District,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3"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5" w:name="Keywords_4"/>
      <w:bookmarkEnd w:id="45"/>
      <w:r>
        <w:rPr>
          <w:rFonts w:ascii="arial" w:eastAsia="arial" w:hAnsi="arial" w:cs="arial"/>
          <w:b/>
          <w:color w:val="000000"/>
          <w:sz w:val="20"/>
          <w:lang w:val="en-US" w:eastAsia="en-US" w:bidi="ar-SA"/>
        </w:rPr>
        <w:t>Torts — Standard of care, particular persons and relationships — Landowners or occupiers of land — Duty of care — Requirement that duty be owed to plaintiff — Whether the defendant took reasonable care — Duty to warn — Occupiers' liability for dangerous premises — Invitees, standard of care of occupiers — Unusual danger.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6" w:name="Case Summary_3"/>
            <w:bookmarkEnd w:id="4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Ferris against the Regional District of Greater Vancouver for damages for injuries suffered while rollerblading. Ferris was rollerblading with friends on a road for which Greater Vancouver was responsible. As they approached an area knows as the S curves, Ferris's friend suggested that he walk down the hill and he did. Ferris testified that on the way back, he intended to get off on an access road and walk down the S curves. He missed the point where had intended to get off, hit something on the road and fell, suffering a serious back injury. He argued that Greater Vancouver was negligent in failing to place adequate warning signs at the top of the S curves and failing to implement a policy for the regular inspection of the road for obstruction and debris. </w:t>
            </w:r>
            <w:r>
              <w:rPr>
                <w:lang w:val="en-US" w:eastAsia="en-US" w:bidi="ar-SA"/>
              </w:rPr>
              <w:cr/>
            </w:r>
          </w:p>
          <w:p>
            <w:pPr>
              <w:spacing w:before="120" w:line="260" w:lineRule="atLeast"/>
              <w:ind w:left="240"/>
              <w:jc w:val="both"/>
              <w:rPr>
                <w:lang w:val="en-US" w:eastAsia="en-US" w:bidi="ar-SA"/>
              </w:rPr>
            </w:pPr>
            <w:bookmarkStart w:id="47" w:name="Holdings of Court_2"/>
            <w:bookmarkEnd w:id="47"/>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Ferris had not established that Greater Vancouver failed to take reasonable care to ensure that he would be reasonably safe while rollerblading. Ferris had been warned of the danger by his friends and had decided to walk down the S curves. Therefore, any warning by Greater Vancouver would have been superfluous. The S curves were not a hidden or unusual danger that required special warning. Greater Vancouver did not owe Ferris a duty to see that there was no gravel or debris on the road. </w:t>
            </w:r>
            <w:r>
              <w:rPr>
                <w:lang w:val="en-US" w:eastAsia="en-US" w:bidi="ar-SA"/>
              </w:rPr>
              <w:cr/>
            </w:r>
          </w:p>
          <w:p>
            <w:pPr>
              <w:rPr>
                <w:lang w:val="en-US" w:eastAsia="en-US" w:bidi="ar-SA"/>
              </w:rPr>
            </w:pPr>
          </w:p>
        </w:tc>
      </w:tr>
    </w:tbl>
    <w:p>
      <w:pPr>
        <w:jc w:val="both"/>
        <w:rPr>
          <w:lang w:val="en-US" w:eastAsia="en-US" w:bidi="ar-SA"/>
        </w:rPr>
      </w:pPr>
      <w:bookmarkStart w:id="48" w:name="Legislation Cited_4"/>
      <w:bookmarkEnd w:id="4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54"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Occupier's Liability Act.</w:t>
      </w:r>
      <w:r>
        <w:rPr>
          <w:lang w:val="en-US" w:eastAsia="en-US" w:bidi="ar-SA"/>
        </w:rPr>
        <w:cr/>
      </w:r>
    </w:p>
    <w:p>
      <w:pPr>
        <w:keepNext/>
        <w:spacing w:before="240" w:line="340" w:lineRule="atLeast"/>
        <w:rPr>
          <w:lang w:val="en-US" w:eastAsia="en-US" w:bidi="ar-SA"/>
        </w:rPr>
      </w:pPr>
      <w:bookmarkStart w:id="49" w:name="Counsel_4"/>
      <w:bookmarkEnd w:id="4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5" style="position:absolute;z-index:2517657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Amy A. Mortimore, for the plaintiff. Robert J. McDonell, for the defendant.</w:t>
      </w:r>
      <w:r>
        <w:rPr>
          <w:lang w:val="en-US" w:eastAsia="en-US" w:bidi="ar-SA"/>
        </w:rPr>
        <w:cr/>
      </w:r>
    </w:p>
    <w:p>
      <w:pPr>
        <w:spacing w:after="240"/>
        <w:rPr>
          <w:lang w:val="en-US" w:eastAsia="en-US" w:bidi="ar-SA"/>
        </w:rPr>
      </w:pPr>
      <w:bookmarkStart w:id="50" w:name="Judgment_4"/>
      <w:bookmarkEnd w:id="50"/>
      <w:r>
        <w:pict>
          <v:line id="_x0000_s1056" style="position:absolute;z-index:2518169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1" w:name="CATLIFF J."/>
            <w:bookmarkEnd w:id="51"/>
            <w:r>
              <w:rPr>
                <w:rFonts w:ascii="arial" w:eastAsia="arial" w:hAnsi="arial" w:cs="arial"/>
                <w:b/>
                <w:color w:val="000000"/>
                <w:sz w:val="30"/>
                <w:lang w:val="en-US" w:eastAsia="en-US" w:bidi="ar-SA"/>
              </w:rPr>
              <w:t>CATLIFF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compensation from the defendant for injuries he suffered as the result of a fall while rollerblading in Seymour Demonstration Forest.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37-year old Conference Services and Catering Manager employed at the Fairmont Hotel, Vancouver. The defendant is responsible for the operation of the Seymour Demonstration Forest, including the roads within it. The principal road is a paved road called the Seymour Mainline Road, which has been open to the public for recreational purposes since 1987. It is approximately eleven kilometres in length and leads from a parking lot up to the Seymour Dam. At about half-way along its length the road winds down to a gully and winds up again on the other side. This area is known as the "S Curves."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Sometime in the afternoon of 26 May 1996, the plaintiff and two friends decided to rollerblade along the Mainline Road. Rollerblades have four wheels placed in line on the bottom of each skate, one of which has a toe stopping device or brake. The plaintiff was a comparative newcomer to rollerblading. He had rollerbladed a few times before along the seawall in Stanley Park. On this afternoon he rented his skates, together with wrist guards and elbow and knee pads. His friends were more experienced rollerbladers, particularly Mr. Rousseau. The three friends proceeded from the parking lot towards the dam, rollerblading along the paved surface of the Mainline Road, which is about eighteen feet in width. It was a sunny, dry day. As they approached the S Curves going north, Mr. Rousseau, knowing his friend's ability, suggested to the plaintiff that he walk down the hill leading to the bottom of the s gully. The plaintiff did so. He went to the side of the road and side-stepped down the hill. At the bottom he met up with his friends and the three proceeded to rollerblade up the hill and curves on the other side. The plaintiff said that on the north side there was a longer incline and it was less steep than the first hill. The three arrived at the dam and relaxed for about half an hour and then started on their way back together. The plaintiff said that although he knew the grade going down the S Curves on the way back was less, he intended to walk down. He said that there was an access road to the left, just before the start of the steep part of the hill and he intended to get off at that point and walk down. Photographs were produced of the Mainline Road taken by the plaintiff. Photo #7, Exhibit 1(7) shows the road approaching the beginning of the descent of the S Curves going south. The road at this point, according to the evidence, is flat, with perhaps even a slight uphill incline. At the crest of the road shown in Photo #7, the road starts to gently decline until it reaches the access road some 24 feet ahead. It was here that the plaintiff said that he intended to turn off and walk down the hill which is steeper after it passes the turn off to the access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some evidence that the three friends stopped before they reached the crest of the road shown in Photo 7. Whether or not they did so, it appears that by agreement Mr. Rousseau proceeded first down the S Curves, then the plaintiff's other friend, Mr. Mackie, and then the plaintiff. The plaintiff said that he skated along the road shown in Photo 7 and down the slight grade before coming to the access road. As he did so, he picked up speed and, "missed the point where he was going to get off." He then continued down the hill, picking up more speed and decided to abort. He had had experience with snow skiing and said he knew how to stop by rolling down the slope of a ski-hill. He said that he thought he was going to have a bit of a spill, but decided to roll off the road into the grass and hoped he wouldn't come to too much harm. He continued at speed down the road and said he was about to roll into the grassy area at the side of the road when he hit something in the road and fell. He said he had seen three young ladies who had been rollerblading, standing at the entrance of the access road when he had got to it. These women came up to him where he lay on the road after he fell and attended to him. As well, another rollerblader who was a fireman and had a cell phone, stopped and gave him assistance and phoned for an ambulance. He was subsequently taken by ambulance on a back board to Lions Gate Hospital. There it was determined that he had seriously injured his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cross-examination the plaintiff said that he had not been able to manoeuvre himself into the access road and he was not able to stop or slow down. He said he tried to steer into the access road, but by that point had lost control. He said that at first he tried to use his brakes, but after he found himself going too fast he chose not to do so. He said he thought he could handle the gentle slope in the area of the access road, but then found he could not. He admitted he had been warned by his friends about rollerblading through the S Curves.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Rousseau said that when the three friends got to the top of the S Curves going out to the dam, he told the plaintiff that if he didn't want to skate down, that he and Mr. Mackie would go down to the bottom and come back. The plaintiff said he would walk down and meet the other two on the other side, which he did. Coming back, the plaintiff said again that he would walk down the S Curves. Mr. Rousseau went first and was surprised when he didn't see Mr. Mackie behind him. The latter had glanced back as he was going down the S Curves and had seen the plaintiff fall. Mr. Rousseau headed back and saw the plaintiff lying on the side of the road with Mr. Mackie there. In his evidence, Mr. Mackie said that on the way out from the dam he believed the plaintiff had skated down the S Curves. On the return journey, he said that at the top of the S Curves Rousseau went first, he went second and the plaintiff third. Mr. Mackie confirmed that as he was rollerblading downhill he looked back and saw the plaintiff was coming down and then fall forward on "top of himself", ending up on his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Mr. Milne, an instructor in rollerblading and the assistant director of the skate patrol for Stanley Park, the popularity of inline rollerblading as a sport began in 1995, but really "took off" in 1996. In those years there were many accidents, but there are now "way less." There is no way to eliminate risks from falling and injury while rollerblading, he said, but there are ways to lessen the risk, by wearing protective clothing and a helmet.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grade of the road beyond the crest shown in photo 7, where the plaintiff said he tried to stop, is about three or four degrees maximum. It is beyond this area that there is a full commencement of the S Curves down the hill.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had been a number of rollerblading incidents reported to the defendant before 26 May 1996, roughly half of which had arisen through falls in the S Curves area. There have been some 18 or 19 such reports of incidents. Clearly, the S Curves provided a risk to rollerbladers. A risk management study was prepared for the defendant dated April 1996. The study identified the S Curves as an area "which requires additional attention." The attention recommended was signage additional to that already in place which warned of steep hills and curves.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plaintiff's accident, steps were taken by the defendant to locate staff in the area of the S Curves to warn rollerbladers of the risks and to discourage inexperienced rollerbladers from proceeding. The warnings of staff were apparently often ignored and arrangements which had been proceeding earlier were instituted to provide a volunteer skate patrol to assist rollerbladers on the Mainline Road. The defendant then decided, over the objections of the skate patrol who thought it unnecessary, to ban rollerblading through the S Curves. New signs were put in place at each end of the S Curves making rollerblading strictly forbidden.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the defendant was negligent in two respects; (1) by failing to place an adequate warning sign at the top of the S Curves; and (2) by failing to implement a policy for the regular inspection of the road for obstructions and debris such as gravel.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the question of what, if any, additional signs should have been in place, is irrelevant to the circumstances as they arose in this case. The plaintiff was warned of the dangers of the S Curves by Mr. Rousseau on the outward journey and he chose to walk down. He then rollerbladed up from the bottom of the S Curve to the dam and was aware of the slope and curves on the north side of the gully. Coming back he was likewise determined not to rollerblade down the S Curves. Any warning about the dangers of rollerblading, or forbidding it, through the S Curves that might have been in place would have been superfluous. The plaintiff had decided to stop rollerblading in any event. His difficulty arose, not because he was not warned about the dangers of rollerblading down the S Curves, but because having determined that he would not do so, he found he was unable to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Two new signs forbidding rollerblading have been put at each side of the gully. The sign on the north side, as shown in photo 7, is some distance away from the beginning of the gentle slope down to the access road and even further away from the beginning of the S Curves proper. The plaintiff was asked if he would have stopped if such a sign had been in place. He said in that case he would have started walking at that point. That assumes that having seen the sign, he could stop there and then, which seems unlikely. Secondly, it seems unlikely that he would have chosen to walk along a stretch of flat, if not slightly uphill, road toward the crest as seen in photo 7. It seems to me that if there had been such a sign in place it would simply have confirmed in the plaintiff's mind that he should stop before the S Curves proper started and that would be the area of the access road where he intended to stop in any event. I place little, if any, reliance on the plaintiff's answer to his counsel's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Why the plaintiff was unable to stop by the time he got to the access road, was not made clear. He had a brake and the slope of the road downhill was a gentle one. The entrance to the access road was some twenty feet in width and he said he had directed himself towards it. Instead it almost appears that he changed his mind and decided to proceed further down the hill when he quickly became out of control and unable to stop without attempting his abort manoeuvre. I conclude that for no readily apparent reason, the plaintiff simply failed to stop at about the area he had intended to and he must assume sole responsibility for not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Assuming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in the matter of signage, there was no causal connection between the defendant in that regard and the injury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criticises the defendant for failing to implement a policy for the removal of debris from the Mainline Road. One of the photos taken by the plaintiff shows some gravel on the road. The defendant's employee said this is not surprising. There are a number of gravelled access roads so that gravel finds its way onto the Mainline Road. The same witness said that rollerbladers skate through the gravel at the parking lot, suggesting that gravel is not necessarily an impediment to rollerbladers.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some doubt, however, about what caused the plaintiff's fall. The plaintiff did not see what caused him to fall before he could exercise his manoeuvre and roll over into the vegetation at the side of the road. He assumed it was a rock or piece of gravel. This assumption is put in doubt by the answer the plaintiff gave on his examination for discovery. At questions 604 and 605: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604:Q: From what you have described I am going to suggest that this accident wasn't caused by any rocks on the road, it was caused by, as you have described, the manner in which you lost control, separate and apart from any kind of rocks or debris on the road. Isn't that fair?</w:t>
      </w:r>
    </w:p>
    <w:p>
      <w:pPr>
        <w:spacing w:before="120" w:line="260" w:lineRule="atLeast"/>
        <w:ind w:left="720"/>
        <w:rPr>
          <w:lang w:val="en-US" w:eastAsia="en-US" w:bidi="ar-SA"/>
        </w:rPr>
      </w:pPr>
      <w:r>
        <w:rPr>
          <w:rFonts w:ascii="arial" w:eastAsia="arial" w:hAnsi="arial" w:cs="arial"/>
          <w:color w:val="000000"/>
          <w:sz w:val="20"/>
          <w:lang w:val="en-US" w:eastAsia="en-US" w:bidi="ar-SA"/>
        </w:rPr>
        <w:t>A: Well, I believe by hitting the debris on the side of the road that that was a partial cause of the fall.</w:t>
      </w:r>
    </w:p>
    <w:p>
      <w:pPr>
        <w:spacing w:before="120" w:line="260" w:lineRule="atLeast"/>
        <w:ind w:left="720"/>
        <w:rPr>
          <w:lang w:val="en-US" w:eastAsia="en-US" w:bidi="ar-SA"/>
        </w:rPr>
      </w:pPr>
      <w:r>
        <w:rPr>
          <w:rFonts w:ascii="arial" w:eastAsia="arial" w:hAnsi="arial" w:cs="arial"/>
          <w:color w:val="000000"/>
          <w:sz w:val="20"/>
          <w:lang w:val="en-US" w:eastAsia="en-US" w:bidi="ar-SA"/>
        </w:rPr>
        <w:t>605:Q: Sure, but that debris was on the side of the road and wasn't on the road itself, was 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evidence that running along the side of the road were areas where there was some gravel. Clearly the plaintiff might have "hit something" if he had rollerbladed off the paved portion of the road. His answer on his discovery does throw doubt on his evidence at trial. I conclude that it is not clear what caused the plaintiff to fall as he rollerbladed out of control downhill, whether it was hitting debris on the road or immediately adjacent to the road or for some other reason.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any event, I do not think it matters because while the defendant gave evidence that steps were taken each day to ensure the road was clear of debris, it seems to me that it would require a standard of perfection to expect that the road would be completely free of gravel or small rocks in the circumstances. In my view the defendant did not owe the plaintiff a duty to see that there was no gravel or debris on the eleven kilometres of road at any time when he could be expected to be rollerblading.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Similarly, it is my view that the plaintiff has not established that the defendant failed to take reasonable care to ensure that the plaintiff would be reasonably safe while rollerblading on the Mainline Road. The roadway and the S Curves were not a hidden or unusual danger which required special warning to be given to someone like the plaintiff. Cautionary warning signs of curves and downhill grades were posted at both ends of the S Curves.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my view, the plaintiff has not shown on a balance of probabilities that the defendant is liable to him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Occupiers Liability Act. Accordingly, the plaintiff's claim must be dismissed with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CATLIFF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Home Depot of Canada Inc. v. Ladner Downs, [2003] B.C.J. No. 2905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Loo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28,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19,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S024335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2905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1928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22 B.C.L.R. (4th) 348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43 C.P.C. (5th) 299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127 A.C.W.S. (3d) 1092</w:t>
      </w:r>
    </w:p>
    <w:p>
      <w:pPr>
        <w:spacing w:before="120" w:line="260" w:lineRule="atLeast"/>
        <w:rPr>
          <w:lang w:val="en-US" w:eastAsia="en-US" w:bidi="ar-SA"/>
        </w:rPr>
      </w:pPr>
      <w:r>
        <w:rPr>
          <w:rFonts w:ascii="arial" w:eastAsia="arial" w:hAnsi="arial" w:cs="arial"/>
          <w:color w:val="000000"/>
          <w:sz w:val="20"/>
          <w:lang w:val="en-US" w:eastAsia="en-US" w:bidi="ar-SA"/>
        </w:rPr>
        <w:t>Between Home Depot of Canada Inc., plaintiff, and Ladner Downs, Borden Ladner Gervais LLP and Larry R. Sandrin, defendants, and SJH Realty Advisory Services Ltd. and Stephen J. Henderson,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8" style="position:absolute;z-index:2516643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2" w:name="Keywords_5"/>
      <w:bookmarkEnd w:id="52"/>
      <w:r>
        <w:rPr>
          <w:rFonts w:ascii="arial" w:eastAsia="arial" w:hAnsi="arial" w:cs="arial"/>
          <w:b/>
          <w:color w:val="000000"/>
          <w:sz w:val="20"/>
          <w:lang w:val="en-US" w:eastAsia="en-US" w:bidi="ar-SA"/>
        </w:rPr>
        <w:t>Practice — Discovery — Examination, range of — Privileged topics or communications — What documents must be produced — Privilege — Privileged documents, document prepared in contemplation of litigation.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3" w:name="Case Summary_4"/>
            <w:bookmarkEnd w:id="5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Ladner Downs for document production from Home Depot. Home Depot brought an action against Ladner Downs, its former solicitors,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real estate transaction. In preparation for the litigation, Home Depot's counsel obtained a sworn statement from a consultant who acted for Home Depot on the transaction. Ladner Downs third-partied the consultant and sought to obtain the statement. Previous cases held that the taking of sworn evidence outside the pre-trial procedures under the Rules was improper, as it entangled a prospective witness's conscience. Home Depot argued that any impropriety in taking the consultant's sworn statement was irrelevant to the litigation privilege attaching to it, and that the privilege was common to Home Depot and the consultant as a third party. Ladner Downs argued that the impropriety in obtaining the statement defeated its otherwise privileged status, and in any case the statement was producible as a statement by an opposite party given the consultants' third-party status. </w:t>
            </w:r>
            <w:r>
              <w:rPr>
                <w:lang w:val="en-US" w:eastAsia="en-US" w:bidi="ar-SA"/>
              </w:rPr>
              <w:cr/>
            </w:r>
          </w:p>
          <w:p>
            <w:pPr>
              <w:spacing w:before="120" w:line="260" w:lineRule="atLeast"/>
              <w:ind w:left="240"/>
              <w:jc w:val="both"/>
              <w:rPr>
                <w:lang w:val="en-US" w:eastAsia="en-US" w:bidi="ar-SA"/>
              </w:rPr>
            </w:pPr>
            <w:bookmarkStart w:id="54" w:name="Holdings of Court_3"/>
            <w:bookmarkEnd w:id="54"/>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Since the statement was otherwise privileged, the possible impropriety of its having been obtained in sworn form was not so severe as to destroy its privileged status. In any case, since the third-party consultant and Home Depot had a common interest in the litigation, the statement was protected by common-interest privilege which treated Home Depot and the third party as one party in possession of the statement. </w:t>
            </w:r>
            <w:r>
              <w:rPr>
                <w:lang w:val="en-US" w:eastAsia="en-US" w:bidi="ar-SA"/>
              </w:rPr>
              <w:cr/>
            </w:r>
          </w:p>
          <w:p>
            <w:pPr>
              <w:rPr>
                <w:lang w:val="en-US" w:eastAsia="en-US" w:bidi="ar-SA"/>
              </w:rPr>
            </w:pPr>
          </w:p>
        </w:tc>
      </w:tr>
    </w:tbl>
    <w:p>
      <w:pPr>
        <w:jc w:val="both"/>
        <w:rPr>
          <w:lang w:val="en-US" w:eastAsia="en-US" w:bidi="ar-SA"/>
        </w:rPr>
      </w:pPr>
      <w:bookmarkStart w:id="55" w:name="Legislation Cited_5"/>
      <w:bookmarkEnd w:id="5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59" style="position:absolute;z-index:2517155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27, 28.</w:t>
      </w:r>
      <w:r>
        <w:rPr>
          <w:lang w:val="en-US" w:eastAsia="en-US" w:bidi="ar-SA"/>
        </w:rPr>
        <w:cr/>
      </w:r>
    </w:p>
    <w:p>
      <w:pPr>
        <w:keepNext/>
        <w:spacing w:before="240" w:line="340" w:lineRule="atLeast"/>
        <w:rPr>
          <w:lang w:val="en-US" w:eastAsia="en-US" w:bidi="ar-SA"/>
        </w:rPr>
      </w:pPr>
      <w:bookmarkStart w:id="56" w:name="Counsel_5"/>
      <w:bookmarkEnd w:id="5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0" style="position:absolute;z-index:2517667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R.J. Sewell, Q.C., for the plaintiff/respondent. G.K. Macintosh, Q.C., for the defendants/applicants. H.S. MacDonald, for the third parties/respondents.</w:t>
      </w:r>
      <w:r>
        <w:rPr>
          <w:lang w:val="en-US" w:eastAsia="en-US" w:bidi="ar-SA"/>
        </w:rPr>
        <w:cr/>
      </w:r>
    </w:p>
    <w:p>
      <w:pPr>
        <w:spacing w:after="240"/>
        <w:rPr>
          <w:lang w:val="en-US" w:eastAsia="en-US" w:bidi="ar-SA"/>
        </w:rPr>
      </w:pPr>
      <w:bookmarkStart w:id="57" w:name="Judgment_5"/>
      <w:bookmarkEnd w:id="57"/>
      <w:r>
        <w:pict>
          <v:line id="_x0000_s1061" style="position:absolute;z-index:2518179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8" w:name="LOO J._0"/>
            <w:bookmarkEnd w:id="58"/>
            <w:r>
              <w:rPr>
                <w:rFonts w:ascii="arial" w:eastAsia="arial" w:hAnsi="arial" w:cs="arial"/>
                <w:b/>
                <w:color w:val="000000"/>
                <w:sz w:val="30"/>
                <w:lang w:val="en-US" w:eastAsia="en-US" w:bidi="ar-SA"/>
              </w:rPr>
              <w:t>LOO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an order for production of a sworn witness statement obtained by counsel for the plaintiff, and all documents relating to the statement, including counsel's notes of any discussions with the witness, and any drafts of the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application raises the issue of whether privilege is waived when in anticipation of litigation, a solicitor obtains the sworn statement of a witness. It is agreed that if the statement had not been sworn, it would be protected by privilege (see Voth Bros. Construction (1974) Ltd. v. North Vancouver School District No. 44 </w:t>
      </w:r>
      <w:hyperlink r:id="rId127" w:history="1">
        <w:r>
          <w:rPr>
            <w:rFonts w:ascii="arial" w:eastAsia="arial" w:hAnsi="arial" w:cs="arial"/>
            <w:i/>
            <w:color w:val="0077CC"/>
            <w:sz w:val="20"/>
            <w:u w:val="single"/>
            <w:shd w:val="clear" w:color="auto" w:fill="FFFFFF"/>
            <w:lang w:val="en-US" w:eastAsia="en-US" w:bidi="ar-SA"/>
          </w:rPr>
          <w:t>(1981), 29 B.C.L.R. 114</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rely on Pierre v. Lil'Wat Nation </w:t>
      </w:r>
      <w:hyperlink r:id="rId128" w:history="1">
        <w:r>
          <w:rPr>
            <w:rFonts w:ascii="arial" w:eastAsia="arial" w:hAnsi="arial" w:cs="arial"/>
            <w:i/>
            <w:color w:val="0077CC"/>
            <w:sz w:val="20"/>
            <w:u w:val="single"/>
            <w:shd w:val="clear" w:color="auto" w:fill="FFFFFF"/>
            <w:lang w:val="en-US" w:eastAsia="en-US" w:bidi="ar-SA"/>
          </w:rPr>
          <w:t>(1999), 61 B.C.L.R. (3d) 381</w:t>
        </w:r>
      </w:hyperlink>
      <w:r>
        <w:rPr>
          <w:rFonts w:ascii="arial" w:eastAsia="arial" w:hAnsi="arial" w:cs="arial"/>
          <w:color w:val="000000"/>
          <w:sz w:val="20"/>
          <w:lang w:val="en-US" w:eastAsia="en-US" w:bidi="ar-SA"/>
        </w:rPr>
        <w:t xml:space="preserve"> (S.C.), which was referred to in Golden Capital Securities Ltd. v. Holmes </w:t>
      </w:r>
      <w:hyperlink r:id="rId129" w:history="1">
        <w:r>
          <w:rPr>
            <w:rFonts w:ascii="arial" w:eastAsia="arial" w:hAnsi="arial" w:cs="arial"/>
            <w:i/>
            <w:color w:val="0077CC"/>
            <w:sz w:val="20"/>
            <w:u w:val="single"/>
            <w:shd w:val="clear" w:color="auto" w:fill="FFFFFF"/>
            <w:lang w:val="en-US" w:eastAsia="en-US" w:bidi="ar-SA"/>
          </w:rPr>
          <w:t>(2001), 95 B.C.L.R. (3d) 391</w:t>
        </w:r>
      </w:hyperlink>
      <w:r>
        <w:rPr>
          <w:rFonts w:ascii="arial" w:eastAsia="arial" w:hAnsi="arial" w:cs="arial"/>
          <w:color w:val="000000"/>
          <w:sz w:val="20"/>
          <w:lang w:val="en-US" w:eastAsia="en-US" w:bidi="ar-SA"/>
        </w:rPr>
        <w:t xml:space="preserve"> (S.C.) and contend that by taking a sworn statement, privilege is waived.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earlier litigation, a company brought an action against the plaintiff for breach of a contract for the purchase and sale of land in North Vancouver. The plaintiff settled the action on payment of $3 million and then commenced this action against its former solicitors alleging that they failed to ensure that the liquidated damages clause in the contract limited its liability to $500,000.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party, Stephen Henderson, was a consultant to the plaintiff and involved in negotiations relating to the land purchase. Mr. Henderson is alleged by the defendants to have approved the form of the liquidated damages clause contained in the contract of purchase and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Mr. Henderson was named as a third party, counsel for the plaintiff obtained Mr. Henderson's statement of evidence in the form of a statutory declaration. Counsel for the third parties subsequently obtained from counsel for the plaintiff, a copy of Mr. Henderson's sworn statement. Counsel for the defendants have demanded that the statement be produced to them, but counsel for the plaintiff and counsel for the defendants have refused on the ground that the statement is protected by privilege.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Pierre v. Lil'Wat Nation </w:t>
      </w:r>
      <w:hyperlink r:id="rId128" w:history="1">
        <w:r>
          <w:rPr>
            <w:rFonts w:ascii="arial" w:eastAsia="arial" w:hAnsi="arial" w:cs="arial"/>
            <w:i/>
            <w:color w:val="0077CC"/>
            <w:sz w:val="20"/>
            <w:u w:val="single"/>
            <w:shd w:val="clear" w:color="auto" w:fill="FFFFFF"/>
            <w:lang w:val="en-US" w:eastAsia="en-US" w:bidi="ar-SA"/>
          </w:rPr>
          <w:t>(1999), 61 B.C.L.R. (3d) 381</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contend there is a prohibition against binding a prospective witness to a sworn statement or statutory declaration extra-judicially and in advance of trial if that statement is not intended for use as primary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courts have suggested that taking the sworn statement of a witness is "improper" and "should be avoided", there is no direct authority for the proposition advanced by the defendants that by doing so, privilege is waived.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Pierre v. Lil'Wat Nation, counsel for the plaintiff obtained the affidavit of a witness who was not a party to the action, but whose evidence was necessary as part of the plaintiff's case. The witness died before trial, and the plaintiff sought to introduce the affidavit as evidence at trial. While Fraser J. concluded that the affidavit was admissible, he raised the "side issue" of whether it was proper to record a witness statement in a sworn form before trial. He states at [paragraphs] 19 to 29: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raised with Mr. Ashcroft my belief that it had been held improper to record the statement of a witness in sworn form before trial. Mr. Ashcroft was not aware of any such stricture, nor were other counsel. However, research conducted by my law clerk</w:t>
            </w:r>
            <w:bookmarkStart w:id="59" w:name="Backward_fnref_fnr-2_0"/>
            <w:hyperlink w:anchor="Forward_fnref_fnr-2" w:history="1">
              <w:r>
                <w:rPr>
                  <w:rFonts w:ascii="arial" w:eastAsia="arial" w:hAnsi="arial" w:cs="arial"/>
                  <w:b/>
                  <w:color w:val="BE161D"/>
                  <w:sz w:val="18"/>
                  <w:shd w:val="clear" w:color="auto" w:fill="FFFFFF"/>
                  <w:vertAlign w:val="superscript"/>
                  <w:lang w:val="en-US" w:eastAsia="en-US" w:bidi="ar-SA"/>
                </w:rPr>
                <w:t>2</w:t>
              </w:r>
            </w:hyperlink>
            <w:bookmarkEnd w:id="59"/>
            <w:r>
              <w:rPr>
                <w:rFonts w:ascii="arial" w:eastAsia="arial" w:hAnsi="arial" w:cs="arial"/>
                <w:color w:val="000000"/>
                <w:sz w:val="18"/>
                <w:lang w:val="en-US" w:eastAsia="en-US" w:bidi="ar-SA"/>
              </w:rPr>
              <w:t xml:space="preserve"> has unearthed some judicial views.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1845, Lord Langdale, Master of the Rolls, said the following of a solicitor who had embodied the statement of witness in an affidavit: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440"/>
        <w:rPr>
          <w:lang w:val="en-US" w:eastAsia="en-US" w:bidi="ar-SA"/>
        </w:rPr>
      </w:pPr>
      <w:r>
        <w:rPr>
          <w:rFonts w:ascii="arial" w:eastAsia="arial" w:hAnsi="arial" w:cs="arial"/>
          <w:color w:val="000000"/>
          <w:sz w:val="20"/>
          <w:lang w:val="en-US" w:eastAsia="en-US" w:bidi="ar-SA"/>
        </w:rPr>
        <w:t>When Mr. Sladden obtained an affidavit from a witness, or from a person whom he intended to examine as a witness, and whose affidavit he did not want for any purpose in the cause, he acted under a mistaken notion. I have not found that he misconducted himself in getting the information; it was necessary in the conduct of a cause by any solicitor who has the management thereof; he must communicate with the persons who are to prove the facts. How else is it possible to allege those facts truly? And he is perfectly justified in doing so fairly and openly, and in taking notes for the instruction of counsel, that he may know what evidence those witnesses may give hereafter. This gentleman went further than this, and obtained an affidavit, the effect of which was to entangle the conscience of the witness. I think that was erroneous, and I hope it is not a practice that will be followed by himself or any other solicitor ....</w:t>
      </w:r>
      <w:bookmarkStart w:id="60"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60"/>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21</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1892, Strong J., later Strong CJC, of the Supreme Court of Canada, referred to the statement of Lord Langdale and held that the taking of a statutory declaration from a witness before trial was a circumstance which would disincline him to attach weight to the witness' testimony. He described the witness' testimony at trial as having been given "in vinculis as it were, his conscience bound by the statutory declaration most improperly taken from him by the petitioner's solicitor."</w:t>
            </w:r>
            <w:bookmarkStart w:id="61" w:name="Backward_fnref_fnr-4_0"/>
            <w:hyperlink w:anchor="Forward_fnref_fnr-4" w:history="1">
              <w:r>
                <w:rPr>
                  <w:rFonts w:ascii="arial" w:eastAsia="arial" w:hAnsi="arial" w:cs="arial"/>
                  <w:b/>
                  <w:color w:val="BE161D"/>
                  <w:sz w:val="18"/>
                  <w:shd w:val="clear" w:color="auto" w:fill="FFFFFF"/>
                  <w:vertAlign w:val="superscript"/>
                  <w:lang w:val="en-US" w:eastAsia="en-US" w:bidi="ar-SA"/>
                </w:rPr>
                <w:t>4</w:t>
              </w:r>
            </w:hyperlink>
            <w:bookmarkEnd w:id="61"/>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22</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1905, Street J., of the Ontario High Court, with reference to the testimony of a witness, said: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440"/>
        <w:rPr>
          <w:lang w:val="en-US" w:eastAsia="en-US" w:bidi="ar-SA"/>
        </w:rPr>
      </w:pPr>
      <w:r>
        <w:rPr>
          <w:rFonts w:ascii="arial" w:eastAsia="arial" w:hAnsi="arial" w:cs="arial"/>
          <w:color w:val="000000"/>
          <w:sz w:val="20"/>
          <w:lang w:val="en-US" w:eastAsia="en-US" w:bidi="ar-SA"/>
        </w:rPr>
        <w:t>It was strongly urged against the credibility of his testimony, that having made the statutory declaration of the 15th June, 1904, he was in vinculis and was not free to vary from it except at the risk of a prosecution for perjury.</w:t>
      </w:r>
    </w:p>
    <w:p>
      <w:pPr>
        <w:spacing w:before="120" w:line="260" w:lineRule="atLeast"/>
        <w:ind w:left="1080"/>
        <w:rPr>
          <w:lang w:val="en-US" w:eastAsia="en-US" w:bidi="ar-SA"/>
        </w:rPr>
      </w:pPr>
      <w:r>
        <w:rPr>
          <w:rFonts w:ascii="arial" w:eastAsia="arial" w:hAnsi="arial" w:cs="arial"/>
          <w:color w:val="000000"/>
          <w:sz w:val="20"/>
          <w:lang w:val="en-US" w:eastAsia="en-US" w:bidi="ar-SA"/>
        </w:rPr>
        <w:t>Street J. distinguished Harvey v. Mount and German v. Rothery because, in the case before him, no action was pending or contemplated at the time the statement was taken. He went on to say:</w:t>
      </w:r>
    </w:p>
    <w:p>
      <w:pPr>
        <w:spacing w:before="120" w:line="260" w:lineRule="atLeast"/>
        <w:ind w:left="1440"/>
        <w:rPr>
          <w:lang w:val="en-US" w:eastAsia="en-US" w:bidi="ar-SA"/>
        </w:rPr>
      </w:pPr>
      <w:r>
        <w:rPr>
          <w:rFonts w:ascii="arial" w:eastAsia="arial" w:hAnsi="arial" w:cs="arial"/>
          <w:color w:val="000000"/>
          <w:sz w:val="20"/>
          <w:lang w:val="en-US" w:eastAsia="en-US" w:bidi="ar-SA"/>
        </w:rPr>
        <w:t>At the same time, however, I am bound to say that a simple signed statement would have been quite as effectual for any conceivable purpose, more so for most purposes, and would not have been open to the objections which have been taken here. The taking of unnecessary statutory declarations is a practice which should be avoided."</w:t>
      </w:r>
      <w:bookmarkStart w:id="62"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62"/>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23</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1909, Mathers J., of the Manitoba Court of Kings Bench, later Mathers CJKB, held: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440"/>
        <w:rPr>
          <w:lang w:val="en-US" w:eastAsia="en-US" w:bidi="ar-SA"/>
        </w:rPr>
      </w:pPr>
      <w:r>
        <w:rPr>
          <w:rFonts w:ascii="arial" w:eastAsia="arial" w:hAnsi="arial" w:cs="arial"/>
          <w:color w:val="000000"/>
          <w:sz w:val="20"/>
          <w:lang w:val="en-US" w:eastAsia="en-US" w:bidi="ar-SA"/>
        </w:rPr>
        <w:t>The object of the defendants in procuring the two extra-judicial affidavits was, I am satisfied, to fetter the conscience of these witnesses at the trial by having them committed in advance to a story favourable to them. The defendants' conduct in this respect was highly reprehensible. The officers before whom these affidavits were taken ... could hardly be ignorant of the great impropriety of endeavouring to tie a witness by an extra-judicial oath to an ex parte ante-trial statement for the purpose of influencing his evidence when given under oath at the trial.</w:t>
      </w:r>
      <w:bookmarkStart w:id="63"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63"/>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24</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1963, Monnin JA, of the Manitoba Court of Appeal, later Monnin CJM, referred to the "impropriety of attempting to fetter the conscience of a party or a witness by securing his signature to an affidavit or a statutory declaration (as distinguished from an ordinary statement)" and concluded, "I have thought it appropriate to refer to the subject here, as a warning to the Bar and others against this undesirable practice."</w:t>
            </w:r>
            <w:bookmarkStart w:id="64" w:name="Backward_fnref_fnr-7"/>
            <w:hyperlink w:anchor="Forward_fnref_fnr-7" w:history="1">
              <w:r>
                <w:rPr>
                  <w:rFonts w:ascii="arial" w:eastAsia="arial" w:hAnsi="arial" w:cs="arial"/>
                  <w:b/>
                  <w:color w:val="BE161D"/>
                  <w:sz w:val="18"/>
                  <w:shd w:val="clear" w:color="auto" w:fill="FFFFFF"/>
                  <w:vertAlign w:val="superscript"/>
                  <w:lang w:val="en-US" w:eastAsia="en-US" w:bidi="ar-SA"/>
                </w:rPr>
                <w:t>7</w:t>
              </w:r>
            </w:hyperlink>
            <w:bookmarkEnd w:id="64"/>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Time does not permit me to give counsel an opportunity to comment on these authorities. They require my decision on the admissibility of the affidavit, as the trial of the issue will soon be on us. Nor do I claim that the research undertaken has been exhaustive. However, it does seem that the authorities found all go in one direction, such that it is appropriate for me to use them for the conclusions which follow.</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26</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As Lord Langdale observed, it is good and prudent practice for a solicitor to obtain written statements from prospective witnesses. The taking of such a statement is not rendered improper if one of the intended potential functions of it is to impeach the witness at trial if he or she says something different in testimony than appears in the statement.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27</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 can recognize as contemptible someone who deliberately gives a false, unsworn statement, thereby gulling counsel into calling him or her to testify. In dismissing such a witness recently, Warren J. called her "disreputable", to her face.</w:t>
            </w:r>
            <w:bookmarkStart w:id="65" w:name="Backward_fnref_fnr-8"/>
            <w:hyperlink w:anchor="Forward_fnref_fnr-8" w:history="1">
              <w:r>
                <w:rPr>
                  <w:rFonts w:ascii="arial" w:eastAsia="arial" w:hAnsi="arial" w:cs="arial"/>
                  <w:b/>
                  <w:color w:val="BE161D"/>
                  <w:sz w:val="18"/>
                  <w:shd w:val="clear" w:color="auto" w:fill="FFFFFF"/>
                  <w:vertAlign w:val="superscript"/>
                  <w:lang w:val="en-US" w:eastAsia="en-US" w:bidi="ar-SA"/>
                </w:rPr>
                <w:t>8</w:t>
              </w:r>
            </w:hyperlink>
            <w:bookmarkEnd w:id="65"/>
            <w:r>
              <w:rPr>
                <w:rFonts w:ascii="arial" w:eastAsia="arial" w:hAnsi="arial" w:cs="arial"/>
                <w:color w:val="000000"/>
                <w:sz w:val="18"/>
                <w:lang w:val="en-US" w:eastAsia="en-US" w:bidi="ar-SA"/>
              </w:rPr>
              <w:t xml:space="preserve"> Less blameworthy but unhappily familiar is the person who carelessly gives an inaccurate statement to someone preparing for trial. The temptation to test prospective witnesses by requesting a sworn statement is understandable.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28</w:t>
            </w:r>
          </w:p>
        </w:tc>
        <w:tc>
          <w:tcPr>
            <w:tcW w:w="410"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However, I agree with the judges I have quoted that it is improper to have a prospective witness provide a statement under oath, before trial, if there is no intention to use it as primary evidence. This is because of the overriding interest of the system -- and of society -- in having accurate and truthful evidence at trial. Binding a witness to a statement made before trial by having it sworn compromises this interest by setting up serious consequences for a witness who wishes to testify truthfully, when the truth is in conflict with the statement. The threat to the fact-finding process is the more insidious when it is understood that if the testimony at trial is consistent with the sworn statement, the Court may never learn of the existence of the statement.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29</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If counsel before me, all of whom are experienced, senior counsel, were unaware of this ethical rule, I see it as reasonable to assume that the Bar generally is also unaware. No great criticism attaches to Mr. Ashcroft; but, notwith-standing that the warnings of past judges seem to have disappeared from the consciousness of the Bar, perhaps these reasons will serve as a guide to the treatment of witnesses in future.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review of the cases cited in Pierre v. Lil'Wat Nation discloses that none of the cases dealt with the issue of privilege, let alone go so far as to suggest that privilege is waived when the statement of a witness is made under oath. In Harvey v. Mount (1845), 14 L.J. Ch. 233 (Eng. Rolls Ct.), which appears to be the seminal case, the taking of voluntary extra-judicial oaths or affidavits was prohibited by statute and described as a "legal offence". The concern with a sworn statement appears to be not only that it was an offence, but that it might bind a witness and inhibit the witness from giving full or truthful testimony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Courts of Chancery, there were no examinations for discovery as we have now. There was examination by way of interrogatories, but it was limited, required leave of the court, and usually occurred only when a witness was unavailable for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German v. Rothery (the Welland Election Case) </w:t>
      </w:r>
      <w:hyperlink r:id="rId130" w:history="1">
        <w:r>
          <w:rPr>
            <w:rFonts w:ascii="arial" w:eastAsia="arial" w:hAnsi="arial" w:cs="arial"/>
            <w:i/>
            <w:color w:val="0077CC"/>
            <w:sz w:val="20"/>
            <w:u w:val="single"/>
            <w:shd w:val="clear" w:color="auto" w:fill="FFFFFF"/>
            <w:lang w:val="en-US" w:eastAsia="en-US" w:bidi="ar-SA"/>
          </w:rPr>
          <w:t>(1892), 20 S.C.R. 376</w:t>
        </w:r>
      </w:hyperlink>
      <w:r>
        <w:rPr>
          <w:rFonts w:ascii="arial" w:eastAsia="arial" w:hAnsi="arial" w:cs="arial"/>
          <w:color w:val="000000"/>
          <w:sz w:val="20"/>
          <w:lang w:val="en-US" w:eastAsia="en-US" w:bidi="ar-SA"/>
        </w:rPr>
        <w:t xml:space="preserve"> was an appeal from a finding that the appellant was guilty of a corrupt election practice by offering W. employment in exchange for his vote. The evidence consisted of the conflicting evidence of the appellant and W. The trial judges accepted the evidence of W. and convicted the appellant. It was argued before the Supreme Court of Canada that W.'s was not credible for a number of reasons, including the fact that he had made the sworn declaration in exchange for further employment (yet another bribe). Strong J. stated at p. 392 that W.'s statutory declaration was "most improperly taken from him" and referred to Harvey v. Mount. Patterson J. stated at p. 401: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practice of committing a witness to a certain statement of facts has occasionally been rebuked with severity and with justice, and there may be reasons found for regarding such evidence with caution and sometimes with suspicion.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Welland Election Case was referred to in Northern Navigation Co. v. Long </w:t>
      </w:r>
      <w:hyperlink r:id="rId131" w:history="1">
        <w:r>
          <w:rPr>
            <w:rFonts w:ascii="arial" w:eastAsia="arial" w:hAnsi="arial" w:cs="arial"/>
            <w:i/>
            <w:color w:val="0077CC"/>
            <w:sz w:val="20"/>
            <w:u w:val="single"/>
            <w:shd w:val="clear" w:color="auto" w:fill="FFFFFF"/>
            <w:lang w:val="en-US" w:eastAsia="en-US" w:bidi="ar-SA"/>
          </w:rPr>
          <w:t>(1905), 11 O.L.R. 230</w:t>
        </w:r>
      </w:hyperlink>
      <w:r>
        <w:rPr>
          <w:rFonts w:ascii="arial" w:eastAsia="arial" w:hAnsi="arial" w:cs="arial"/>
          <w:color w:val="000000"/>
          <w:sz w:val="20"/>
          <w:lang w:val="en-US" w:eastAsia="en-US" w:bidi="ar-SA"/>
        </w:rPr>
        <w:t>. Street J. stated at pp. 237-238: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foundation for the criticism of counsel for the defendants upon the action of the solicitor for the plaintiff company in obtaining this declaration seems to be the remarks of Lord Langdale, Master of the Rolls, in Harvey v. Mount (1845), 8 Beav. 439, at p. 454, followed as they are by those of Strong J., in the Welland Election Case </w:t>
      </w:r>
      <w:hyperlink r:id="rId130" w:history="1">
        <w:r>
          <w:rPr>
            <w:rFonts w:ascii="arial" w:eastAsia="arial" w:hAnsi="arial" w:cs="arial"/>
            <w:i/>
            <w:color w:val="0077CC"/>
            <w:sz w:val="20"/>
            <w:u w:val="single"/>
            <w:shd w:val="clear" w:color="auto" w:fill="FFFFFF"/>
            <w:lang w:val="en-US" w:eastAsia="en-US" w:bidi="ar-SA"/>
          </w:rPr>
          <w:t>(1892), 20 S.C.R. 376</w:t>
        </w:r>
      </w:hyperlink>
      <w:r>
        <w:rPr>
          <w:rFonts w:ascii="arial" w:eastAsia="arial" w:hAnsi="arial" w:cs="arial"/>
          <w:color w:val="000000"/>
          <w:sz w:val="20"/>
          <w:lang w:val="en-US" w:eastAsia="en-US" w:bidi="ar-SA"/>
        </w:rPr>
        <w:t xml:space="preserve">, at p. 392, in both of which cases the action of a solicitor who took, in the one case, an affidavit, and in the other case, a statutory declaration, from a person whom he intended to examine as a witness in a proceeding then pending in Court, was spoken of as "erroneous" or "improper," because the effect would be to entangle the conscience of the proposed witness. These cases can not be taken as being on all fours with the present, for the reason that when the statutory declaration of Macdonald was taken no action was pending, nor, so far as appears, was the necessity for bringing an action contemplated. At the same time, however, I am bound to say that a simple signed statement would have been quite as effectual for any conceivable purpose, more so for most purposes, and would not have been open to the objections which have been taken here. The taking of unnecessary statutory declarations is a practice which should be avoided. See also Re South Oxford Provincial Election </w:t>
      </w:r>
      <w:hyperlink r:id="rId132" w:history="1">
        <w:r>
          <w:rPr>
            <w:rFonts w:ascii="arial" w:eastAsia="arial" w:hAnsi="arial" w:cs="arial"/>
            <w:i/>
            <w:color w:val="0077CC"/>
            <w:sz w:val="20"/>
            <w:u w:val="single"/>
            <w:shd w:val="clear" w:color="auto" w:fill="FFFFFF"/>
            <w:lang w:val="en-US" w:eastAsia="en-US" w:bidi="ar-SA"/>
          </w:rPr>
          <w:t>(1902), 1 O.W.R. 795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Law v. Madden (1909), 11 W.L.R. 6 (Man. K.B.), should be distinguished. As noted in footnote six in Pierre v. Lil'Wat Nation, the facts were extreme: the deponents swore to facts they knew were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the taking of a sworn statement of a witness has been discouraged, the evidence of the witness has nevertheless been admitted. Edwards J. in Golden Capital Securities Ltd. v. Holmes stated at [paragraph] 21: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21</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agree the practice of taking an affidavit from a prospective witness to "nail down" the witness's testimony at trial is to be disapproved for the reasons expressed by Fraser J. However, I am not persuaded the court's disapproval must or should manifest itself in the remedy sought by the defendants, that is by the court refusing to hear Mr. Young's testimony.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far as I am aware, taking the affidavit or statutory declaration of a witness was not contrary to statute at the time of any of the Canadian cases referred to in Pierre v. Lil'Wat Nation. Currently in this province, the Rules of Court require sworn evidence (see for example, Rules 18A, 27 and 28), and it is common practice for a witness to have given sworn evidence prior to giving oral testimony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circumstances of this case, if the taking of Mr. Henderson's statement under oath was improper, it should not lead to the draconian step of destroying the client's privilege against production of a document which is otherwise privileged.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Common Interest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Alternately, the defendants contend that the statement and related documents are producible on the basis that Mr. Henderson is now an opposing party. That is, there is no basis on which the plaintiff can assert solicitor's brief privilege in relation to Mr. Henderson's statement against Mr. Henderson, the party, and very person who provided the statement. It is then argued that there is no basis on which Mr. Henderson, once he has the statement, to withhold the statement from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advancing these arguments, the defendants rely on Ridout Wines Ltd. v. Barratt </w:t>
      </w:r>
      <w:hyperlink r:id="rId133" w:history="1">
        <w:r>
          <w:rPr>
            <w:rFonts w:ascii="arial" w:eastAsia="arial" w:hAnsi="arial" w:cs="arial"/>
            <w:i/>
            <w:color w:val="0077CC"/>
            <w:sz w:val="20"/>
            <w:u w:val="single"/>
            <w:shd w:val="clear" w:color="auto" w:fill="FFFFFF"/>
            <w:lang w:val="en-US" w:eastAsia="en-US" w:bidi="ar-SA"/>
          </w:rPr>
          <w:t>(1983), 44 B.C.L.R. 142</w:t>
        </w:r>
      </w:hyperlink>
      <w:r>
        <w:rPr>
          <w:rFonts w:ascii="arial" w:eastAsia="arial" w:hAnsi="arial" w:cs="arial"/>
          <w:color w:val="000000"/>
          <w:sz w:val="20"/>
          <w:lang w:val="en-US" w:eastAsia="en-US" w:bidi="ar-SA"/>
        </w:rPr>
        <w:t xml:space="preserve"> (C.A.), and Geac Canada Ltd. v. Prologic Computer Corp. </w:t>
      </w:r>
      <w:hyperlink r:id="rId134" w:history="1">
        <w:r>
          <w:rPr>
            <w:rFonts w:ascii="arial" w:eastAsia="arial" w:hAnsi="arial" w:cs="arial"/>
            <w:i/>
            <w:color w:val="0077CC"/>
            <w:sz w:val="20"/>
            <w:u w:val="single"/>
            <w:shd w:val="clear" w:color="auto" w:fill="FFFFFF"/>
            <w:lang w:val="en-US" w:eastAsia="en-US" w:bidi="ar-SA"/>
          </w:rPr>
          <w:t>(1989), 26 C.P.R. (3d) 86</w:t>
        </w:r>
      </w:hyperlink>
      <w:r>
        <w:rPr>
          <w:rFonts w:ascii="arial" w:eastAsia="arial" w:hAnsi="arial" w:cs="arial"/>
          <w:color w:val="000000"/>
          <w:sz w:val="20"/>
          <w:lang w:val="en-US" w:eastAsia="en-US" w:bidi="ar-SA"/>
        </w:rPr>
        <w:t xml:space="preserve"> (B.C.S.C.) for the proposition that a statement taken from an opposite party, or employee, must be disclosed and produced, on the basis that there can be no question of confidentiality in the case of an opposite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in this case, Mr. Henderson was not a party at the time he made the statement, and the defendants concede that but for the fact his statement is sworn, it would be privileged.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with the contention made by the plaintiff and the third parties that production of Mr. Henderson's statement to counsel for Mr. Henderson has not waived privilege, but is protected by common interest privilege. As stated by McMahon J. in Western Canadian Place Ltd. v. Con-Force Products Ltd. (1997) 9 C.P.C. (4th ) 165 (Alta. Q.B.):</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law recognizes a "common interest privilege" which protects against waiver of privilege in a case where documents are shared between persons having a common interest in the litigation. Both parties cite Buttes Gas &amp; Oil v. Hammer (No. 3), [1980] 3 W.L.R. 668 (Eng. Q.B.) (reversed on other grounds [1981] 3 W.L.R. 787 (U.K. H.L.), where Lord Denning put the principle in these words:</w:t>
      </w:r>
    </w:p>
    <w:p>
      <w:pPr>
        <w:spacing w:before="120" w:line="260" w:lineRule="atLeast"/>
        <w:ind w:left="1080"/>
        <w:rPr>
          <w:lang w:val="en-US" w:eastAsia="en-US" w:bidi="ar-SA"/>
        </w:rPr>
      </w:pPr>
      <w:r>
        <w:rPr>
          <w:rFonts w:ascii="arial" w:eastAsia="arial" w:hAnsi="arial" w:cs="arial"/>
          <w:color w:val="000000"/>
          <w:sz w:val="20"/>
          <w:lang w:val="en-US" w:eastAsia="en-US" w:bidi="ar-SA"/>
        </w:rPr>
        <w:t>That is a privilege in aid of anticipated litigation in which several persons have a common interest. If [sic] often happens in litigation that a plaintiff or defendant has other persons standing alongside him who have the selfsame interest as he and who have consulted lawyers on the selfsame points as he but who have not been made parties to the action. Maybe for economy or for simplicity or what you will. All exchange counsel's opinions. All collect information for the purpose of litigation. All make copies. All await the outcome with the same anxious anticipation because it affects each as much as it does the others. Instances come readily to mind. Owners of adjoining houses complain of a nuisance which affects them both equally. Both take legal advice. Both exchange relevant documents. But only one is a plaintiff. An author writes a book and gets it published. It is said to contain a libel or to be an infringement of copyright. Both author and publisher take legal advice. Both exchange documents. But only one is made a defendant.</w:t>
      </w:r>
    </w:p>
    <w:p>
      <w:pPr>
        <w:spacing w:before="120" w:line="260" w:lineRule="atLeast"/>
        <w:ind w:left="1080"/>
        <w:rPr>
          <w:lang w:val="en-US" w:eastAsia="en-US" w:bidi="ar-SA"/>
        </w:rPr>
      </w:pPr>
      <w:r>
        <w:rPr>
          <w:rFonts w:ascii="arial" w:eastAsia="arial" w:hAnsi="arial" w:cs="arial"/>
          <w:color w:val="000000"/>
          <w:sz w:val="20"/>
          <w:lang w:val="en-US" w:eastAsia="en-US" w:bidi="ar-SA"/>
        </w:rPr>
        <w:t>In all such cases I think the courts should, for the purposes of discovery, treat all the persons interested as if they were partners in a single firm or departments in a single company. Each can avail himself of the privilege in aid of litigation. Each can collect information for the use of his or the other's legal adviser. Each can hold originals and each make copies. And so forth. All are the subject of the privilege in aid of anticipated litigation, even though it should transpire that, when the litigation is afterwards commenced, only one of them is made a party to it. No matter that one has the originals and the other has the copies. All are privileged.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foregoing reasons, the application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LOO J.</w:t>
      </w:r>
      <w:r>
        <w:rPr>
          <w:lang w:val="en-US" w:eastAsia="en-US" w:bidi="ar-SA"/>
        </w:rPr>
        <w:cr/>
      </w:r>
    </w:p>
    <w:p>
      <w:pPr>
        <w:spacing w:after="240"/>
        <w:rPr>
          <w:lang w:val="en-US" w:eastAsia="en-US" w:bidi="ar-SA"/>
        </w:rPr>
      </w:pPr>
      <w:r>
        <w:pict>
          <v:line id="_x0000_s1062" style="position:absolute;z-index:251869184" from="0,15pt" to="180pt,15pt" strokecolor="#bcbeb0" strokeweight="0.5pt">
            <v:stroke linestyle="single"/>
          </v:line>
        </w:pict>
      </w:r>
    </w:p>
    <w:p>
      <w:pPr>
        <w:rPr>
          <w:lang w:val="en-US" w:eastAsia="en-US" w:bidi="ar-SA"/>
        </w:rPr>
      </w:pPr>
    </w:p>
    <w:p>
      <w:pPr>
        <w:spacing w:before="120" w:after="20" w:line="240" w:lineRule="atLeast"/>
        <w:ind w:left="720" w:hanging="360"/>
        <w:jc w:val="both"/>
        <w:rPr>
          <w:lang w:val="en-US" w:eastAsia="en-US" w:bidi="ar-SA"/>
        </w:rPr>
      </w:pPr>
      <w:bookmarkStart w:id="66"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66"/>
      <w:r>
        <w:rPr>
          <w:lang w:val="en-US" w:eastAsia="en-US" w:bidi="ar-SA"/>
        </w:rPr>
        <w:tab/>
      </w:r>
      <w:r>
        <w:rPr>
          <w:rFonts w:ascii="arial" w:eastAsia="arial" w:hAnsi="arial" w:cs="arial"/>
          <w:color w:val="6D6E71"/>
          <w:sz w:val="18"/>
          <w:lang w:val="en-US" w:eastAsia="en-US" w:bidi="ar-SA"/>
        </w:rPr>
        <w:t>Michael Doerksen</w:t>
      </w:r>
    </w:p>
    <w:p>
      <w:pPr>
        <w:spacing w:before="120" w:after="20" w:line="240" w:lineRule="atLeast"/>
        <w:ind w:left="720" w:hanging="360"/>
        <w:jc w:val="both"/>
        <w:rPr>
          <w:lang w:val="en-US" w:eastAsia="en-US" w:bidi="ar-SA"/>
        </w:rPr>
      </w:pPr>
      <w:bookmarkStart w:id="67"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67"/>
      <w:r>
        <w:rPr>
          <w:lang w:val="en-US" w:eastAsia="en-US" w:bidi="ar-SA"/>
        </w:rPr>
        <w:tab/>
      </w:r>
      <w:r>
        <w:rPr>
          <w:rFonts w:ascii="arial" w:eastAsia="arial" w:hAnsi="arial" w:cs="arial"/>
          <w:color w:val="6D6E71"/>
          <w:sz w:val="18"/>
          <w:lang w:val="en-US" w:eastAsia="en-US" w:bidi="ar-SA"/>
        </w:rPr>
        <w:t>Harvey v. Mount (1845), 14 L.J. Ch. 233 (Eng. Rolls Ct.) at 240-1. The text of this passage in 8 Beav. 439 at 454-5, as reprinted in 50 E.R. 172, is somewhat different, and shorter. A comparison of the two leads me to the conclusion that the L.J. Ch. version is to be preferred.</w:t>
      </w:r>
    </w:p>
    <w:p>
      <w:pPr>
        <w:spacing w:before="120" w:after="20" w:line="240" w:lineRule="atLeast"/>
        <w:ind w:left="720" w:hanging="360"/>
        <w:jc w:val="both"/>
        <w:rPr>
          <w:lang w:val="en-US" w:eastAsia="en-US" w:bidi="ar-SA"/>
        </w:rPr>
      </w:pPr>
      <w:bookmarkStart w:id="68"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68"/>
      <w:r>
        <w:rPr>
          <w:lang w:val="en-US" w:eastAsia="en-US" w:bidi="ar-SA"/>
        </w:rPr>
        <w:tab/>
      </w:r>
      <w:r>
        <w:rPr>
          <w:rFonts w:ascii="arial" w:eastAsia="arial" w:hAnsi="arial" w:cs="arial"/>
          <w:color w:val="6D6E71"/>
          <w:sz w:val="18"/>
          <w:lang w:val="en-US" w:eastAsia="en-US" w:bidi="ar-SA"/>
        </w:rPr>
        <w:t xml:space="preserve">German v. Rothery </w:t>
      </w:r>
      <w:hyperlink r:id="rId130" w:history="1">
        <w:r>
          <w:rPr>
            <w:rFonts w:ascii="arial" w:eastAsia="arial" w:hAnsi="arial" w:cs="arial"/>
            <w:i/>
            <w:color w:val="0077CC"/>
            <w:sz w:val="18"/>
            <w:u w:val="single"/>
            <w:shd w:val="clear" w:color="auto" w:fill="FFFFFF"/>
            <w:lang w:val="en-US" w:eastAsia="en-US" w:bidi="ar-SA"/>
          </w:rPr>
          <w:t>(1892), 20 S.C.R. 376</w:t>
        </w:r>
      </w:hyperlink>
      <w:r>
        <w:rPr>
          <w:rFonts w:ascii="arial" w:eastAsia="arial" w:hAnsi="arial" w:cs="arial"/>
          <w:color w:val="6D6E71"/>
          <w:sz w:val="18"/>
          <w:lang w:val="en-US" w:eastAsia="en-US" w:bidi="ar-SA"/>
        </w:rPr>
        <w:t xml:space="preserve"> (S.C.C.) at 392.</w:t>
      </w:r>
    </w:p>
    <w:p>
      <w:pPr>
        <w:spacing w:before="120" w:after="20" w:line="240" w:lineRule="atLeast"/>
        <w:ind w:left="720" w:hanging="360"/>
        <w:jc w:val="both"/>
        <w:rPr>
          <w:lang w:val="en-US" w:eastAsia="en-US" w:bidi="ar-SA"/>
        </w:rPr>
      </w:pPr>
      <w:bookmarkStart w:id="69"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69"/>
      <w:r>
        <w:rPr>
          <w:lang w:val="en-US" w:eastAsia="en-US" w:bidi="ar-SA"/>
        </w:rPr>
        <w:tab/>
      </w:r>
      <w:r>
        <w:rPr>
          <w:rFonts w:ascii="arial" w:eastAsia="arial" w:hAnsi="arial" w:cs="arial"/>
          <w:color w:val="6D6E71"/>
          <w:sz w:val="18"/>
          <w:lang w:val="en-US" w:eastAsia="en-US" w:bidi="ar-SA"/>
        </w:rPr>
        <w:t xml:space="preserve">Northern Navigation Co. v. Long </w:t>
      </w:r>
      <w:hyperlink r:id="rId131" w:history="1">
        <w:r>
          <w:rPr>
            <w:rFonts w:ascii="arial" w:eastAsia="arial" w:hAnsi="arial" w:cs="arial"/>
            <w:i/>
            <w:color w:val="0077CC"/>
            <w:sz w:val="18"/>
            <w:u w:val="single"/>
            <w:shd w:val="clear" w:color="auto" w:fill="FFFFFF"/>
            <w:lang w:val="en-US" w:eastAsia="en-US" w:bidi="ar-SA"/>
          </w:rPr>
          <w:t>(1905), 11 O.L.R. 230</w:t>
        </w:r>
      </w:hyperlink>
      <w:r>
        <w:rPr>
          <w:rFonts w:ascii="arial" w:eastAsia="arial" w:hAnsi="arial" w:cs="arial"/>
          <w:color w:val="6D6E71"/>
          <w:sz w:val="18"/>
          <w:lang w:val="en-US" w:eastAsia="en-US" w:bidi="ar-SA"/>
        </w:rPr>
        <w:t xml:space="preserve"> (Ont. H.C.) at 237-8.</w:t>
      </w:r>
    </w:p>
    <w:p>
      <w:pPr>
        <w:spacing w:before="120" w:after="20" w:line="240" w:lineRule="atLeast"/>
        <w:ind w:left="720" w:hanging="360"/>
        <w:jc w:val="both"/>
        <w:rPr>
          <w:lang w:val="en-US" w:eastAsia="en-US" w:bidi="ar-SA"/>
        </w:rPr>
      </w:pPr>
      <w:bookmarkStart w:id="70"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70"/>
      <w:r>
        <w:rPr>
          <w:lang w:val="en-US" w:eastAsia="en-US" w:bidi="ar-SA"/>
        </w:rPr>
        <w:tab/>
      </w:r>
      <w:r>
        <w:rPr>
          <w:rFonts w:ascii="arial" w:eastAsia="arial" w:hAnsi="arial" w:cs="arial"/>
          <w:color w:val="6D6E71"/>
          <w:sz w:val="18"/>
          <w:lang w:val="en-US" w:eastAsia="en-US" w:bidi="ar-SA"/>
        </w:rPr>
        <w:t>Law v. Madden (1909), 11 W.L.R. 6 (Man. K.B.) at 9. The facts were extreme, given that the defendants knew that some of the facts deposed to were untrue.</w:t>
      </w:r>
    </w:p>
    <w:p>
      <w:pPr>
        <w:spacing w:before="120" w:after="20" w:line="240" w:lineRule="atLeast"/>
        <w:ind w:left="720" w:hanging="360"/>
        <w:jc w:val="both"/>
        <w:rPr>
          <w:lang w:val="en-US" w:eastAsia="en-US" w:bidi="ar-SA"/>
        </w:rPr>
      </w:pPr>
      <w:bookmarkStart w:id="71"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71"/>
      <w:r>
        <w:rPr>
          <w:lang w:val="en-US" w:eastAsia="en-US" w:bidi="ar-SA"/>
        </w:rPr>
        <w:tab/>
      </w:r>
      <w:r>
        <w:rPr>
          <w:rFonts w:ascii="arial" w:eastAsia="arial" w:hAnsi="arial" w:cs="arial"/>
          <w:color w:val="6D6E71"/>
          <w:sz w:val="18"/>
          <w:lang w:val="en-US" w:eastAsia="en-US" w:bidi="ar-SA"/>
        </w:rPr>
        <w:t xml:space="preserve">Johnson v. Reisel </w:t>
      </w:r>
      <w:hyperlink r:id="rId135" w:history="1">
        <w:r>
          <w:rPr>
            <w:rFonts w:ascii="arial" w:eastAsia="arial" w:hAnsi="arial" w:cs="arial"/>
            <w:i/>
            <w:color w:val="0077CC"/>
            <w:sz w:val="18"/>
            <w:u w:val="single"/>
            <w:shd w:val="clear" w:color="auto" w:fill="FFFFFF"/>
            <w:lang w:val="en-US" w:eastAsia="en-US" w:bidi="ar-SA"/>
          </w:rPr>
          <w:t>(1963), 40 D.L.R. (2d) 916</w:t>
        </w:r>
      </w:hyperlink>
      <w:r>
        <w:rPr>
          <w:rFonts w:ascii="arial" w:eastAsia="arial" w:hAnsi="arial" w:cs="arial"/>
          <w:color w:val="6D6E71"/>
          <w:sz w:val="18"/>
          <w:lang w:val="en-US" w:eastAsia="en-US" w:bidi="ar-SA"/>
        </w:rPr>
        <w:t xml:space="preserve"> (Man. C.A.) at 918 and 919.</w:t>
      </w:r>
    </w:p>
    <w:p>
      <w:pPr>
        <w:spacing w:before="120" w:after="20" w:line="240" w:lineRule="atLeast"/>
        <w:ind w:left="720" w:hanging="360"/>
        <w:jc w:val="both"/>
        <w:rPr>
          <w:lang w:val="en-US" w:eastAsia="en-US" w:bidi="ar-SA"/>
        </w:rPr>
      </w:pPr>
      <w:bookmarkStart w:id="72"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72"/>
      <w:r>
        <w:rPr>
          <w:lang w:val="en-US" w:eastAsia="en-US" w:bidi="ar-SA"/>
        </w:rPr>
        <w:tab/>
      </w:r>
      <w:r>
        <w:rPr>
          <w:rFonts w:ascii="arial" w:eastAsia="arial" w:hAnsi="arial" w:cs="arial"/>
          <w:color w:val="6D6E71"/>
          <w:sz w:val="18"/>
          <w:lang w:val="en-US" w:eastAsia="en-US" w:bidi="ar-SA"/>
        </w:rPr>
        <w:t xml:space="preserve">V.(K.) v. E.(T.), </w:t>
      </w:r>
      <w:hyperlink r:id="rId136" w:history="1">
        <w:r>
          <w:rPr>
            <w:rFonts w:ascii="arial" w:eastAsia="arial" w:hAnsi="arial" w:cs="arial"/>
            <w:i/>
            <w:color w:val="0077CC"/>
            <w:sz w:val="18"/>
            <w:u w:val="single"/>
            <w:shd w:val="clear" w:color="auto" w:fill="FFFFFF"/>
            <w:lang w:val="en-US" w:eastAsia="en-US" w:bidi="ar-SA"/>
          </w:rPr>
          <w:t>[1999] B.C.J. No. 434</w:t>
        </w:r>
      </w:hyperlink>
      <w:r>
        <w:rPr>
          <w:rFonts w:ascii="arial" w:eastAsia="arial" w:hAnsi="arial" w:cs="arial"/>
          <w:color w:val="6D6E71"/>
          <w:sz w:val="18"/>
          <w:lang w:val="en-US" w:eastAsia="en-US" w:bidi="ar-SA"/>
        </w:rPr>
        <w:t xml:space="preserve"> (February 25, 1999), Doc. Vancouver F970348 (B.C. S.C.), on 13th November 1998 [heard] during trial.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909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James v. British Columbia, [2006] B.C.J. No. 1286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and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03-2951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1111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David James,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6"/>
      <w:bookmarkEnd w:id="73"/>
      <w:r>
        <w:rPr>
          <w:rFonts w:ascii="arial" w:eastAsia="arial" w:hAnsi="arial" w:cs="arial"/>
          <w:b/>
          <w:color w:val="000000"/>
          <w:sz w:val="20"/>
          <w:lang w:val="en-US" w:eastAsia="en-US" w:bidi="ar-SA"/>
        </w:rPr>
        <w:t>Civil procedure — Estoppel — Estoppel by record (res judicata) — Consent judgments — Identity of parties and issues — Res judicata as a bar to subsequent proceedings — The defendant's application was allowed and the plaintiff's action for breach of duty of care against the province was dismissed as being res judicata — The facts upon which the action was based were the same as the previous action, the consent judgment was final, and although the parties were not the same, their privies were the same.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Defences — The defendant's application was allowed and the plaintiff's action against the province for breach of duty of care was dismissed as being res judicata — The facts upon which the action was based were the same as the previous action, the consent judgment was final, and although the parties were not the same, their privies were the same.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5"/>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application was allowed and the action was dismissed as being res judicata -- The plaintiff worked for a sawmill and was part of the local trade union -- The company that owned the sawmill had entered into a licence agreement with the province which contained a requirement that it not close its operations for a sustained period of time -- In 1997 that licence was replaced with a new licence which did not contain such a provision, and in 2001 the employer closed the sawmill -- The union brought a tort claim against the government for breach of a duty of care owed them by removing the clause from the licence, but upon receiving a negative legal opinion about the action's chances for success, upon a vote agreed to dispose of the action by means of a consent dismissal order -- The plaintiff learned of the consent dismissal order ending the claim against the government and brought his own action one months later, which was later certified as a class action -- The action claimed general damages, loss of income, etc. on his own behalf and on behalf of employees at the mill from the province -- An order was issued directing that the defences of res judicata, issue estoppel and abuse of process be tried preliminarily -- HELD: The defendant's application was allowed and the action was dismissed as being res judicata -- In a preliminary ruling, the viva voce evidence submitted by the plaintiff was admissible as it was relevant to the issue of "special circumstances" -- The facts upon which the action was based were the same as the previous action, the consent judgment was final, and although the parties were not the same, their privies were the same -- The factors introduced by the plaintiff regarding his alleged exclusion from the decisions leading up to the consent judgment were not sufficient for the court to exercise its discretion to decline to prevent relitigation notwithstanding the preconditions of estoppel.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6"/>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5(11), Rule 5(13) (a), Rule 39(29)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Class Proceedings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Counsel_6"/>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Arvay, Q.C. and P. Ramsay, Articling Student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J.E. Gouge, Q.C. and K. Horsman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6"/>
      <w:bookmarkEnd w:id="77"/>
      <w:r>
        <w:pict>
          <v:line id="_x0000_s1067"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R.D. WILSON J."/>
            <w:bookmarkEnd w:id="78"/>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statement of defence to the plaintiff's statement of claim, the defendant pleaded:</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further alternative and in further answer to the whole of the Statement of Claim, the issues giving rise to this action were resolved in Supreme Court of British Columbia, Vancouver Registry Action No. S012533, and the Crown says that this matter is thus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 an abuse of process. In the alternative, the Crown says that the plaintiff, either in his own capacity or as the proposed representative plaintiff on behalf of members of the proposed class, is estopped from bringing this claim as a result of the resolution of the action in Action No. S012533.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Pursuant to R. 39(29) the questions of fact and law, raised by that pleading, were ordered to be tried and determined, before the other questions currently at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trial of 27 and 28 March 2006, and these reasons for judgment, are confined to the issue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EVIDENTIARY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opening of the trial, the defendant filed, as Exhibit 1, admissions made by the plaintiff, in response to a notice to admit delivered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then sought to lead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to which the defendant took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contended that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was irrelevant to the question to be determined. All of the facts material to that determination, it was said, were contained in the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position, in response, is that if (and only if) the factors necessary for a conclusion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are found to prevail, then, nevertheless, due to special circumstances, the plaintiff's action should be permitted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One of the plaintiff's arguments in support of that contention is based upon the nature of the prior proceeding alleged in paragraph 7 of the defendant's statement of defence. That prior proceeding was a representative action (more fully defined below) over which the plaintiff had no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heard the testimony of the plaintiff's witnesses, conditionally, reserving my determination of its admissibility on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now conclude that the testimony is relevant to the issue of "special circumstances", and rule it admissible on the trial. That is to say, the testimony of Mr. James, Mr. Isaacsen, Ms. Melvin and Mr. Whiteford is admitted in their entireties.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Between 25 January 1999 and 26 January 2001, the plaintiff was employed by TFL Forest Ltd. He worked at his employer's sawmill at Youbou, B.C.. During that period, the plaintiff was a member of the Industrial Wood and Allied Workers of Canada, CLC, Local Union 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Much of the timber processed at the Youbou mill was harvested from Tree Farm License No. 46, issued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1991, the license was split, and made subject to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licensee will not cause its timber processing facility at Youbou to reduce production or to close for a sustained period of time, unless, and to the extent that the Minister or his designate, exempts the licensee from the requirement of this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1997, that license was replaced with a new license, the terms of which did not contain the wording of the clause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26 January 2001, TFL Forest Ltd. terminated its operations at the Youbou mill. In result, the plaintiff lost his job, that is to say, he "left the industry", and no longer qualified for membership in Local 1-80. He was issued a "withdrawal card" which defined the terms of his reinstatement, should he return to the industry. It did not confer any other benefits of union membership relevant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mill's demise precipitated a response in the community. The plaintiff remained engaged. He was aware of the options under consideration, including the proposed litigation. He attended a press conference held concurrently with the commencement of a proceeding, in the Vancouver Registry of this Court, under Action No. S012533, on 4 May 2001. The proceeding was a representative proceeding, brought under the authority of R. 5(11) of the Rules of Court</w:t>
      </w:r>
      <w:bookmarkStart w:id="79"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9"/>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that proceeding, the named plaintiffs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Industrial Wood and Allied Workers of Canada, CLC, Local Union 1-80;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William O. Routley on behalf of the 196 bargaining unit members employed by TFL Forest Ltd. Cowichan Sawmill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named defendants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the Province of British Columbia as represented by the Minister of Forests;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and Jane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material pleas for the purposes of these reasons for judgment, in the statement of claim in that proceeding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5, 1991, the Minister of Forests Dan Miller gave approval in principle to the request of Fletcher Challenge, subject to the condition of Clause 7 which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Fletcher agrees to include in the TFL that will be issued to them after the subdivision of TFL 46 the following clause: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licensee will not cause its timber processing facility at Youbou to reduce production or to close for a sustained period of time, unless, and to the extent that the Minister or his designate, exempts the licensee from the requirement of this paragraph.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prior to July 1, 1997, the Defendants ... removed [the clause referred to in paragraph 9] from [a replacement] license.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issuing the replacement TFL without [the clause referred to in paragraph 9], the Crown breached the duty of care owed to the Plaintiffs and thereby caused damages to the Plaintiffs.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aforesaid bad faith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 Employees have suffered and continue to suffer general damages, the particulars of which will be provided in due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prayer for relief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Routley on his own behalf and on behalf of the 196 bargaining unit members employed by TFL Ltd. Cowichan Sawmill Division claims against the Defendants, and each of them as follows: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Wage Loss;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 amendments thereto;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seem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that proceeding, the defendants' statement of defence contained, among others, the following allegation:</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reference to paragraph 3 the Defendants state that the Plaintiff Routley is not entitled to maintain the representative action on behalf of the employees by reason of the fact that the subject employees do not have the same interest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some point, the licensee, TFL Forest Ltd., was added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commencement of that proceeding, Mr. James continued his activity in the community, including participation in a community body known as the Youbou Timberless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Initially, he said, he was the "point man" for the dissemination of information, including information on the progress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Early in the history of that litigation, regular meetings were held in the Local 1-80 Union hall. Mr. Routley would attend those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frequency of those meetings declined over time; as did Mr. Routley's attendances. And too, there was a perceived conflict between the objectives of the members of the union and the objectives of other interested persons, primarily, apparently, those persons Mr. James described as "conservationists". In result, the group was disinvited from the use of the union hall facility. Thereafter, meetings were held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Meanwhile, counsel were pressing on with the extant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November 2002, counsel for the defendants informed counsel for the plaintiffs of instructions received to apply to strike the plaintiffs' statement of claim, because it failed to disclose a reasonable claim. In response, counsel for the plaintiffs suggested such an application be deferred, to allow time for counsel to seek instructions on whether Mr. Routley and the IWA wished to continue to prosecute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20 November 2002, Mr. Routley and the IWA instructed their counsel to prepare "a detailed legal opinion on our chances of success, and her opinion as to whether we should continue our lawsuit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letter dated 25 April 2003, counsel responded to Mr. Routley's instructions. Among other things, counsel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documents reviewed it will impossible to argue clause 7 (the "Youbou clause") was eliminated by a bureaucrat in the Ministry, without the knowledge and consent of the Minister. Accordingly, the allegations of bad faith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bureaucrats are unfounded which leaves the claim against the Minister of Forests for bad faith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will be impossible to succeed in an action against the Minister in the exercise of his discretion. Consequently, the lawsuit has no chance of succeeding and should be discontinued.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unlikely the court will find the Minister owed a private law duty of care to the IWA and the Youbou employees and, therefore, the case will not succeed.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legal opinion, this action cannot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foregoing we seek instructions to attempt to discontinue this action without costs to the IWA. If the Defendants will not agree to discontinue the matter without costs the Union will be responsible for taxable costs and disbursements. At this stage those will not be significant. However if the matter continues the defendants' costs will increase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a source not identified in his testimony, Mr. James learned that the IWA proposed to hold a meeting to consider counsel's recommendation that the litigation be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Isaacsen is also a former employee of the Youbou mill. He said that he too learned of the proposed meeting by "word of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Isaacsen said that he, Mr. James and two other former employees attended the meeting, at the union hall, on 10 May 2003. When the union executive entered the meeting room, they noted the presence of the four, and told them they were welcome to attend, but they could not participate in, nor vote at, the meeting. Mr. Routley then explained the opinion which had been received from litigation counsel. There was a vote by show of hands. The motion to instruct counsel to abandon the lawsuit carried unanimously.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James, and Mr. Isaacsen, said that if they had been allowed to vote they would have voted "no". Mr. James said he was unaware of any options open to him. Had he known he could "opt out" of Mr. Routley's representative action, he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evidence that Mr. James made any inquiries about the options, if any, available to him. However, he did request of Mr. Routley that Mr. Routley inquire into the availability of counsel who would take the action on a contingency fee arrangement. Nothing developed from that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then proceeded to finalize the matter. Counsel for the union and Mr. Routley prepared, and circulated, a consent dismissal order. The order was entered 29 May 2003. By that order, the proceedings were dismissed without costs to any party. Rule 5(13)(a)</w:t>
      </w:r>
      <w:bookmarkStart w:id="80" w:name="Backward_fnref_fnr-2_1"/>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0"/>
      <w:r>
        <w:rPr>
          <w:rFonts w:ascii="arial" w:eastAsia="arial" w:hAnsi="arial" w:cs="arial"/>
          <w:color w:val="000000"/>
          <w:sz w:val="20"/>
          <w:lang w:val="en-US" w:eastAsia="en-US" w:bidi="ar-SA"/>
        </w:rPr>
        <w:t xml:space="preserve"> makes that order binding on Mr. James and the 196 bargaining unit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James learned of the entry of the consent dismissal order on 17 June 2003. He commenced this current proceeding on 16 July 2003. On 26 August 2005, the proceeding was certified as a class proceeding. The members of the class are: (i) union members resident in B.C. at 26 August 2005; (ii) non-union member employees resident in B.C. at 26 August 2005; and (iii) employees not resident in B.C. at 26 August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26 August 2005, the order directing the defences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issue estoppel and abuse of process be tried before any other issues in the action,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material allegations, for the purposes of this portion of the trial, in Mr. James' amended statement of claim are: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5, 1991, the Minister at the time, the Honourable Dan Miller, gave approval in principle to the request of Fletcher Challenge, subject to the inclusion of a new clause in the TFL ("Clause 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licensee will not cause its timber processing facility at Youbou to reduce production or to close for a sustained period of time, unless, and to the extent that the Minister or his designate, exempts the licensee from the requirement of this paragraph.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preparing the replacement TFL documents, the Crown Employees removed the language of Clause 7 from TFL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and Crown Employees owed the Plaintiff and the members of the Class a private law duty of care to ensure that Clause 7 was not removed from TFL 46 in a negligent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 Employees and/or the Minister as described in paragraphs 17, 18 and 19 was the cause of the losses of the Plaintiff and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prayer for relief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on his own behalf and on behalf of and representing all other persons who at any time during the period from April 10, 2000 to January 26, 2001, were employees of the Licensee at the Youbou Mill, claims: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Court seems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15 March 2005, the Court of Appeal dismissed an appeal from my finding, (for the wrong reasons), that it was not plain and obvious that the plaintiff's pleadings disclosed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James (hereafter "the plaintiff") characterizes the issue to be determined in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Plaintiffs' claim barred by the doctrines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and/or issue estoppel arising from a consent judgment of this Court entered in the IWA Lawsuit on May 29,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determination of that issue, so characterized, is dependent upon the determination of two subsidiary issues: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proved the essential elements necessary to a finding that the current proceeding is a relitigation of issues finally decided in previous judicial proceedings;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then is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not applicable in this proceedings because of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consent order is as effective, for the purposes of estoppel, as an order pronounced after a trial, or the hearing of the matter on its merits</w:t>
      </w:r>
      <w:bookmarkStart w:id="81" w:name="Backward_fnref_fnr-3_1"/>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81"/>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application is a "cause of action" species of the genus "estoppel". As will be seen below, the plaintiff raises, in opposition to the defendant's application, the species "issue" estoppel</w:t>
      </w:r>
      <w:bookmarkStart w:id="82" w:name="Backward_fnref_fnr-4_1"/>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8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Under either species,</w:t>
      </w:r>
      <w:bookmarkStart w:id="83" w:name="Backward_fnref_fnr-5_1"/>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83"/>
      <w:r>
        <w:rPr>
          <w:rFonts w:ascii="arial" w:eastAsia="arial" w:hAnsi="arial" w:cs="arial"/>
          <w:color w:val="000000"/>
          <w:sz w:val="20"/>
          <w:lang w:val="en-US" w:eastAsia="en-US" w:bidi="ar-SA"/>
        </w:rPr>
        <w:t xml:space="preserve"> there are three pre-conditions which must be satisfied to establish the necessary and sufficient condition for estoppel:</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both proceedings must be identical;</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which is said to create the estoppel must be final;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that judgment or their privies are the same persons as the parties to the proceedings in which the estoppel is raised or their privies</w:t>
      </w:r>
      <w:bookmarkStart w:id="84" w:name="Backward_fnref_fnr-6_1"/>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8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first pre-condition is satisfied. The fact, or combination of facts, which give rise to a remedy in law, is, and are, identical in both proceedings. They are both actions in tort. Both allege a duty of care on the province; a breach of that duty, which caused damages. The remedies sought are also identical, namely, a money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correspondence between counsel, and counsel's opinion of 25 April 2003, prove that it was that cause of action which was decided by the consent judgment</w:t>
      </w:r>
      <w:bookmarkStart w:id="85" w:name="Backward_fnref_fnr-7_0"/>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85"/>
      <w:r>
        <w:rPr>
          <w:rFonts w:ascii="arial" w:eastAsia="arial" w:hAnsi="arial" w:cs="arial"/>
          <w:color w:val="000000"/>
          <w:sz w:val="20"/>
          <w:lang w:val="en-US" w:eastAsia="en-US" w:bidi="ar-SA"/>
        </w:rPr>
        <w:t>. The second pre-condition is satisfied. The consent judgment was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third pre-condition has also been satisfied. Although the parties are not the same, their privies are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concept of 'privity'", it was said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w:t>
      </w:r>
      <w:bookmarkStart w:id="86" w:name="Backward_fnref_fnr-8_0"/>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86"/>
      <w:r>
        <w:rPr>
          <w:rFonts w:ascii="arial" w:eastAsia="arial" w:hAnsi="arial" w:cs="arial"/>
          <w:color w:val="000000"/>
          <w:sz w:val="20"/>
          <w:lang w:val="en-US" w:eastAsia="en-US" w:bidi="ar-SA"/>
        </w:rPr>
        <w:t xml:space="preserve"> "... is somewhat elastic. ... '[i]t is impossible to be categorical about the degree of interest which will create privity' and that determinations must be made on a case-by-case basis.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Jowett, </w:t>
      </w:r>
      <w:r>
        <w:rPr>
          <w:rFonts w:ascii="arial" w:eastAsia="arial" w:hAnsi="arial" w:cs="arial"/>
          <w:i/>
          <w:color w:val="000000"/>
          <w:sz w:val="20"/>
          <w:lang w:val="en-US" w:eastAsia="en-US" w:bidi="ar-SA"/>
        </w:rPr>
        <w:t>Dictionary of English Law</w:t>
      </w:r>
      <w:r>
        <w:rPr>
          <w:rFonts w:ascii="arial" w:eastAsia="arial" w:hAnsi="arial" w:cs="arial"/>
          <w:color w:val="000000"/>
          <w:sz w:val="20"/>
          <w:lang w:val="en-US" w:eastAsia="en-US" w:bidi="ar-SA"/>
        </w:rPr>
        <w:t>, 2nd edition, 1977, a definition of "privies", among others,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its secondary sense, privity denotes a peculiar relation in which a person stands either to a transaction or to some other person. The person's standing in such a relation are called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edition, 2004, says of "privy" or "privies":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also appears in the context of litigation. In this sense, it includes someone who controls a lawsuit though not a party to it; someone whose interests are represented by a party to the lawsuit; and a successor in interest to anyone having a derivative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those definitions, Mr. James and the members, or former members, of Local 1-80 were clearly privies to the prior proceeding. The position of the non-union members is not as clear. They were in a "peculiar relation" to the prior proceeding in that, they too, lost their jobs when the mill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reason for the rule of privity appears to be based upon mutuality. In </w:t>
      </w:r>
      <w:r>
        <w:rPr>
          <w:rFonts w:ascii="arial" w:eastAsia="arial" w:hAnsi="arial" w:cs="arial"/>
          <w:b/>
          <w:i/>
          <w:color w:val="000000"/>
          <w:sz w:val="20"/>
          <w:lang w:val="en-US" w:eastAsia="en-US" w:bidi="ar-SA"/>
        </w:rPr>
        <w:t>McIlkenny v. Chief Constable of West Midlands</w:t>
      </w:r>
      <w:r>
        <w:rPr>
          <w:rFonts w:ascii="arial" w:eastAsia="arial" w:hAnsi="arial" w:cs="arial"/>
          <w:color w:val="000000"/>
          <w:sz w:val="20"/>
          <w:lang w:val="en-US" w:eastAsia="en-US" w:bidi="ar-SA"/>
        </w:rPr>
        <w:t>,</w:t>
      </w:r>
      <w:bookmarkStart w:id="87"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87"/>
      <w:r>
        <w:rPr>
          <w:rFonts w:ascii="arial" w:eastAsia="arial" w:hAnsi="arial" w:cs="arial"/>
          <w:color w:val="000000"/>
          <w:sz w:val="20"/>
          <w:lang w:val="en-US" w:eastAsia="en-US" w:bidi="ar-SA"/>
        </w:rPr>
        <w:t xml:space="preserve"> Lord Denning, M.R.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of mutuality says that, in order that there should be an estoppel, it must be such that both of the two parties and their privies must be bound by the estoppel, whichever way it goes. Win or lose, each party must be bound. It is said that, in any contest, that is the only fair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doubt that if the consent judgment had been in favour of the plaintiff, and the province taken to have admitted the allegations in the statement of claim, the province would have been subject to the operation of estoppel, at least issue estoppel, in a later action brought by the non-union employees, or any of them</w:t>
      </w:r>
      <w:bookmarkStart w:id="88"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8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determination of the necessary and sufficient condition for the doctrine of estoppel, is the first step in a two-step analysis prescribed in </w:t>
      </w:r>
      <w:r>
        <w:rPr>
          <w:rFonts w:ascii="arial" w:eastAsia="arial" w:hAnsi="arial" w:cs="arial"/>
          <w:b/>
          <w:i/>
          <w:color w:val="000000"/>
          <w:sz w:val="20"/>
          <w:lang w:val="en-US" w:eastAsia="en-US" w:bidi="ar-SA"/>
        </w:rPr>
        <w:t>Danyluk</w:t>
      </w:r>
      <w:bookmarkStart w:id="89"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89"/>
      <w:r>
        <w:rPr>
          <w:rFonts w:ascii="arial" w:eastAsia="arial" w:hAnsi="arial" w:cs="arial"/>
          <w:color w:val="000000"/>
          <w:sz w:val="20"/>
          <w:lang w:val="en-US" w:eastAsia="en-US" w:bidi="ar-SA"/>
        </w:rPr>
        <w:t>. If the pre-conditions have been established, then, as a second step, the court must still determine whether, as a matter of discretion, the doctrine ought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starting point for this second step is </w:t>
      </w:r>
      <w:r>
        <w:rPr>
          <w:rFonts w:ascii="arial" w:eastAsia="arial" w:hAnsi="arial" w:cs="arial"/>
          <w:b/>
          <w:i/>
          <w:color w:val="000000"/>
          <w:sz w:val="20"/>
          <w:lang w:val="en-US" w:eastAsia="en-US" w:bidi="ar-SA"/>
        </w:rPr>
        <w:t>General Motors of Canada Ltd. v. Naken</w:t>
      </w:r>
      <w:r>
        <w:rPr>
          <w:rFonts w:ascii="arial" w:eastAsia="arial" w:hAnsi="arial" w:cs="arial"/>
          <w:color w:val="000000"/>
          <w:sz w:val="20"/>
          <w:lang w:val="en-US" w:eastAsia="en-US" w:bidi="ar-SA"/>
        </w:rPr>
        <w:t>,</w:t>
      </w:r>
      <w:bookmarkStart w:id="90"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90"/>
      <w:r>
        <w:rPr>
          <w:rFonts w:ascii="arial" w:eastAsia="arial" w:hAnsi="arial" w:cs="arial"/>
          <w:color w:val="000000"/>
          <w:sz w:val="20"/>
          <w:lang w:val="en-US" w:eastAsia="en-US" w:bidi="ar-SA"/>
        </w:rPr>
        <w:t xml:space="preserve"> a representative proceeding against General Motors, about a defective automobile. On the application of General Motors, the court found the particular proceeding before it not suitable for a representative proceeding, under the applicable Ontario rule of procedure. One of the reasons, in support of that finding, was explained, at page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effect of the ultimate judgment in this class action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on all rights of all members of the class with respect to the acquisition of a Firenza automobile, the result would be serious in such a circumstance. The operation of the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a long history in our courts, and no authority was drawn to the attention of the Court wherein a court ignored such a plea in the case of a class action. It is true that there is a discretion in the courts where the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raised, but such a discretion must be very limited in application. This Court determined in </w:t>
      </w:r>
      <w:r>
        <w:rPr>
          <w:rFonts w:ascii="arial" w:eastAsia="arial" w:hAnsi="arial" w:cs="arial"/>
          <w:b/>
          <w:i/>
          <w:color w:val="000000"/>
          <w:sz w:val="20"/>
          <w:lang w:val="en-US" w:eastAsia="en-US" w:bidi="ar-SA"/>
        </w:rPr>
        <w:t>Cahoon v. Franks</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[1967] S.C.R. 455</w:t>
        </w:r>
      </w:hyperlink>
      <w:r>
        <w:rPr>
          <w:rFonts w:ascii="arial" w:eastAsia="arial" w:hAnsi="arial" w:cs="arial"/>
          <w:color w:val="000000"/>
          <w:sz w:val="20"/>
          <w:lang w:val="en-US" w:eastAsia="en-US" w:bidi="ar-SA"/>
        </w:rPr>
        <w:t xml:space="preserve">, that all damages arising out of the same negligent act must be asserted by the claimant in the one action, and any subsequent action was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fact that harsh results follow the application of the doctrine has not deterred its application by the courts. ... Rule 75 is silent as to the issue, and, failing some specific provision by statute, regulation or otherwise, the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would continue to apply. The fact that the action may be in contract of one kind or another would appear to represent no basis for the selective application of the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If the courts were to adopt a principle whereby class actions estopped participants from future action only to the extent of claims made in the class action, one of the root purposes of the class action would be defeated. The inherent benefit of the representative action sadly produces this serious side effect. This is no doubt the most important factor which excited legislators elsewhere to action in defining and describing this action and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w:t>
      </w:r>
      <w:bookmarkStart w:id="91"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91"/>
      <w:r>
        <w:rPr>
          <w:rFonts w:ascii="arial" w:eastAsia="arial" w:hAnsi="arial" w:cs="arial"/>
          <w:color w:val="000000"/>
          <w:sz w:val="20"/>
          <w:lang w:val="en-US" w:eastAsia="en-US" w:bidi="ar-SA"/>
        </w:rPr>
        <w:t xml:space="preserve">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General Motors of Canada Ltd. v. Naken</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[1983] 1 S.C.R. 72</w:t>
        </w:r>
      </w:hyperlink>
      <w:r>
        <w:rPr>
          <w:rFonts w:ascii="arial" w:eastAsia="arial" w:hAnsi="arial" w:cs="arial"/>
          <w:color w:val="000000"/>
          <w:sz w:val="20"/>
          <w:lang w:val="en-US" w:eastAsia="en-US" w:bidi="ar-SA"/>
        </w:rPr>
        <w:t>, Estey J. noted, at p. 101, that in the context of court proceedings "such a discretion must be very limited in application". In my view the discretion is necessarily broader in relation to the prior decisions of administrative tribunals because of the enormous range and diversity of the structures, mandates and procedures of administrative decision makers.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Arvay argues that the discretion should also necessarily be broader in representative actions. That notion seems to me to have been considered, and rejected, by Estey J. in the extract quoted above. When British Columbia enacted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it did not repeal R. 5. Presumably, the legislature recognized "the inherent benefit of the representative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exercise of the discretion is said to be governed by notions of "justice", "injustice", and "fairness". The dilemma is, to whom?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City of Toronto v. Canadian Union of Public Employees, Local 79</w:t>
      </w:r>
      <w:r>
        <w:rPr>
          <w:rFonts w:ascii="arial" w:eastAsia="arial" w:hAnsi="arial" w:cs="arial"/>
          <w:color w:val="000000"/>
          <w:sz w:val="20"/>
          <w:lang w:val="en-US" w:eastAsia="en-US" w:bidi="ar-SA"/>
        </w:rPr>
        <w:t>,</w:t>
      </w:r>
      <w:bookmarkStart w:id="92"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92"/>
      <w:r>
        <w:rPr>
          <w:rFonts w:ascii="arial" w:eastAsia="arial" w:hAnsi="arial" w:cs="arial"/>
          <w:color w:val="000000"/>
          <w:sz w:val="20"/>
          <w:lang w:val="en-US" w:eastAsia="en-US" w:bidi="ar-SA"/>
        </w:rPr>
        <w:t xml:space="preserve"> Doherty J.A., observed, of this dilemma: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controversy arises over a party's right to relitigate a decided issue, important principles that are at the core of the due administration of justice clash. Parties who seek to relitigate stress their "right" to a decision on the merits made after they have had a full opportunity to present their case before the tribunal charged with the responsibility of rendering a decision. Those who resist relitigation assert their "right" to rely on the previous determination. All parties insist that "justice" is achieved by the position they assert.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general principle for the resolution of the dilemma has been stated in a number of ways. In </w:t>
      </w:r>
      <w:r>
        <w:rPr>
          <w:rFonts w:ascii="arial" w:eastAsia="arial" w:hAnsi="arial" w:cs="arial"/>
          <w:b/>
          <w:i/>
          <w:color w:val="000000"/>
          <w:sz w:val="20"/>
          <w:lang w:val="en-US" w:eastAsia="en-US" w:bidi="ar-SA"/>
        </w:rPr>
        <w:t>City of Toronto</w:t>
      </w:r>
      <w:r>
        <w:rPr>
          <w:rFonts w:ascii="arial" w:eastAsia="arial" w:hAnsi="arial" w:cs="arial"/>
          <w:color w:val="000000"/>
          <w:sz w:val="20"/>
          <w:lang w:val="en-US" w:eastAsia="en-US" w:bidi="ar-SA"/>
        </w:rPr>
        <w:t>, above, Doherty J.A. defined it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to permit relitigation, a court or tribunal must decide whether finality concerns should outweigh an individual litigant's claim that the justice of the specific case warrants relitigation. That determination is fact-specific and requires that the court or tribunal weigh these competing considerations in the context of the facts of the particular case</w:t>
      </w:r>
      <w:bookmarkStart w:id="93"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93"/>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Schweneke v. The Queen in Right of Ontario</w:t>
      </w:r>
      <w:bookmarkStart w:id="94"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94"/>
      <w:r>
        <w:rPr>
          <w:rFonts w:ascii="arial" w:eastAsia="arial" w:hAnsi="arial" w:cs="arial"/>
          <w:color w:val="000000"/>
          <w:sz w:val="20"/>
          <w:lang w:val="en-US" w:eastAsia="en-US" w:bidi="ar-SA"/>
        </w:rPr>
        <w:t xml:space="preserve"> is authority for the proposition that the burden is upon the plaintiff to demonstrate the injustice of the application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topic in </w:t>
      </w:r>
      <w:r>
        <w:rPr>
          <w:rFonts w:ascii="arial" w:eastAsia="arial" w:hAnsi="arial" w:cs="arial"/>
          <w:b/>
          <w:i/>
          <w:color w:val="000000"/>
          <w:sz w:val="20"/>
          <w:lang w:val="en-US" w:eastAsia="en-US" w:bidi="ar-SA"/>
        </w:rPr>
        <w:t>Schweneke</w:t>
      </w:r>
      <w:r>
        <w:rPr>
          <w:rFonts w:ascii="arial" w:eastAsia="arial" w:hAnsi="arial" w:cs="arial"/>
          <w:color w:val="000000"/>
          <w:sz w:val="20"/>
          <w:lang w:val="en-US" w:eastAsia="en-US" w:bidi="ar-SA"/>
        </w:rPr>
        <w:t xml:space="preserve"> was issue estoppel. The proposition would appear to be equally applicable to action estoppel. At para. 38,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discretion to refuse to give effect to issue estoppel becomes relevant only where the three prerequisites to the operation of the doctrine exist. The party relying on the doctrine has the burden of establishing those prerequisites. The exercise of the discretion is necessarily case specific and depends on the entirety of the circumstances. In exercising the discretion the court must ask -- is there something in the circumstances of this case such that the usual operation of the doctrine of issue estoppel would work an injustice? The party seeking to invoke the discretion has the burden of demonstrating that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And further, at paras. 40 and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In our view, it is not enough that a party resisting issue estoppel demonstrate that the process leading to the finding did not provide the full panoply of procedural protections available in civil litigation. The party must go further and show that in the circumstances of the particular case shortcomings in the procedures of the tribunal, whose finding is relied on in support of an issue estoppel claim, were such that it would be unjust to give effect to that finding in subsequent civil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Nor, in our opinion, can a party seeking to invoke the discretion rely on general fairness concerns which exist whenever the finding relied on emanates from a tribunal whose procedures are summary and whose tasks are narrower than those used and performed by the courts. The party must demonstrate how unfairness actually occurred in the circumstances of the specific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Further assistance is provided in </w:t>
      </w:r>
      <w:r>
        <w:rPr>
          <w:rFonts w:ascii="arial" w:eastAsia="arial" w:hAnsi="arial" w:cs="arial"/>
          <w:b/>
          <w:i/>
          <w:color w:val="000000"/>
          <w:sz w:val="20"/>
          <w:lang w:val="en-US" w:eastAsia="en-US" w:bidi="ar-SA"/>
        </w:rPr>
        <w:t>Toronto (City) v. Canadian Union of Public Employees (C.U.P.E.), Local 79</w:t>
      </w:r>
      <w:bookmarkStart w:id="95"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95"/>
      <w:r>
        <w:rPr>
          <w:rFonts w:ascii="arial" w:eastAsia="arial" w:hAnsi="arial" w:cs="arial"/>
          <w:color w:val="000000"/>
          <w:sz w:val="20"/>
          <w:lang w:val="en-US" w:eastAsia="en-US" w:bidi="ar-SA"/>
        </w:rPr>
        <w:t>. There, the topic was abuse of process, "rather than the narrower and more technical doctrine of ... issue estoppel"</w:t>
      </w:r>
      <w:bookmarkStart w:id="96"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96"/>
      <w:r>
        <w:rPr>
          <w:rFonts w:ascii="arial" w:eastAsia="arial" w:hAnsi="arial" w:cs="arial"/>
          <w:color w:val="000000"/>
          <w:sz w:val="20"/>
          <w:lang w:val="en-US" w:eastAsia="en-US" w:bidi="ar-SA"/>
        </w:rPr>
        <w:t>. The court referred to a number of circumstances which would dictate that relitigation is necessary to enhance the credibility and effectiveness of the adjudicative process as a whole, including:</w:t>
      </w:r>
      <w:r>
        <w:rPr>
          <w:rFonts w:ascii="arial" w:eastAsia="arial" w:hAnsi="arial" w:cs="arial"/>
          <w:sz w:val="20"/>
          <w:lang w:val="en-US" w:eastAsia="en-US" w:bidi="ar-SA"/>
        </w:rPr>
        <w:cr/>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 or dishonesty in the original proceeding;</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availability of fresh, new evidence, previously unavailable, which conclusively impeaches the original result;</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dictates the original result should not be binding in the new context;</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stakes in the original proceeding were too minor to generate a full and robust response, while the subsequent stakes were considerable;</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inadequate incentive to defend; and</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tainted original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 the court suggested seven factors for consideration, in the context of prior decisions of administrative tribunals. Six of those factors are specifically relevant to such proceedings. The seventh,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As a final and most important factor, the Court should stand back and, taking into account the entirety of the circumstances, consider whether application of issue estoppel in the particular case would work an injustice.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That must mean injustice according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does not rely upon the foregoing factors specifically. He says there are other factors which constitute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First, in the prior action, the defendant pleaded that Mr. Routley did not have the status to maintain the action on behalf of the employees. The consent dismissal order, as I understand the argument, must be taken to have decided that issue as well. The defendant ought not to be heard on an order resulting from proceedings which were a nullity. I am not persuaded that this is a sound argument. The consent order was precipitated by a proposed application under R. 19(24). That is to say, it was to be alleged that the pleadings did not disclose a reasonable cause of action. The order was not precipitated by an application under R. 5(11); that is to say, that Mr. Routley did not have the authority to initiate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any event, the defendant's prior plea was not "fundamental to the ... order agreed to ..."</w:t>
      </w:r>
      <w:bookmarkStart w:id="97"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9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Second, the plaintiff claims he had no opportunity to opt out of the prior action when the decision was taken to consent to the dismissal of the claim. This was so because he was not then a member of the trade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not persuaded that this is an accurate assertion. Rule 5(11) is subject to the intervention of the court. A change of the plaintiff's membership status in his trade union did not change his status as a person with an interest in the proceeding. That may be a mindless observation at this point, however, it may be more appropriate to say that the plaintiff did not take the opportunity to opt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Third, the plaintiff had no right or opportunity to participate in the decision, or to vote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not persuaded that this is a sound condition either. The plaintiff may have had no right to participate in the business of his former trade union. However, his rights and privileges under the Rules of Court remained open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Fourth, the plaintiff says there were procedural inadequacies in the earlier proceedings in that, he had no opportunity to participate in the prior proceeding, in a meaningful way</w:t>
      </w:r>
      <w:bookmarkStart w:id="98"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98"/>
      <w:r>
        <w:rPr>
          <w:rFonts w:ascii="arial" w:eastAsia="arial" w:hAnsi="arial" w:cs="arial"/>
          <w:color w:val="000000"/>
          <w:sz w:val="20"/>
          <w:lang w:val="en-US" w:eastAsia="en-US" w:bidi="ar-SA"/>
        </w:rPr>
        <w:t xml:space="preserve">. Further, the protections accorded to a class member by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are not available in R. 5 representative actions</w:t>
      </w:r>
      <w:bookmarkStart w:id="99" w:name="Backward_fnref_fnr-21"/>
      <w:hyperlink w:anchor="Forward_fnref_fnr-21" w:history="1">
        <w:r>
          <w:rPr>
            <w:rFonts w:ascii="arial" w:eastAsia="arial" w:hAnsi="arial" w:cs="arial"/>
            <w:b/>
            <w:color w:val="BE161D"/>
            <w:sz w:val="20"/>
            <w:shd w:val="clear" w:color="auto" w:fill="FFFFFF"/>
            <w:vertAlign w:val="superscript"/>
            <w:lang w:val="en-US" w:eastAsia="en-US" w:bidi="ar-SA"/>
          </w:rPr>
          <w:t>21</w:t>
        </w:r>
      </w:hyperlink>
      <w:bookmarkEnd w:id="99"/>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This is not a persuasive argument. The procedure under R. 5 of the Rules of Court is an authorized procedure under British Columbia law. Within that context, the dispute was progressing under the direction of counsel for both sides, for two years. For some period of time, at least, the plaintiff was meaningful involved in the progress of that process. This is not a case of a summary disposition, following one telephone consultation, a one-hour interview, and a decision based on information not disclosed, as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 xml:space="preserve">. Nor is it a case of an insurer acting in conflict with the interests of its insured as in </w:t>
      </w:r>
      <w:r>
        <w:rPr>
          <w:rFonts w:ascii="arial" w:eastAsia="arial" w:hAnsi="arial" w:cs="arial"/>
          <w:b/>
          <w:i/>
          <w:color w:val="000000"/>
          <w:sz w:val="20"/>
          <w:lang w:val="en-US" w:eastAsia="en-US" w:bidi="ar-SA"/>
        </w:rPr>
        <w:t>Braithwaite v. Haugh</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(1978), 19 O.R. (2d) 288</w:t>
        </w:r>
      </w:hyperlink>
      <w:r>
        <w:rPr>
          <w:rFonts w:ascii="arial" w:eastAsia="arial" w:hAnsi="arial" w:cs="arial"/>
          <w:color w:val="000000"/>
          <w:sz w:val="20"/>
          <w:lang w:val="en-US" w:eastAsia="en-US" w:bidi="ar-SA"/>
        </w:rPr>
        <w:t xml:space="preserve"> (Ont. 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Fifth, it is argued that this is public law litigation. In </w:t>
      </w:r>
      <w:r>
        <w:rPr>
          <w:rFonts w:ascii="arial" w:eastAsia="arial" w:hAnsi="arial" w:cs="arial"/>
          <w:b/>
          <w:i/>
          <w:color w:val="000000"/>
          <w:sz w:val="20"/>
          <w:lang w:val="en-US" w:eastAsia="en-US" w:bidi="ar-SA"/>
        </w:rPr>
        <w:t>Withler</w:t>
      </w:r>
      <w:r>
        <w:rPr>
          <w:rFonts w:ascii="arial" w:eastAsia="arial" w:hAnsi="arial" w:cs="arial"/>
          <w:color w:val="000000"/>
          <w:sz w:val="20"/>
          <w:lang w:val="en-US" w:eastAsia="en-US" w:bidi="ar-SA"/>
        </w:rPr>
        <w:t>,</w:t>
      </w:r>
      <w:bookmarkStart w:id="100" w:name="Backward_fnref_fnr-22"/>
      <w:hyperlink w:anchor="Forward_fnref_fnr-22" w:history="1">
        <w:r>
          <w:rPr>
            <w:rFonts w:ascii="arial" w:eastAsia="arial" w:hAnsi="arial" w:cs="arial"/>
            <w:b/>
            <w:color w:val="BE161D"/>
            <w:sz w:val="20"/>
            <w:shd w:val="clear" w:color="auto" w:fill="FFFFFF"/>
            <w:vertAlign w:val="superscript"/>
            <w:lang w:val="en-US" w:eastAsia="en-US" w:bidi="ar-SA"/>
          </w:rPr>
          <w:t>22</w:t>
        </w:r>
      </w:hyperlink>
      <w:bookmarkEnd w:id="100"/>
      <w:r>
        <w:rPr>
          <w:rFonts w:ascii="arial" w:eastAsia="arial" w:hAnsi="arial" w:cs="arial"/>
          <w:color w:val="000000"/>
          <w:sz w:val="20"/>
          <w:lang w:val="en-US" w:eastAsia="en-US" w:bidi="ar-SA"/>
        </w:rPr>
        <w:t xml:space="preserve"> one of the court's reasons for declining to apply the doctrine of abuse of process was the public law nature of the litigation. There, the constitutionality of legislation was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not persuaded this is a public law case. The plaintiff's claim is for a money judgment for the alleged tortious conduct of the defendant. The identity of the Province of British Columbia as the alleged tortfeasor does not convert this private law action into an action in the field of public law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Sixth, and finally, the plaintiff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if the preconditions to the operation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are met, it is respectfully submitted that this Court should exercise its discretion not to give effect to this doctrine for the reason that the Crown's application is simply brought too late in the day. The Plaintiffs have already expended a considerable amount of effort, energy, emotion and resources pursuing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am not persuaded that this submission is relevant. The plaintiff has known of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since delivery of the defendant's statement of defence. There is no evidence of any improper conduct on the part of the defendant in delaying these proceedings, nor any evidence that the plaintiff has suffered prejudice as a result of the timing of the hearing of the application. This application is one of several interlocutory applications made throughout the history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Taken cumulatively, the factors identified by the plaintiff do not bring this case within any of the precedents in which the court has declined to prevent relitigation notwithstanding the preconditions of estoppel, either action or issue, have been established. The plaintiff has not discharged the burden imposed upon him. Accordingly, the defendant's application is allowed.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68" style="position:absolute;z-index:2518702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01"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01"/>
      <w:r>
        <w:rPr>
          <w:rFonts w:ascii="arial" w:eastAsia="arial" w:hAnsi="arial" w:cs="arial"/>
          <w:sz w:val="20"/>
          <w:lang w:val="en-US" w:eastAsia="en-US" w:bidi="ar-SA"/>
        </w:rPr>
        <w:tab/>
      </w:r>
      <w:r>
        <w:rPr>
          <w:rFonts w:ascii="arial" w:eastAsia="arial" w:hAnsi="arial" w:cs="arial"/>
          <w:color w:val="6D6E71"/>
          <w:sz w:val="18"/>
          <w:lang w:val="en-US" w:eastAsia="en-US" w:bidi="ar-SA"/>
        </w:rPr>
        <w:t>"Where numerous persons have the same interest in a proceeding, ... the proceeding may be commenced and, unless the court otherwise orders, continued by or against one or more of them as representing all or as representing one or more of them."</w:t>
      </w:r>
    </w:p>
    <w:p>
      <w:pPr>
        <w:spacing w:before="120" w:after="20" w:line="240" w:lineRule="atLeast"/>
        <w:ind w:left="720" w:hanging="360"/>
        <w:jc w:val="both"/>
        <w:rPr>
          <w:rFonts w:ascii="arial" w:eastAsia="arial" w:hAnsi="arial" w:cs="arial"/>
          <w:sz w:val="20"/>
          <w:lang w:val="en-US" w:eastAsia="en-US" w:bidi="ar-SA"/>
        </w:rPr>
      </w:pPr>
      <w:bookmarkStart w:id="102" w:name="Forward_fnref_fnr-2_1"/>
      <w:hyperlink w:anchor="Backward_fnref_fnr-2" w:history="1">
        <w:r>
          <w:rPr>
            <w:rFonts w:ascii="arial" w:eastAsia="arial" w:hAnsi="arial" w:cs="arial"/>
            <w:b/>
            <w:color w:val="BE161D"/>
            <w:sz w:val="18"/>
            <w:shd w:val="clear" w:color="auto" w:fill="FFFFFF"/>
            <w:lang w:val="en-US" w:eastAsia="en-US" w:bidi="ar-SA"/>
          </w:rPr>
          <w:t>2</w:t>
        </w:r>
      </w:hyperlink>
      <w:bookmarkEnd w:id="102"/>
      <w:r>
        <w:rPr>
          <w:rFonts w:ascii="arial" w:eastAsia="arial" w:hAnsi="arial" w:cs="arial"/>
          <w:sz w:val="20"/>
          <w:lang w:val="en-US" w:eastAsia="en-US" w:bidi="ar-SA"/>
        </w:rPr>
        <w:tab/>
      </w:r>
      <w:r>
        <w:rPr>
          <w:rFonts w:ascii="arial" w:eastAsia="arial" w:hAnsi="arial" w:cs="arial"/>
          <w:color w:val="6D6E71"/>
          <w:sz w:val="18"/>
          <w:lang w:val="en-US" w:eastAsia="en-US" w:bidi="ar-SA"/>
        </w:rPr>
        <w:t>"An order made in a proceeding under subrule (11) is binding on all the persons represented in the proceeding as parties, but shall not be enforced against a person not a party to the proceeding except with leave of the court."</w:t>
      </w:r>
    </w:p>
    <w:p>
      <w:pPr>
        <w:spacing w:before="120" w:after="20" w:line="240" w:lineRule="atLeast"/>
        <w:ind w:left="720" w:hanging="360"/>
        <w:jc w:val="both"/>
        <w:rPr>
          <w:rFonts w:ascii="arial" w:eastAsia="arial" w:hAnsi="arial" w:cs="arial"/>
          <w:sz w:val="20"/>
          <w:lang w:val="en-US" w:eastAsia="en-US" w:bidi="ar-SA"/>
        </w:rPr>
      </w:pPr>
      <w:bookmarkStart w:id="103" w:name="Forward_fnref_fnr-3_1"/>
      <w:hyperlink w:anchor="Backward_fnref_fnr-3" w:history="1">
        <w:r>
          <w:rPr>
            <w:rFonts w:ascii="arial" w:eastAsia="arial" w:hAnsi="arial" w:cs="arial"/>
            <w:b/>
            <w:color w:val="BE161D"/>
            <w:sz w:val="18"/>
            <w:shd w:val="clear" w:color="auto" w:fill="FFFFFF"/>
            <w:lang w:val="en-US" w:eastAsia="en-US" w:bidi="ar-SA"/>
          </w:rPr>
          <w:t>3</w:t>
        </w:r>
      </w:hyperlink>
      <w:bookmarkEnd w:id="103"/>
      <w:r>
        <w:rPr>
          <w:rFonts w:ascii="arial" w:eastAsia="arial" w:hAnsi="arial" w:cs="arial"/>
          <w:sz w:val="20"/>
          <w:lang w:val="en-US" w:eastAsia="en-US" w:bidi="ar-SA"/>
        </w:rPr>
        <w:tab/>
      </w:r>
      <w:r>
        <w:rPr>
          <w:rFonts w:ascii="arial" w:eastAsia="arial" w:hAnsi="arial" w:cs="arial"/>
          <w:b/>
          <w:i/>
          <w:color w:val="6D6E71"/>
          <w:sz w:val="18"/>
          <w:lang w:val="en-US" w:eastAsia="en-US" w:bidi="ar-SA"/>
        </w:rPr>
        <w:t>Re Ontario Sugar Co.</w:t>
      </w:r>
      <w:r>
        <w:rPr>
          <w:rFonts w:ascii="arial" w:eastAsia="arial" w:hAnsi="arial" w:cs="arial"/>
          <w:color w:val="6D6E71"/>
          <w:sz w:val="18"/>
          <w:lang w:val="en-US" w:eastAsia="en-US" w:bidi="ar-SA"/>
        </w:rPr>
        <w:t xml:space="preserve"> </w:t>
      </w:r>
      <w:hyperlink r:id="rId147" w:history="1">
        <w:r>
          <w:rPr>
            <w:rFonts w:ascii="arial" w:eastAsia="arial" w:hAnsi="arial" w:cs="arial"/>
            <w:i/>
            <w:color w:val="0077CC"/>
            <w:sz w:val="18"/>
            <w:u w:val="single"/>
            <w:shd w:val="clear" w:color="auto" w:fill="FFFFFF"/>
            <w:lang w:val="en-US" w:eastAsia="en-US" w:bidi="ar-SA"/>
          </w:rPr>
          <w:t>[1911] O.J. No. 76</w:t>
        </w:r>
      </w:hyperlink>
      <w:r>
        <w:rPr>
          <w:rFonts w:ascii="arial" w:eastAsia="arial" w:hAnsi="arial" w:cs="arial"/>
          <w:color w:val="6D6E71"/>
          <w:sz w:val="18"/>
          <w:lang w:val="en-US" w:eastAsia="en-US" w:bidi="ar-SA"/>
        </w:rPr>
        <w:t xml:space="preserve"> (Ont. C.A.), leave to appeal dismissed </w:t>
      </w:r>
      <w:hyperlink r:id="rId148" w:history="1">
        <w:r>
          <w:rPr>
            <w:rFonts w:ascii="arial" w:eastAsia="arial" w:hAnsi="arial" w:cs="arial"/>
            <w:i/>
            <w:color w:val="0077CC"/>
            <w:sz w:val="18"/>
            <w:u w:val="single"/>
            <w:shd w:val="clear" w:color="auto" w:fill="FFFFFF"/>
            <w:lang w:val="en-US" w:eastAsia="en-US" w:bidi="ar-SA"/>
          </w:rPr>
          <w:t>(1911), 44 S.C.R. 659</w:t>
        </w:r>
      </w:hyperlink>
      <w:r>
        <w:rPr>
          <w:rFonts w:ascii="arial" w:eastAsia="arial" w:hAnsi="arial" w:cs="arial"/>
          <w:color w:val="6D6E71"/>
          <w:sz w:val="18"/>
          <w:lang w:val="en-US" w:eastAsia="en-US" w:bidi="ar-SA"/>
        </w:rPr>
        <w:t xml:space="preserve">; </w:t>
      </w:r>
      <w:r>
        <w:rPr>
          <w:rFonts w:ascii="arial" w:eastAsia="arial" w:hAnsi="arial" w:cs="arial"/>
          <w:b/>
          <w:i/>
          <w:color w:val="6D6E71"/>
          <w:sz w:val="18"/>
          <w:lang w:val="en-US" w:eastAsia="en-US" w:bidi="ar-SA"/>
        </w:rPr>
        <w:t>Campbell v. Campbell</w:t>
      </w:r>
      <w:r>
        <w:rPr>
          <w:rFonts w:ascii="arial" w:eastAsia="arial" w:hAnsi="arial" w:cs="arial"/>
          <w:color w:val="6D6E71"/>
          <w:sz w:val="18"/>
          <w:lang w:val="en-US" w:eastAsia="en-US" w:bidi="ar-SA"/>
        </w:rPr>
        <w:t xml:space="preserve">, </w:t>
      </w:r>
      <w:hyperlink r:id="rId149" w:history="1">
        <w:r>
          <w:rPr>
            <w:rFonts w:ascii="arial" w:eastAsia="arial" w:hAnsi="arial" w:cs="arial"/>
            <w:i/>
            <w:color w:val="0077CC"/>
            <w:sz w:val="18"/>
            <w:u w:val="single"/>
            <w:shd w:val="clear" w:color="auto" w:fill="FFFFFF"/>
            <w:lang w:val="en-US" w:eastAsia="en-US" w:bidi="ar-SA"/>
          </w:rPr>
          <w:t>[1955] 1 D.L.R. 304</w:t>
        </w:r>
      </w:hyperlink>
      <w:r>
        <w:rPr>
          <w:rFonts w:ascii="arial" w:eastAsia="arial" w:hAnsi="arial" w:cs="arial"/>
          <w:color w:val="6D6E71"/>
          <w:sz w:val="18"/>
          <w:lang w:val="en-US" w:eastAsia="en-US" w:bidi="ar-SA"/>
        </w:rPr>
        <w:t xml:space="preserve"> (B.C.S.C.); </w:t>
      </w:r>
      <w:r>
        <w:rPr>
          <w:rFonts w:ascii="arial" w:eastAsia="arial" w:hAnsi="arial" w:cs="arial"/>
          <w:b/>
          <w:i/>
          <w:color w:val="6D6E71"/>
          <w:sz w:val="18"/>
          <w:lang w:val="en-US" w:eastAsia="en-US" w:bidi="ar-SA"/>
        </w:rPr>
        <w:t>Staff Builders International Inc. v. Cohen</w:t>
      </w:r>
      <w:r>
        <w:rPr>
          <w:rFonts w:ascii="arial" w:eastAsia="arial" w:hAnsi="arial" w:cs="arial"/>
          <w:color w:val="6D6E71"/>
          <w:sz w:val="18"/>
          <w:lang w:val="en-US" w:eastAsia="en-US" w:bidi="ar-SA"/>
        </w:rPr>
        <w:t xml:space="preserve"> </w:t>
      </w:r>
      <w:hyperlink r:id="rId150" w:history="1">
        <w:r>
          <w:rPr>
            <w:rFonts w:ascii="arial" w:eastAsia="arial" w:hAnsi="arial" w:cs="arial"/>
            <w:i/>
            <w:color w:val="0077CC"/>
            <w:sz w:val="18"/>
            <w:u w:val="single"/>
            <w:shd w:val="clear" w:color="auto" w:fill="FFFFFF"/>
            <w:lang w:val="en-US" w:eastAsia="en-US" w:bidi="ar-SA"/>
          </w:rPr>
          <w:t>(1983), 38 C.P.C. 82</w:t>
        </w:r>
      </w:hyperlink>
      <w:r>
        <w:rPr>
          <w:rFonts w:ascii="arial" w:eastAsia="arial" w:hAnsi="arial" w:cs="arial"/>
          <w:color w:val="6D6E71"/>
          <w:sz w:val="18"/>
          <w:lang w:val="en-US" w:eastAsia="en-US" w:bidi="ar-SA"/>
        </w:rPr>
        <w:t xml:space="preserve"> (Ont. S.C.); </w:t>
      </w:r>
      <w:r>
        <w:rPr>
          <w:rFonts w:ascii="arial" w:eastAsia="arial" w:hAnsi="arial" w:cs="arial"/>
          <w:b/>
          <w:i/>
          <w:color w:val="6D6E71"/>
          <w:sz w:val="18"/>
          <w:lang w:val="en-US" w:eastAsia="en-US" w:bidi="ar-SA"/>
        </w:rPr>
        <w:t>Spender v. Spender</w:t>
      </w:r>
      <w:r>
        <w:rPr>
          <w:rFonts w:ascii="arial" w:eastAsia="arial" w:hAnsi="arial" w:cs="arial"/>
          <w:color w:val="6D6E71"/>
          <w:sz w:val="18"/>
          <w:lang w:val="en-US" w:eastAsia="en-US" w:bidi="ar-SA"/>
        </w:rPr>
        <w:t xml:space="preserve">, </w:t>
      </w:r>
      <w:hyperlink r:id="rId151" w:history="1">
        <w:r>
          <w:rPr>
            <w:rFonts w:ascii="arial" w:eastAsia="arial" w:hAnsi="arial" w:cs="arial"/>
            <w:i/>
            <w:color w:val="0077CC"/>
            <w:sz w:val="18"/>
            <w:u w:val="single"/>
            <w:shd w:val="clear" w:color="auto" w:fill="FFFFFF"/>
            <w:lang w:val="en-US" w:eastAsia="en-US" w:bidi="ar-SA"/>
          </w:rPr>
          <w:t>[1999] B.C.J. No. 910</w:t>
        </w:r>
      </w:hyperlink>
      <w:r>
        <w:rPr>
          <w:rFonts w:ascii="arial" w:eastAsia="arial" w:hAnsi="arial" w:cs="arial"/>
          <w:color w:val="6D6E71"/>
          <w:sz w:val="18"/>
          <w:lang w:val="en-US" w:eastAsia="en-US" w:bidi="ar-SA"/>
        </w:rPr>
        <w:t xml:space="preserve"> (B.C.S.C.); and </w:t>
      </w:r>
      <w:r>
        <w:rPr>
          <w:rFonts w:ascii="arial" w:eastAsia="arial" w:hAnsi="arial" w:cs="arial"/>
          <w:b/>
          <w:i/>
          <w:color w:val="6D6E71"/>
          <w:sz w:val="18"/>
          <w:lang w:val="en-US" w:eastAsia="en-US" w:bidi="ar-SA"/>
        </w:rPr>
        <w:t>R. v. Wagner</w:t>
      </w:r>
      <w:r>
        <w:rPr>
          <w:rFonts w:ascii="arial" w:eastAsia="arial" w:hAnsi="arial" w:cs="arial"/>
          <w:color w:val="6D6E71"/>
          <w:sz w:val="18"/>
          <w:lang w:val="en-US" w:eastAsia="en-US" w:bidi="ar-SA"/>
        </w:rPr>
        <w:t xml:space="preserve">, </w:t>
      </w:r>
      <w:hyperlink r:id="rId152" w:history="1">
        <w:r>
          <w:rPr>
            <w:rFonts w:ascii="arial" w:eastAsia="arial" w:hAnsi="arial" w:cs="arial"/>
            <w:i/>
            <w:color w:val="0077CC"/>
            <w:sz w:val="18"/>
            <w:u w:val="single"/>
            <w:shd w:val="clear" w:color="auto" w:fill="FFFFFF"/>
            <w:lang w:val="en-US" w:eastAsia="en-US" w:bidi="ar-SA"/>
          </w:rPr>
          <w:t>[2004] B.C.J. No. 1388</w:t>
        </w:r>
      </w:hyperlink>
      <w:r>
        <w:rPr>
          <w:rFonts w:ascii="arial" w:eastAsia="arial" w:hAnsi="arial" w:cs="arial"/>
          <w:color w:val="6D6E71"/>
          <w:sz w:val="18"/>
          <w:lang w:val="en-US" w:eastAsia="en-US" w:bidi="ar-SA"/>
        </w:rPr>
        <w:t xml:space="preserve">, </w:t>
      </w:r>
      <w:hyperlink r:id="rId152" w:history="1">
        <w:r>
          <w:rPr>
            <w:rFonts w:ascii="arial" w:eastAsia="arial" w:hAnsi="arial" w:cs="arial"/>
            <w:i/>
            <w:color w:val="0077CC"/>
            <w:sz w:val="18"/>
            <w:u w:val="single"/>
            <w:shd w:val="clear" w:color="auto" w:fill="FFFFFF"/>
            <w:lang w:val="en-US" w:eastAsia="en-US" w:bidi="ar-SA"/>
          </w:rPr>
          <w:t>2004 BCSC 875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04" w:name="Forward_fnref_fnr-4_1"/>
      <w:hyperlink w:anchor="Backward_fnref_fnr-4" w:history="1">
        <w:r>
          <w:rPr>
            <w:rFonts w:ascii="arial" w:eastAsia="arial" w:hAnsi="arial" w:cs="arial"/>
            <w:b/>
            <w:color w:val="BE161D"/>
            <w:sz w:val="18"/>
            <w:shd w:val="clear" w:color="auto" w:fill="FFFFFF"/>
            <w:lang w:val="en-US" w:eastAsia="en-US" w:bidi="ar-SA"/>
          </w:rPr>
          <w:t>4</w:t>
        </w:r>
      </w:hyperlink>
      <w:bookmarkEnd w:id="10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On the distinction, </w:t>
      </w:r>
      <w:r>
        <w:rPr>
          <w:rFonts w:ascii="arial" w:eastAsia="arial" w:hAnsi="arial" w:cs="arial"/>
          <w:b/>
          <w:i/>
          <w:color w:val="6D6E71"/>
          <w:sz w:val="18"/>
          <w:lang w:val="en-US" w:eastAsia="en-US" w:bidi="ar-SA"/>
        </w:rPr>
        <w:t>Danyluk v. Ainsworth Technologies Inc.</w:t>
      </w:r>
      <w:r>
        <w:rPr>
          <w:rFonts w:ascii="arial" w:eastAsia="arial" w:hAnsi="arial" w:cs="arial"/>
          <w:color w:val="6D6E71"/>
          <w:sz w:val="18"/>
          <w:lang w:val="en-US" w:eastAsia="en-US" w:bidi="ar-SA"/>
        </w:rPr>
        <w:t xml:space="preserve">, </w:t>
      </w:r>
      <w:hyperlink r:id="rId153" w:history="1">
        <w:r>
          <w:rPr>
            <w:rFonts w:ascii="arial" w:eastAsia="arial" w:hAnsi="arial" w:cs="arial"/>
            <w:i/>
            <w:color w:val="0077CC"/>
            <w:sz w:val="18"/>
            <w:u w:val="single"/>
            <w:shd w:val="clear" w:color="auto" w:fill="FFFFFF"/>
            <w:lang w:val="en-US" w:eastAsia="en-US" w:bidi="ar-SA"/>
          </w:rPr>
          <w:t>[2001] 2 S.C.R. 460</w:t>
        </w:r>
      </w:hyperlink>
      <w:r>
        <w:rPr>
          <w:rFonts w:ascii="arial" w:eastAsia="arial" w:hAnsi="arial" w:cs="arial"/>
          <w:color w:val="6D6E71"/>
          <w:sz w:val="18"/>
          <w:lang w:val="en-US" w:eastAsia="en-US" w:bidi="ar-SA"/>
        </w:rPr>
        <w:t>, at paragraph 20.</w:t>
      </w:r>
    </w:p>
    <w:p>
      <w:pPr>
        <w:spacing w:before="120" w:after="20" w:line="240" w:lineRule="atLeast"/>
        <w:ind w:left="720" w:hanging="360"/>
        <w:jc w:val="both"/>
        <w:rPr>
          <w:rFonts w:ascii="arial" w:eastAsia="arial" w:hAnsi="arial" w:cs="arial"/>
          <w:sz w:val="20"/>
          <w:lang w:val="en-US" w:eastAsia="en-US" w:bidi="ar-SA"/>
        </w:rPr>
      </w:pPr>
      <w:bookmarkStart w:id="105" w:name="Forward_fnref_fnr-5_1"/>
      <w:hyperlink w:anchor="Backward_fnref_fnr-5" w:history="1">
        <w:r>
          <w:rPr>
            <w:rFonts w:ascii="arial" w:eastAsia="arial" w:hAnsi="arial" w:cs="arial"/>
            <w:b/>
            <w:color w:val="BE161D"/>
            <w:sz w:val="18"/>
            <w:shd w:val="clear" w:color="auto" w:fill="FFFFFF"/>
            <w:lang w:val="en-US" w:eastAsia="en-US" w:bidi="ar-SA"/>
          </w:rPr>
          <w:t>5</w:t>
        </w:r>
      </w:hyperlink>
      <w:bookmarkEnd w:id="105"/>
      <w:r>
        <w:rPr>
          <w:rFonts w:ascii="arial" w:eastAsia="arial" w:hAnsi="arial" w:cs="arial"/>
          <w:sz w:val="20"/>
          <w:lang w:val="en-US" w:eastAsia="en-US" w:bidi="ar-SA"/>
        </w:rPr>
        <w:tab/>
      </w:r>
      <w:r>
        <w:rPr>
          <w:rFonts w:ascii="arial" w:eastAsia="arial" w:hAnsi="arial" w:cs="arial"/>
          <w:b/>
          <w:i/>
          <w:color w:val="6D6E71"/>
          <w:sz w:val="18"/>
          <w:lang w:val="en-US" w:eastAsia="en-US" w:bidi="ar-SA"/>
        </w:rPr>
        <w:t>Spender</w:t>
      </w:r>
      <w:r>
        <w:rPr>
          <w:rFonts w:ascii="arial" w:eastAsia="arial" w:hAnsi="arial" w:cs="arial"/>
          <w:color w:val="6D6E71"/>
          <w:sz w:val="18"/>
          <w:lang w:val="en-US" w:eastAsia="en-US" w:bidi="ar-SA"/>
        </w:rPr>
        <w:t>, above, Footnote 3.</w:t>
      </w:r>
    </w:p>
    <w:p>
      <w:pPr>
        <w:spacing w:before="120" w:after="20" w:line="240" w:lineRule="atLeast"/>
        <w:ind w:left="720" w:hanging="360"/>
        <w:jc w:val="both"/>
        <w:rPr>
          <w:rFonts w:ascii="arial" w:eastAsia="arial" w:hAnsi="arial" w:cs="arial"/>
          <w:sz w:val="20"/>
          <w:lang w:val="en-US" w:eastAsia="en-US" w:bidi="ar-SA"/>
        </w:rPr>
      </w:pPr>
      <w:bookmarkStart w:id="106" w:name="Forward_fnref_fnr-6_1"/>
      <w:hyperlink w:anchor="Backward_fnref_fnr-6" w:history="1">
        <w:r>
          <w:rPr>
            <w:rFonts w:ascii="arial" w:eastAsia="arial" w:hAnsi="arial" w:cs="arial"/>
            <w:b/>
            <w:color w:val="BE161D"/>
            <w:sz w:val="18"/>
            <w:shd w:val="clear" w:color="auto" w:fill="FFFFFF"/>
            <w:lang w:val="en-US" w:eastAsia="en-US" w:bidi="ar-SA"/>
          </w:rPr>
          <w:t>6</w:t>
        </w:r>
      </w:hyperlink>
      <w:bookmarkEnd w:id="106"/>
      <w:r>
        <w:rPr>
          <w:rFonts w:ascii="arial" w:eastAsia="arial" w:hAnsi="arial" w:cs="arial"/>
          <w:sz w:val="20"/>
          <w:lang w:val="en-US" w:eastAsia="en-US" w:bidi="ar-SA"/>
        </w:rPr>
        <w:tab/>
      </w:r>
      <w:r>
        <w:rPr>
          <w:rFonts w:ascii="arial" w:eastAsia="arial" w:hAnsi="arial" w:cs="arial"/>
          <w:b/>
          <w:i/>
          <w:color w:val="6D6E71"/>
          <w:sz w:val="18"/>
          <w:lang w:val="en-US" w:eastAsia="en-US" w:bidi="ar-SA"/>
        </w:rPr>
        <w:t>Danyluk</w:t>
      </w:r>
      <w:r>
        <w:rPr>
          <w:rFonts w:ascii="arial" w:eastAsia="arial" w:hAnsi="arial" w:cs="arial"/>
          <w:color w:val="6D6E71"/>
          <w:sz w:val="18"/>
          <w:lang w:val="en-US" w:eastAsia="en-US" w:bidi="ar-SA"/>
        </w:rPr>
        <w:t>, above, Footnote 4, at paragraph 53.</w:t>
      </w:r>
    </w:p>
    <w:p>
      <w:pPr>
        <w:spacing w:before="120" w:after="20" w:line="240" w:lineRule="atLeast"/>
        <w:ind w:left="720" w:hanging="360"/>
        <w:jc w:val="both"/>
        <w:rPr>
          <w:rFonts w:ascii="arial" w:eastAsia="arial" w:hAnsi="arial" w:cs="arial"/>
          <w:sz w:val="20"/>
          <w:lang w:val="en-US" w:eastAsia="en-US" w:bidi="ar-SA"/>
        </w:rPr>
      </w:pPr>
      <w:bookmarkStart w:id="107" w:name="Forward_fnref_fnr-7_0"/>
      <w:hyperlink w:anchor="Backward_fnref_fnr-7" w:history="1">
        <w:r>
          <w:rPr>
            <w:rFonts w:ascii="arial" w:eastAsia="arial" w:hAnsi="arial" w:cs="arial"/>
            <w:b/>
            <w:color w:val="BE161D"/>
            <w:sz w:val="18"/>
            <w:shd w:val="clear" w:color="auto" w:fill="FFFFFF"/>
            <w:lang w:val="en-US" w:eastAsia="en-US" w:bidi="ar-SA"/>
          </w:rPr>
          <w:t>7</w:t>
        </w:r>
      </w:hyperlink>
      <w:bookmarkEnd w:id="107"/>
      <w:r>
        <w:rPr>
          <w:rFonts w:ascii="arial" w:eastAsia="arial" w:hAnsi="arial" w:cs="arial"/>
          <w:sz w:val="20"/>
          <w:lang w:val="en-US" w:eastAsia="en-US" w:bidi="ar-SA"/>
        </w:rPr>
        <w:tab/>
      </w:r>
      <w:r>
        <w:rPr>
          <w:rFonts w:ascii="arial" w:eastAsia="arial" w:hAnsi="arial" w:cs="arial"/>
          <w:b/>
          <w:i/>
          <w:color w:val="6D6E71"/>
          <w:sz w:val="18"/>
          <w:lang w:val="en-US" w:eastAsia="en-US" w:bidi="ar-SA"/>
        </w:rPr>
        <w:t>Spender</w:t>
      </w:r>
      <w:r>
        <w:rPr>
          <w:rFonts w:ascii="arial" w:eastAsia="arial" w:hAnsi="arial" w:cs="arial"/>
          <w:color w:val="6D6E71"/>
          <w:sz w:val="18"/>
          <w:lang w:val="en-US" w:eastAsia="en-US" w:bidi="ar-SA"/>
        </w:rPr>
        <w:t>, above, Footnote 3, at paragraphs 20 to 25.</w:t>
      </w:r>
    </w:p>
    <w:p>
      <w:pPr>
        <w:spacing w:before="120" w:after="20" w:line="240" w:lineRule="atLeast"/>
        <w:ind w:left="720" w:hanging="360"/>
        <w:jc w:val="both"/>
        <w:rPr>
          <w:rFonts w:ascii="arial" w:eastAsia="arial" w:hAnsi="arial" w:cs="arial"/>
          <w:sz w:val="20"/>
          <w:lang w:val="en-US" w:eastAsia="en-US" w:bidi="ar-SA"/>
        </w:rPr>
      </w:pPr>
      <w:bookmarkStart w:id="108" w:name="Forward_fnref_fnr-8_0"/>
      <w:hyperlink w:anchor="Backward_fnref_fnr-8" w:history="1">
        <w:r>
          <w:rPr>
            <w:rFonts w:ascii="arial" w:eastAsia="arial" w:hAnsi="arial" w:cs="arial"/>
            <w:b/>
            <w:color w:val="BE161D"/>
            <w:sz w:val="18"/>
            <w:shd w:val="clear" w:color="auto" w:fill="FFFFFF"/>
            <w:lang w:val="en-US" w:eastAsia="en-US" w:bidi="ar-SA"/>
          </w:rPr>
          <w:t>8</w:t>
        </w:r>
      </w:hyperlink>
      <w:bookmarkEnd w:id="108"/>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4, at paragraph 60.</w:t>
      </w:r>
    </w:p>
    <w:p>
      <w:pPr>
        <w:spacing w:before="120" w:after="20" w:line="240" w:lineRule="atLeast"/>
        <w:ind w:left="720" w:hanging="360"/>
        <w:jc w:val="both"/>
        <w:rPr>
          <w:rFonts w:ascii="arial" w:eastAsia="arial" w:hAnsi="arial" w:cs="arial"/>
          <w:sz w:val="20"/>
          <w:lang w:val="en-US" w:eastAsia="en-US" w:bidi="ar-SA"/>
        </w:rPr>
      </w:pPr>
      <w:bookmarkStart w:id="109"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10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[1980] 2 W.L.R. 689, at 701, cited in </w:t>
      </w:r>
      <w:r>
        <w:rPr>
          <w:rFonts w:ascii="arial" w:eastAsia="arial" w:hAnsi="arial" w:cs="arial"/>
          <w:b/>
          <w:i/>
          <w:color w:val="6D6E71"/>
          <w:sz w:val="18"/>
          <w:lang w:val="en-US" w:eastAsia="en-US" w:bidi="ar-SA"/>
        </w:rPr>
        <w:t>Saskatoon Credit Union v. Central Park Enterprises Ltd.</w:t>
      </w:r>
      <w:r>
        <w:rPr>
          <w:rFonts w:ascii="arial" w:eastAsia="arial" w:hAnsi="arial" w:cs="arial"/>
          <w:color w:val="6D6E71"/>
          <w:sz w:val="18"/>
          <w:lang w:val="en-US" w:eastAsia="en-US" w:bidi="ar-SA"/>
        </w:rPr>
        <w:t xml:space="preserve"> </w:t>
      </w:r>
      <w:hyperlink r:id="rId154" w:history="1">
        <w:r>
          <w:rPr>
            <w:rFonts w:ascii="arial" w:eastAsia="arial" w:hAnsi="arial" w:cs="arial"/>
            <w:i/>
            <w:color w:val="0077CC"/>
            <w:sz w:val="18"/>
            <w:u w:val="single"/>
            <w:shd w:val="clear" w:color="auto" w:fill="FFFFFF"/>
            <w:lang w:val="en-US" w:eastAsia="en-US" w:bidi="ar-SA"/>
          </w:rPr>
          <w:t>(1988), 47 D.L.R. (4th) 431</w:t>
        </w:r>
      </w:hyperlink>
      <w:r>
        <w:rPr>
          <w:rFonts w:ascii="arial" w:eastAsia="arial" w:hAnsi="arial" w:cs="arial"/>
          <w:color w:val="6D6E71"/>
          <w:sz w:val="18"/>
          <w:lang w:val="en-US" w:eastAsia="en-US" w:bidi="ar-SA"/>
        </w:rPr>
        <w:t>, at 434 (B.C.S.C.).</w:t>
      </w:r>
    </w:p>
    <w:p>
      <w:pPr>
        <w:spacing w:before="120" w:after="20" w:line="240" w:lineRule="atLeast"/>
        <w:ind w:left="720" w:hanging="360"/>
        <w:jc w:val="both"/>
        <w:rPr>
          <w:rFonts w:ascii="arial" w:eastAsia="arial" w:hAnsi="arial" w:cs="arial"/>
          <w:sz w:val="20"/>
          <w:lang w:val="en-US" w:eastAsia="en-US" w:bidi="ar-SA"/>
        </w:rPr>
      </w:pPr>
      <w:bookmarkStart w:id="110"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110"/>
      <w:r>
        <w:rPr>
          <w:rFonts w:ascii="arial" w:eastAsia="arial" w:hAnsi="arial" w:cs="arial"/>
          <w:sz w:val="20"/>
          <w:lang w:val="en-US" w:eastAsia="en-US" w:bidi="ar-SA"/>
        </w:rPr>
        <w:tab/>
      </w:r>
      <w:r>
        <w:rPr>
          <w:rFonts w:ascii="arial" w:eastAsia="arial" w:hAnsi="arial" w:cs="arial"/>
          <w:b/>
          <w:i/>
          <w:color w:val="6D6E71"/>
          <w:sz w:val="18"/>
          <w:lang w:val="en-US" w:eastAsia="en-US" w:bidi="ar-SA"/>
        </w:rPr>
        <w:t>Saskatoon Credit Union</w:t>
      </w:r>
      <w:r>
        <w:rPr>
          <w:rFonts w:ascii="arial" w:eastAsia="arial" w:hAnsi="arial" w:cs="arial"/>
          <w:color w:val="6D6E71"/>
          <w:sz w:val="18"/>
          <w:lang w:val="en-US" w:eastAsia="en-US" w:bidi="ar-SA"/>
        </w:rPr>
        <w:t>, above, Footnote 9.</w:t>
      </w:r>
    </w:p>
    <w:p>
      <w:pPr>
        <w:spacing w:before="120" w:after="20" w:line="240" w:lineRule="atLeast"/>
        <w:ind w:left="720" w:hanging="360"/>
        <w:jc w:val="both"/>
        <w:rPr>
          <w:rFonts w:ascii="arial" w:eastAsia="arial" w:hAnsi="arial" w:cs="arial"/>
          <w:sz w:val="20"/>
          <w:lang w:val="en-US" w:eastAsia="en-US" w:bidi="ar-SA"/>
        </w:rPr>
      </w:pPr>
      <w:bookmarkStart w:id="111"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111"/>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4, at paragraph 33.</w:t>
      </w:r>
    </w:p>
    <w:p>
      <w:pPr>
        <w:spacing w:before="120" w:after="20" w:line="240" w:lineRule="atLeast"/>
        <w:ind w:left="720" w:hanging="360"/>
        <w:jc w:val="both"/>
        <w:rPr>
          <w:rFonts w:ascii="arial" w:eastAsia="arial" w:hAnsi="arial" w:cs="arial"/>
          <w:sz w:val="20"/>
          <w:lang w:val="en-US" w:eastAsia="en-US" w:bidi="ar-SA"/>
        </w:rPr>
      </w:pPr>
      <w:bookmarkStart w:id="112"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112"/>
      <w:r>
        <w:rPr>
          <w:rFonts w:ascii="arial" w:eastAsia="arial" w:hAnsi="arial" w:cs="arial"/>
          <w:sz w:val="20"/>
          <w:lang w:val="en-US" w:eastAsia="en-US" w:bidi="ar-SA"/>
        </w:rPr>
        <w:tab/>
      </w:r>
      <w:hyperlink r:id="rId145" w:history="1">
        <w:r>
          <w:rPr>
            <w:rFonts w:ascii="arial" w:eastAsia="arial" w:hAnsi="arial" w:cs="arial"/>
            <w:i/>
            <w:color w:val="0077CC"/>
            <w:sz w:val="18"/>
            <w:u w:val="single"/>
            <w:shd w:val="clear" w:color="auto" w:fill="FFFFFF"/>
            <w:lang w:val="en-US" w:eastAsia="en-US" w:bidi="ar-SA"/>
          </w:rPr>
          <w:t>[1983] 1 S.C.R. 72</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13"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113"/>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4, at paragraph 62.</w:t>
      </w:r>
    </w:p>
    <w:p>
      <w:pPr>
        <w:spacing w:before="120" w:after="20" w:line="240" w:lineRule="atLeast"/>
        <w:ind w:left="720" w:hanging="360"/>
        <w:jc w:val="both"/>
        <w:rPr>
          <w:rFonts w:ascii="arial" w:eastAsia="arial" w:hAnsi="arial" w:cs="arial"/>
          <w:sz w:val="20"/>
          <w:lang w:val="en-US" w:eastAsia="en-US" w:bidi="ar-SA"/>
        </w:rPr>
      </w:pPr>
      <w:bookmarkStart w:id="114"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114"/>
      <w:r>
        <w:rPr>
          <w:rFonts w:ascii="arial" w:eastAsia="arial" w:hAnsi="arial" w:cs="arial"/>
          <w:sz w:val="20"/>
          <w:lang w:val="en-US" w:eastAsia="en-US" w:bidi="ar-SA"/>
        </w:rPr>
        <w:tab/>
      </w:r>
      <w:hyperlink r:id="rId155" w:history="1">
        <w:r>
          <w:rPr>
            <w:rFonts w:ascii="arial" w:eastAsia="arial" w:hAnsi="arial" w:cs="arial"/>
            <w:i/>
            <w:color w:val="0077CC"/>
            <w:sz w:val="18"/>
            <w:u w:val="single"/>
            <w:shd w:val="clear" w:color="auto" w:fill="FFFFFF"/>
            <w:lang w:val="en-US" w:eastAsia="en-US" w:bidi="ar-SA"/>
          </w:rPr>
          <w:t>(2001), 55 O.R. (3d) 541</w:t>
        </w:r>
      </w:hyperlink>
      <w:r>
        <w:rPr>
          <w:rFonts w:ascii="arial" w:eastAsia="arial" w:hAnsi="arial" w:cs="arial"/>
          <w:color w:val="6D6E71"/>
          <w:sz w:val="18"/>
          <w:lang w:val="en-US" w:eastAsia="en-US" w:bidi="ar-SA"/>
        </w:rPr>
        <w:t xml:space="preserve"> (Ont. C.A.); appeal dismissed, </w:t>
      </w:r>
      <w:hyperlink r:id="rId156" w:history="1">
        <w:r>
          <w:rPr>
            <w:rFonts w:ascii="arial" w:eastAsia="arial" w:hAnsi="arial" w:cs="arial"/>
            <w:i/>
            <w:color w:val="0077CC"/>
            <w:sz w:val="18"/>
            <w:u w:val="single"/>
            <w:shd w:val="clear" w:color="auto" w:fill="FFFFFF"/>
            <w:lang w:val="en-US" w:eastAsia="en-US" w:bidi="ar-SA"/>
          </w:rPr>
          <w:t>[2003] 3 S.C.R. 77</w:t>
        </w:r>
      </w:hyperlink>
      <w:r>
        <w:rPr>
          <w:rFonts w:ascii="arial" w:eastAsia="arial" w:hAnsi="arial" w:cs="arial"/>
          <w:color w:val="6D6E71"/>
          <w:sz w:val="18"/>
          <w:lang w:val="en-US" w:eastAsia="en-US" w:bidi="ar-SA"/>
        </w:rPr>
        <w:t xml:space="preserve">, cited in </w:t>
      </w:r>
      <w:r>
        <w:rPr>
          <w:rFonts w:ascii="arial" w:eastAsia="arial" w:hAnsi="arial" w:cs="arial"/>
          <w:b/>
          <w:i/>
          <w:color w:val="6D6E71"/>
          <w:sz w:val="18"/>
          <w:lang w:val="en-US" w:eastAsia="en-US" w:bidi="ar-SA"/>
        </w:rPr>
        <w:t>Withler v. Canada</w:t>
      </w:r>
      <w:r>
        <w:rPr>
          <w:rFonts w:ascii="arial" w:eastAsia="arial" w:hAnsi="arial" w:cs="arial"/>
          <w:color w:val="6D6E71"/>
          <w:sz w:val="18"/>
          <w:lang w:val="en-US" w:eastAsia="en-US" w:bidi="ar-SA"/>
        </w:rPr>
        <w:t xml:space="preserve">, </w:t>
      </w:r>
      <w:hyperlink r:id="rId157" w:history="1">
        <w:r>
          <w:rPr>
            <w:rFonts w:ascii="arial" w:eastAsia="arial" w:hAnsi="arial" w:cs="arial"/>
            <w:i/>
            <w:color w:val="0077CC"/>
            <w:sz w:val="18"/>
            <w:u w:val="single"/>
            <w:shd w:val="clear" w:color="auto" w:fill="FFFFFF"/>
            <w:lang w:val="en-US" w:eastAsia="en-US" w:bidi="ar-SA"/>
          </w:rPr>
          <w:t>[2002] B.C.J. No. 1395</w:t>
        </w:r>
      </w:hyperlink>
      <w:r>
        <w:rPr>
          <w:rFonts w:ascii="arial" w:eastAsia="arial" w:hAnsi="arial" w:cs="arial"/>
          <w:color w:val="6D6E71"/>
          <w:sz w:val="18"/>
          <w:lang w:val="en-US" w:eastAsia="en-US" w:bidi="ar-SA"/>
        </w:rPr>
        <w:t xml:space="preserve">, </w:t>
      </w:r>
      <w:hyperlink r:id="rId157" w:history="1">
        <w:r>
          <w:rPr>
            <w:rFonts w:ascii="arial" w:eastAsia="arial" w:hAnsi="arial" w:cs="arial"/>
            <w:i/>
            <w:color w:val="0077CC"/>
            <w:sz w:val="18"/>
            <w:u w:val="single"/>
            <w:shd w:val="clear" w:color="auto" w:fill="FFFFFF"/>
            <w:lang w:val="en-US" w:eastAsia="en-US" w:bidi="ar-SA"/>
          </w:rPr>
          <w:t>2002 BCSC 820</w:t>
        </w:r>
      </w:hyperlink>
      <w:r>
        <w:rPr>
          <w:rFonts w:ascii="arial" w:eastAsia="arial" w:hAnsi="arial" w:cs="arial"/>
          <w:color w:val="6D6E71"/>
          <w:sz w:val="18"/>
          <w:lang w:val="en-US" w:eastAsia="en-US" w:bidi="ar-SA"/>
        </w:rPr>
        <w:t>, at para. 30.</w:t>
      </w:r>
    </w:p>
    <w:p>
      <w:pPr>
        <w:spacing w:before="120" w:after="20" w:line="240" w:lineRule="atLeast"/>
        <w:ind w:left="720" w:hanging="360"/>
        <w:jc w:val="both"/>
        <w:rPr>
          <w:rFonts w:ascii="arial" w:eastAsia="arial" w:hAnsi="arial" w:cs="arial"/>
          <w:sz w:val="20"/>
          <w:lang w:val="en-US" w:eastAsia="en-US" w:bidi="ar-SA"/>
        </w:rPr>
      </w:pPr>
      <w:bookmarkStart w:id="115"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115"/>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Footnote 14.</w:t>
      </w:r>
    </w:p>
    <w:p>
      <w:pPr>
        <w:spacing w:before="120" w:after="20" w:line="240" w:lineRule="atLeast"/>
        <w:ind w:left="720" w:hanging="360"/>
        <w:jc w:val="both"/>
        <w:rPr>
          <w:rFonts w:ascii="arial" w:eastAsia="arial" w:hAnsi="arial" w:cs="arial"/>
          <w:sz w:val="20"/>
          <w:lang w:val="en-US" w:eastAsia="en-US" w:bidi="ar-SA"/>
        </w:rPr>
      </w:pPr>
      <w:bookmarkStart w:id="116"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116"/>
      <w:r>
        <w:rPr>
          <w:rFonts w:ascii="arial" w:eastAsia="arial" w:hAnsi="arial" w:cs="arial"/>
          <w:sz w:val="20"/>
          <w:lang w:val="en-US" w:eastAsia="en-US" w:bidi="ar-SA"/>
        </w:rPr>
        <w:tab/>
      </w:r>
      <w:hyperlink r:id="rId158" w:history="1">
        <w:r>
          <w:rPr>
            <w:rFonts w:ascii="arial" w:eastAsia="arial" w:hAnsi="arial" w:cs="arial"/>
            <w:i/>
            <w:color w:val="0077CC"/>
            <w:sz w:val="18"/>
            <w:u w:val="single"/>
            <w:shd w:val="clear" w:color="auto" w:fill="FFFFFF"/>
            <w:lang w:val="en-US" w:eastAsia="en-US" w:bidi="ar-SA"/>
          </w:rPr>
          <w:t>(2000) 47 O.R. (3d) 97</w:t>
        </w:r>
      </w:hyperlink>
      <w:r>
        <w:rPr>
          <w:rFonts w:ascii="arial" w:eastAsia="arial" w:hAnsi="arial" w:cs="arial"/>
          <w:color w:val="6D6E71"/>
          <w:sz w:val="18"/>
          <w:lang w:val="en-US" w:eastAsia="en-US" w:bidi="ar-SA"/>
        </w:rPr>
        <w:t xml:space="preserve"> (Ont. C.A.).</w:t>
      </w:r>
    </w:p>
    <w:p>
      <w:pPr>
        <w:spacing w:before="120" w:after="20" w:line="240" w:lineRule="atLeast"/>
        <w:ind w:left="720" w:hanging="360"/>
        <w:jc w:val="both"/>
        <w:rPr>
          <w:rFonts w:ascii="arial" w:eastAsia="arial" w:hAnsi="arial" w:cs="arial"/>
          <w:sz w:val="20"/>
          <w:lang w:val="en-US" w:eastAsia="en-US" w:bidi="ar-SA"/>
        </w:rPr>
      </w:pPr>
      <w:bookmarkStart w:id="117"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117"/>
      <w:r>
        <w:rPr>
          <w:rFonts w:ascii="arial" w:eastAsia="arial" w:hAnsi="arial" w:cs="arial"/>
          <w:sz w:val="20"/>
          <w:lang w:val="en-US" w:eastAsia="en-US" w:bidi="ar-SA"/>
        </w:rPr>
        <w:tab/>
      </w:r>
      <w:hyperlink r:id="rId156" w:history="1">
        <w:r>
          <w:rPr>
            <w:rFonts w:ascii="arial" w:eastAsia="arial" w:hAnsi="arial" w:cs="arial"/>
            <w:i/>
            <w:color w:val="0077CC"/>
            <w:sz w:val="18"/>
            <w:u w:val="single"/>
            <w:shd w:val="clear" w:color="auto" w:fill="FFFFFF"/>
            <w:lang w:val="en-US" w:eastAsia="en-US" w:bidi="ar-SA"/>
          </w:rPr>
          <w:t>[2003] 3 S.C.R. 77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18"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118"/>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Footnote 17, per Le Bel J., at para. 60.</w:t>
      </w:r>
    </w:p>
    <w:p>
      <w:pPr>
        <w:spacing w:before="120" w:after="20" w:line="240" w:lineRule="atLeast"/>
        <w:ind w:left="720" w:hanging="360"/>
        <w:jc w:val="both"/>
        <w:rPr>
          <w:rFonts w:ascii="arial" w:eastAsia="arial" w:hAnsi="arial" w:cs="arial"/>
          <w:sz w:val="20"/>
          <w:lang w:val="en-US" w:eastAsia="en-US" w:bidi="ar-SA"/>
        </w:rPr>
      </w:pPr>
      <w:bookmarkStart w:id="119"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119"/>
      <w:r>
        <w:rPr>
          <w:rFonts w:ascii="arial" w:eastAsia="arial" w:hAnsi="arial" w:cs="arial"/>
          <w:sz w:val="20"/>
          <w:lang w:val="en-US" w:eastAsia="en-US" w:bidi="ar-SA"/>
        </w:rPr>
        <w:tab/>
      </w:r>
      <w:r>
        <w:rPr>
          <w:rFonts w:ascii="arial" w:eastAsia="arial" w:hAnsi="arial" w:cs="arial"/>
          <w:b/>
          <w:i/>
          <w:color w:val="6D6E71"/>
          <w:sz w:val="18"/>
          <w:lang w:val="en-US" w:eastAsia="en-US" w:bidi="ar-SA"/>
        </w:rPr>
        <w:t>Spender</w:t>
      </w:r>
      <w:r>
        <w:rPr>
          <w:rFonts w:ascii="arial" w:eastAsia="arial" w:hAnsi="arial" w:cs="arial"/>
          <w:color w:val="6D6E71"/>
          <w:sz w:val="18"/>
          <w:lang w:val="en-US" w:eastAsia="en-US" w:bidi="ar-SA"/>
        </w:rPr>
        <w:t xml:space="preserve">, above, Footnote 3, at para. 20 and </w:t>
      </w:r>
      <w:r>
        <w:rPr>
          <w:rFonts w:ascii="arial" w:eastAsia="arial" w:hAnsi="arial" w:cs="arial"/>
          <w:b/>
          <w:i/>
          <w:color w:val="6D6E71"/>
          <w:sz w:val="18"/>
          <w:lang w:val="en-US" w:eastAsia="en-US" w:bidi="ar-SA"/>
        </w:rPr>
        <w:t>R. v. Wagner</w:t>
      </w:r>
      <w:r>
        <w:rPr>
          <w:rFonts w:ascii="arial" w:eastAsia="arial" w:hAnsi="arial" w:cs="arial"/>
          <w:color w:val="6D6E71"/>
          <w:sz w:val="18"/>
          <w:lang w:val="en-US" w:eastAsia="en-US" w:bidi="ar-SA"/>
        </w:rPr>
        <w:t>, above, Footnote 3.</w:t>
      </w:r>
    </w:p>
    <w:p>
      <w:pPr>
        <w:spacing w:before="120" w:after="20" w:line="240" w:lineRule="atLeast"/>
        <w:ind w:left="720" w:hanging="360"/>
        <w:jc w:val="both"/>
        <w:rPr>
          <w:rFonts w:ascii="arial" w:eastAsia="arial" w:hAnsi="arial" w:cs="arial"/>
          <w:sz w:val="20"/>
          <w:lang w:val="en-US" w:eastAsia="en-US" w:bidi="ar-SA"/>
        </w:rPr>
      </w:pPr>
      <w:bookmarkStart w:id="120"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12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support of this submission, the plaintiff relies upon, among others, </w:t>
      </w:r>
      <w:r>
        <w:rPr>
          <w:rFonts w:ascii="arial" w:eastAsia="arial" w:hAnsi="arial" w:cs="arial"/>
          <w:b/>
          <w:i/>
          <w:color w:val="6D6E71"/>
          <w:sz w:val="18"/>
          <w:lang w:val="en-US" w:eastAsia="en-US" w:bidi="ar-SA"/>
        </w:rPr>
        <w:t>Danyluk</w:t>
      </w:r>
      <w:r>
        <w:rPr>
          <w:rFonts w:ascii="arial" w:eastAsia="arial" w:hAnsi="arial" w:cs="arial"/>
          <w:color w:val="6D6E71"/>
          <w:sz w:val="18"/>
          <w:lang w:val="en-US" w:eastAsia="en-US" w:bidi="ar-SA"/>
        </w:rPr>
        <w:t xml:space="preserve">, above, Footnote 4, </w:t>
      </w:r>
      <w:r>
        <w:rPr>
          <w:rFonts w:ascii="arial" w:eastAsia="arial" w:hAnsi="arial" w:cs="arial"/>
          <w:b/>
          <w:i/>
          <w:color w:val="6D6E71"/>
          <w:sz w:val="18"/>
          <w:lang w:val="en-US" w:eastAsia="en-US" w:bidi="ar-SA"/>
        </w:rPr>
        <w:t>Machin v. Tomlinson</w:t>
      </w:r>
      <w:r>
        <w:rPr>
          <w:rFonts w:ascii="arial" w:eastAsia="arial" w:hAnsi="arial" w:cs="arial"/>
          <w:color w:val="6D6E71"/>
          <w:sz w:val="18"/>
          <w:lang w:val="en-US" w:eastAsia="en-US" w:bidi="ar-SA"/>
        </w:rPr>
        <w:t xml:space="preserve"> </w:t>
      </w:r>
      <w:hyperlink r:id="rId159" w:history="1">
        <w:r>
          <w:rPr>
            <w:rFonts w:ascii="arial" w:eastAsia="arial" w:hAnsi="arial" w:cs="arial"/>
            <w:i/>
            <w:color w:val="0077CC"/>
            <w:sz w:val="18"/>
            <w:u w:val="single"/>
            <w:shd w:val="clear" w:color="auto" w:fill="FFFFFF"/>
            <w:lang w:val="en-US" w:eastAsia="en-US" w:bidi="ar-SA"/>
          </w:rPr>
          <w:t>(2000) 51 O.R. (3d) 566</w:t>
        </w:r>
      </w:hyperlink>
      <w:r>
        <w:rPr>
          <w:rFonts w:ascii="arial" w:eastAsia="arial" w:hAnsi="arial" w:cs="arial"/>
          <w:color w:val="6D6E71"/>
          <w:sz w:val="18"/>
          <w:lang w:val="en-US" w:eastAsia="en-US" w:bidi="ar-SA"/>
        </w:rPr>
        <w:t xml:space="preserve"> (Ont. C.A.), and </w:t>
      </w:r>
      <w:r>
        <w:rPr>
          <w:rFonts w:ascii="arial" w:eastAsia="arial" w:hAnsi="arial" w:cs="arial"/>
          <w:b/>
          <w:i/>
          <w:color w:val="6D6E71"/>
          <w:sz w:val="18"/>
          <w:lang w:val="en-US" w:eastAsia="en-US" w:bidi="ar-SA"/>
        </w:rPr>
        <w:t>Rasanen v. Rosemount Instruments Ltd.</w:t>
      </w:r>
      <w:r>
        <w:rPr>
          <w:rFonts w:ascii="arial" w:eastAsia="arial" w:hAnsi="arial" w:cs="arial"/>
          <w:color w:val="6D6E71"/>
          <w:sz w:val="18"/>
          <w:lang w:val="en-US" w:eastAsia="en-US" w:bidi="ar-SA"/>
        </w:rPr>
        <w:t xml:space="preserve"> </w:t>
      </w:r>
      <w:hyperlink r:id="rId160" w:history="1">
        <w:r>
          <w:rPr>
            <w:rFonts w:ascii="arial" w:eastAsia="arial" w:hAnsi="arial" w:cs="arial"/>
            <w:i/>
            <w:color w:val="0077CC"/>
            <w:sz w:val="18"/>
            <w:u w:val="single"/>
            <w:shd w:val="clear" w:color="auto" w:fill="FFFFFF"/>
            <w:lang w:val="en-US" w:eastAsia="en-US" w:bidi="ar-SA"/>
          </w:rPr>
          <w:t>(1994), 112 D.L.R. (4th) 683</w:t>
        </w:r>
      </w:hyperlink>
      <w:r>
        <w:rPr>
          <w:rFonts w:ascii="arial" w:eastAsia="arial" w:hAnsi="arial" w:cs="arial"/>
          <w:color w:val="6D6E71"/>
          <w:sz w:val="18"/>
          <w:lang w:val="en-US" w:eastAsia="en-US" w:bidi="ar-SA"/>
        </w:rPr>
        <w:t xml:space="preserve"> (Ont. C.A.).</w:t>
      </w:r>
    </w:p>
    <w:p>
      <w:pPr>
        <w:spacing w:before="120" w:after="20" w:line="240" w:lineRule="atLeast"/>
        <w:ind w:left="720" w:hanging="360"/>
        <w:jc w:val="both"/>
        <w:rPr>
          <w:rFonts w:ascii="arial" w:eastAsia="arial" w:hAnsi="arial" w:cs="arial"/>
          <w:sz w:val="20"/>
          <w:lang w:val="en-US" w:eastAsia="en-US" w:bidi="ar-SA"/>
        </w:rPr>
      </w:pPr>
      <w:bookmarkStart w:id="121" w:name="Forward_fnref_fnr-21"/>
      <w:hyperlink w:anchor="Backward_fnref_fnr-21" w:history="1">
        <w:r>
          <w:rPr>
            <w:rFonts w:ascii="arial" w:eastAsia="arial" w:hAnsi="arial" w:cs="arial"/>
            <w:b/>
            <w:color w:val="BE161D"/>
            <w:sz w:val="18"/>
            <w:shd w:val="clear" w:color="auto" w:fill="FFFFFF"/>
            <w:lang w:val="en-US" w:eastAsia="en-US" w:bidi="ar-SA"/>
          </w:rPr>
          <w:t>21</w:t>
        </w:r>
      </w:hyperlink>
      <w:bookmarkEnd w:id="12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support of this submission, the plaintiff relies upon </w:t>
      </w:r>
      <w:r>
        <w:rPr>
          <w:rFonts w:ascii="arial" w:eastAsia="arial" w:hAnsi="arial" w:cs="arial"/>
          <w:b/>
          <w:i/>
          <w:color w:val="6D6E71"/>
          <w:sz w:val="18"/>
          <w:lang w:val="en-US" w:eastAsia="en-US" w:bidi="ar-SA"/>
        </w:rPr>
        <w:t>Parsons v. Canadian Red Cross Society</w:t>
      </w:r>
      <w:r>
        <w:rPr>
          <w:rFonts w:ascii="arial" w:eastAsia="arial" w:hAnsi="arial" w:cs="arial"/>
          <w:color w:val="6D6E71"/>
          <w:sz w:val="18"/>
          <w:lang w:val="en-US" w:eastAsia="en-US" w:bidi="ar-SA"/>
        </w:rPr>
        <w:t xml:space="preserve">, </w:t>
      </w:r>
      <w:hyperlink r:id="rId161" w:history="1">
        <w:r>
          <w:rPr>
            <w:rFonts w:ascii="arial" w:eastAsia="arial" w:hAnsi="arial" w:cs="arial"/>
            <w:i/>
            <w:color w:val="0077CC"/>
            <w:sz w:val="18"/>
            <w:u w:val="single"/>
            <w:shd w:val="clear" w:color="auto" w:fill="FFFFFF"/>
            <w:lang w:val="en-US" w:eastAsia="en-US" w:bidi="ar-SA"/>
          </w:rPr>
          <w:t>[1999] O.J. No. 3572</w:t>
        </w:r>
      </w:hyperlink>
      <w:r>
        <w:rPr>
          <w:rFonts w:ascii="arial" w:eastAsia="arial" w:hAnsi="arial" w:cs="arial"/>
          <w:color w:val="6D6E71"/>
          <w:sz w:val="18"/>
          <w:lang w:val="en-US" w:eastAsia="en-US" w:bidi="ar-SA"/>
        </w:rPr>
        <w:t xml:space="preserve"> (Ont. S.C.) and </w:t>
      </w:r>
      <w:r>
        <w:rPr>
          <w:rFonts w:ascii="arial" w:eastAsia="arial" w:hAnsi="arial" w:cs="arial"/>
          <w:b/>
          <w:i/>
          <w:color w:val="6D6E71"/>
          <w:sz w:val="18"/>
          <w:lang w:val="en-US" w:eastAsia="en-US" w:bidi="ar-SA"/>
        </w:rPr>
        <w:t>Western Canadian Shopping Centres Inc. v. Dutton</w:t>
      </w:r>
      <w:r>
        <w:rPr>
          <w:rFonts w:ascii="arial" w:eastAsia="arial" w:hAnsi="arial" w:cs="arial"/>
          <w:color w:val="6D6E71"/>
          <w:sz w:val="18"/>
          <w:lang w:val="en-US" w:eastAsia="en-US" w:bidi="ar-SA"/>
        </w:rPr>
        <w:t xml:space="preserve">, </w:t>
      </w:r>
      <w:hyperlink r:id="rId162" w:history="1">
        <w:r>
          <w:rPr>
            <w:rFonts w:ascii="arial" w:eastAsia="arial" w:hAnsi="arial" w:cs="arial"/>
            <w:i/>
            <w:color w:val="0077CC"/>
            <w:sz w:val="18"/>
            <w:u w:val="single"/>
            <w:shd w:val="clear" w:color="auto" w:fill="FFFFFF"/>
            <w:lang w:val="en-US" w:eastAsia="en-US" w:bidi="ar-SA"/>
          </w:rPr>
          <w:t>[2001] 2 S.C.R. 534</w:t>
        </w:r>
      </w:hyperlink>
      <w:r>
        <w:rPr>
          <w:rFonts w:ascii="arial" w:eastAsia="arial" w:hAnsi="arial" w:cs="arial"/>
          <w:color w:val="6D6E71"/>
          <w:sz w:val="18"/>
          <w:lang w:val="en-US" w:eastAsia="en-US" w:bidi="ar-SA"/>
        </w:rPr>
        <w:t xml:space="preserve">, as well as the </w:t>
      </w:r>
      <w:r>
        <w:rPr>
          <w:rFonts w:ascii="arial" w:eastAsia="arial" w:hAnsi="arial" w:cs="arial"/>
          <w:b/>
          <w:i/>
          <w:color w:val="6D6E71"/>
          <w:sz w:val="18"/>
          <w:lang w:val="en-US" w:eastAsia="en-US" w:bidi="ar-SA"/>
        </w:rPr>
        <w:t>Class Proceedings Act</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R.S.B.C. 1996, c. 50</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22" w:name="Forward_fnref_fnr-22"/>
      <w:hyperlink w:anchor="Backward_fnref_fnr-22" w:history="1">
        <w:r>
          <w:rPr>
            <w:rFonts w:ascii="arial" w:eastAsia="arial" w:hAnsi="arial" w:cs="arial"/>
            <w:b/>
            <w:color w:val="BE161D"/>
            <w:sz w:val="18"/>
            <w:shd w:val="clear" w:color="auto" w:fill="FFFFFF"/>
            <w:lang w:val="en-US" w:eastAsia="en-US" w:bidi="ar-SA"/>
          </w:rPr>
          <w:t>22</w:t>
        </w:r>
      </w:hyperlink>
      <w:bookmarkEnd w:id="122"/>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14.</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Jansen v. British Columbia Transit, [2004] B.C.J. No. 1115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6, 2004.</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03-3665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1115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2004 BCSC 722</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131 A.C.W.S. (3d) 983</w:t>
        </w:r>
      </w:hyperlink>
    </w:p>
    <w:p>
      <w:pPr>
        <w:spacing w:before="120" w:line="260" w:lineRule="atLeast"/>
        <w:rPr>
          <w:lang w:val="en-US" w:eastAsia="en-US" w:bidi="ar-SA"/>
        </w:rPr>
      </w:pPr>
      <w:r>
        <w:rPr>
          <w:rFonts w:ascii="arial" w:eastAsia="arial" w:hAnsi="arial" w:cs="arial"/>
          <w:color w:val="000000"/>
          <w:sz w:val="20"/>
          <w:lang w:val="en-US" w:eastAsia="en-US" w:bidi="ar-SA"/>
        </w:rPr>
        <w:t>Between Greta Jansen, plaintiff, and British Columbia Transit,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0" style="position:absolute;z-index:2516664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3" w:name="Keywords_7"/>
      <w:bookmarkEnd w:id="123"/>
      <w:r>
        <w:rPr>
          <w:rFonts w:ascii="arial" w:eastAsia="arial" w:hAnsi="arial" w:cs="arial"/>
          <w:b/>
          <w:color w:val="000000"/>
          <w:sz w:val="20"/>
          <w:lang w:val="en-US" w:eastAsia="en-US" w:bidi="ar-SA"/>
        </w:rPr>
        <w:t xml:space="preserve">Damages — General damages — For personal injury — Non-pecuniary damages, including pain and suffering — Physical injuries — Leg injuries — Knee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Standard of care — Transportation law — Carriers — Liability.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4" w:name="Case Summary_6"/>
            <w:bookmarkEnd w:id="12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Jansen against British Columbia Transit for damages. Jansen was a passenger on a bus operated by British Columbia Transit. She suffered a fracture of the tibial surface of her left knee while riding the bus. She claimed that as she stood to open the window, the bus accelerated sharply and caused the fall in which she sustained her injuries. She claimed that the driver did not show concern for her situation and left her at her stop without offering any assistance. Jansen suffered significant disability and pain, was unable to walk for a time and then progressed from a walker to a cane. British Columbia Transit denied that there was any departure from the normal operation of the bus. The driver claimed that there was no sudden acceleration and in fact that the bus was incapable of such acceleration. </w:t>
            </w:r>
            <w:r>
              <w:rPr>
                <w:lang w:val="en-US" w:eastAsia="en-US" w:bidi="ar-SA"/>
              </w:rPr>
              <w:cr/>
            </w:r>
          </w:p>
          <w:p>
            <w:pPr>
              <w:spacing w:before="120" w:line="260" w:lineRule="atLeast"/>
              <w:ind w:left="240"/>
              <w:jc w:val="both"/>
              <w:rPr>
                <w:lang w:val="en-US" w:eastAsia="en-US" w:bidi="ar-SA"/>
              </w:rPr>
            </w:pPr>
            <w:bookmarkStart w:id="125" w:name="Holdings of Court_4"/>
            <w:bookmarkEnd w:id="12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decision rested on an assessment of credibility. The driver's callous attitude indicated reconstruction or after-the-fact justification for not dealing with the matter in a more direct and sensitive manner. The driver's claim that the bus could not accelerate sharply was not logical. The sudden acceleration was not the behavior of a prudent driver. Damages were awarded in the amount of $40,000. </w:t>
            </w:r>
            <w:r>
              <w:rPr>
                <w:lang w:val="en-US" w:eastAsia="en-US" w:bidi="ar-SA"/>
              </w:rPr>
              <w:cr/>
            </w:r>
          </w:p>
          <w:p>
            <w:pPr>
              <w:rPr>
                <w:lang w:val="en-US" w:eastAsia="en-US" w:bidi="ar-SA"/>
              </w:rPr>
            </w:pPr>
          </w:p>
        </w:tc>
      </w:tr>
    </w:tbl>
    <w:p>
      <w:pPr>
        <w:jc w:val="both"/>
        <w:rPr>
          <w:lang w:val="en-US" w:eastAsia="en-US" w:bidi="ar-SA"/>
        </w:rPr>
      </w:pPr>
      <w:bookmarkStart w:id="126" w:name="Counsel_7"/>
      <w:bookmarkEnd w:id="12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1" style="position:absolute;z-index:2517176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V. Pitt (as agent for M. Frost)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S. Klinger</w:t>
      </w:r>
      <w:r>
        <w:rPr>
          <w:lang w:val="en-US" w:eastAsia="en-US" w:bidi="ar-SA"/>
        </w:rPr>
        <w:cr/>
      </w:r>
    </w:p>
    <w:p>
      <w:pPr>
        <w:spacing w:after="240"/>
        <w:rPr>
          <w:lang w:val="en-US" w:eastAsia="en-US" w:bidi="ar-SA"/>
        </w:rPr>
      </w:pPr>
      <w:bookmarkStart w:id="127" w:name="Judgment_7"/>
      <w:bookmarkEnd w:id="127"/>
      <w:r>
        <w:pict>
          <v:line id="_x0000_s1072" style="position:absolute;z-index:2517688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8" w:name="GRIST J. (orally)"/>
            <w:bookmarkEnd w:id="128"/>
            <w:r>
              <w:rPr>
                <w:rFonts w:ascii="arial" w:eastAsia="arial" w:hAnsi="arial" w:cs="arial"/>
                <w:b/>
                <w:color w:val="000000"/>
                <w:sz w:val="30"/>
                <w:lang w:val="en-US" w:eastAsia="en-US" w:bidi="ar-SA"/>
              </w:rPr>
              <w:t>GRIST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Jansen suffered a fracture of the tibial surface of her left knee while riding the Number 11 bus southbound on Menzies Street in Victoria. Her evidence is that the bus accelerated in an abrupt manner as it pulled out from a bus stop, as she stood to open a window, causing her to fall back awkwardly into her seat and her left leg to swing forward, striking the hard plastic seat back in front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that there was any departure from normal operation of the bus and hence liability for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decision in this case rests upon an assessment of credibility to be attributed to the evidence of the defendant and that of the bus driver, Mr.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Jansen was 52 years of age on October the 11th, 1992, the day she suffered the injury to her knee. She has used public transport for a number of years. She boarded the bus in front of the James Bay Tea Room at Menzies and Superior some time after noon on that day. She was headed for her home near the end of the line on Douglas.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said she initially sat on a bench seat on the right side of the bus about three seats ahead of the rear exit. She was bothered by the perfume worn by the lady in the seat ahead, and at the next stop moved to a seat across the aisle. She then attempted to open the window above this seat using her left hand while holding on to the handle on the seat ahead with her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this point, the driver pulled away from the stop. She described it as taking off with a sudden jerk, causing her to fall back, her knee striking the seat ahead. The impact caused sudden pain and she let out a cry. She sat on her seat, holding her knee and several other passengers asked if she was all right. She continued to be in extreme pain and thought she caught the driver's attention in the large mirror in the front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next stop was opposite the Thrifty's market at Simcoe Street. Many of the passengers wanted to leave the bus at this stop, including a passenger in a wheelchair. The driver came back to let go the restraints on the wheelchair, but said nothing to Ms. Jansen and went back to his seat and carried on with the route.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Ultimately, Ms. Jansen was the last passenger on the bus. She left the bus supporting herself using stanchions and a crossbar. As she left, she made a remark about the driver's lack of concern. She said the driver got off the bus and explained that he did not see what happened and that he was busy with the ramp for the wheelchair. He then got back on the bus and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Jansen tried to hop on one leg towards her home but soon realized she would not make it. A couple leaving a restaurant saw her and took her to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Day's evidence was that the trip that day was routine until he got to Simcoe Street. He described a truck crossing Menzies taking the right-of-way, causing him to brake slightly as he pulled away from the stop sign on Menzies. He said he heard a sound he first described as a cry but later in his evidence as a moan. He looked back to see people around a woman acting as if they were concerned about her. He said he believed at that point she was a heart attack or stroke victim and he was getting ready to call an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pulled into the bus stop and a number of people wanted off, including the person in the wheelchair. He said he went back and looked but that it seemed that there was not as much attention being paid to the woman as before, so he proceeded to deal with the wheelchair. He then went back to his seat and drove on without making further inquiries.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Day confirmed much of the exchange at the end of the line, but said Ms. Jansen told him she only had a short distance to go and he assumed she was able to get there. He saw her again when he started on the return route being helped by the couple who took her to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Day is an experienced driver with a good driving record. He said it was important to be careful, especially on stopping when people may be getting out of their seats. He denied that buses could accelerate quickly or lurch, in the parlance of these cases, due to the size of the vehicle, their limited power and the fact that the engines were governed at 2200 rpm.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could not recall pulling away from the bus stop prior to Simcoe Street and when questioned on his manner of driving at the point where Ms. Jansen said she was injured, he relied on his usual practice of accelerating smoothly.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explained that he did not inquire about the passenger he thought likely had a heart attack or stroke, because no one spoke to him when he went back in the bus to deal with the wheelchair. He thought this was strange, but in his experience he had found it best to keep quiet and not to speak until spoken to. He said that he did not know anything happened and so did not ask. In this sense, he felt that, by default, nothing was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found Mr. Day's response to indicate a callous attitude to a passenger in possible distress. This evidence does not bear directly on the manner of driving at the relevant time, but does to my mind indicate reconstruction or after-the-fact justification for not dealing with the matter in a more direct and sensitive manner. The effect is to cast doubt on the safety of other aspects of 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Day implied that it was not possible to present a danger through acceleration while driving a transit bus. While I do not doubt a transit bus cannot accelerate as quickly as other vehicles, passengers are often more vulnerable to movement, and care, in my view, is necessary on acceleration. His explanation that acceleration at start-up is restricted by a governor on maximum engine rpm does not sound in logic.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balance, I prefer the evidence of Ms. Jansen, that the movement of the bus from the stop was abrupt and forceful, causing her to fall, notwithstanding she had braced herself while opening the window. There were no exigencies of traffic or other like explanations for this manner of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duty of care of public carriers towards their passengers is well set out in Day v. Toronto Transportation Commission, </w:t>
      </w:r>
      <w:hyperlink r:id="rId171"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xml:space="preserve"> and Planidin v. Dykes, </w:t>
      </w:r>
      <w:hyperlink r:id="rId172"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The standard of care is spoken of in Wang v. Horrod, </w:t>
      </w:r>
      <w:hyperlink r:id="rId173" w:history="1">
        <w:r>
          <w:rPr>
            <w:rFonts w:ascii="arial" w:eastAsia="arial" w:hAnsi="arial" w:cs="arial"/>
            <w:i/>
            <w:color w:val="0077CC"/>
            <w:sz w:val="20"/>
            <w:u w:val="single"/>
            <w:shd w:val="clear" w:color="auto" w:fill="FFFFFF"/>
            <w:lang w:val="en-US" w:eastAsia="en-US" w:bidi="ar-SA"/>
          </w:rPr>
          <w:t>[1998] S.C.C.A. No. 351</w:t>
        </w:r>
      </w:hyperlink>
      <w:r>
        <w:rPr>
          <w:rFonts w:ascii="arial" w:eastAsia="arial" w:hAnsi="arial" w:cs="arial"/>
          <w:color w:val="000000"/>
          <w:sz w:val="20"/>
          <w:lang w:val="en-US" w:eastAsia="en-US" w:bidi="ar-SA"/>
        </w:rPr>
        <w:t>. The standard of care imposed on the bus driver is the conduct or behaviour that would be expected of the reasonably prudent bus driver in the circumstances. The test is an objective one and takes into consideration both the experience of the average bus driver and anything the bus driver knew or should have 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Here, I am satisfied that unexplained sudden movement while pulling away from a bus stop is not behaviour attributable to a reasonably prudent bus driver. Accordingly, I find the defendant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injury to the knee significantly disabled Ms. Jansen. She lives alone and her apartment was only accessible up a flight of stairs. Initially she was fitted with a splint, immobilizing her knee. She progressed to use of a walker followed by a cane. She moved to Campbell River in February 2003 and later reports do not mention use of the cane. She, however, continued to have pain in the knee and it presently limits the duration of time she can walk comfortably and her ability to climb stairs. The latest medical opinion is that she likely at some unspecified future time will require some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Jansen had the onset of osteoarthritis prior to the injury but with only a few episodes of symptoms. She also was found to have onset of osteoporosis. This, however, contributed only to susceptibility and was not shown to be a likely source of disability independent of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referred to similar ranges of damages for this sort of injury. I assess general damages at $40,000. The plaintiff is entitled to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Is there anything further?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PITT: No,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KLINGER: No, My Lord.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Johnston Estate v. Johnston, [2016] B.C.J. No. 1596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 and September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S143617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2081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269 A.C.W.S. (3d)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91 B.C.L.R. (5th) 185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E.T.R. (4th) 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Public Guardian and Trustee of British Columbia, as executor of the last will of Norman Johnston, deceased, Plaintiff, and David Johnston, Mary Woodward, Thomas Johnston and the Faith Fellowship Baptist Church, Defendants, and Jack Taylor, Faith Fellowship Baptist Church, The Public Guardian and Trustee of British Columbia, Steven Miller, The Attorney General of British Columbia, Norman Johnston a.k.a. Norman Johnston, Deceased,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8"/>
      <w:bookmarkEnd w:id="129"/>
      <w:r>
        <w:rPr>
          <w:rFonts w:ascii="arial" w:eastAsia="arial" w:hAnsi="arial" w:cs="arial"/>
          <w:b/>
          <w:color w:val="000000"/>
          <w:sz w:val="20"/>
          <w:lang w:val="en-US" w:eastAsia="en-US" w:bidi="ar-SA"/>
        </w:rPr>
        <w:t>Wills, estates and trusts law — Proceedings — Practice and procedure — Pleadings — Stays — Application by Public Guardian and Trustee to strike response of deceased's son and to sever and stay his counterclaim allowed in part — Deceased and wife made mirror wills in 2007 leaving estate to son — After death of deceased's wife, deceased executed new will — Deceased's son commenced claim alleging undue influence, misrepresentation and fraudulent conveyance, among other things — Pleadings were vague, replete with evidence and argument and lacked material facts, among other things — Deceased's son given leave to amend pleadings — Significant judicial economy and proportionality would be achieved by severing counterclaim.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7"/>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Public Guardian and Trustee ("PGT") to strike the response of the deceased's son and to sever and stay his counterclaim. The deceased, Norman Johnston ("Norman"), was predeceased by his wife, Barbara, both of whom were survived by their only child, David. In 2007, Norman and Barbara executed mirror wills under which they left their entire estates to each other, with a gift over to David on the death of the survivor. At that time, and until Norman's death, the principal asset was the family residence. Barbara died in 2010. Soon after her death, Norman signed a power of attorney in favour of David. Norman subsequently suffered a stroke. In April 2010, Norman was temporarily admitted to a psychiatric ward and eventually placed in a veterans' hospital. In June 2010, he was certified incapable of managing his affairs and the PGT became the committee of Norman's estate. In 2012, while still subject to a certificate of incapability, Norman executed a new will, which differed considerably from his prior will. Among other things, the will provided that the residue of the estate would be held in a discretionary trust for David's lifetime and would be available for his care at the discretion of the PGT. Upon David's death, the remainder was to go to the church. Norman later executed a codicil by which he increased the legacy to the church from $5,000 to $100,000. Norman died in 2013 without having revoked or altered the 2012/13 wills. The PGT commenced this action for an order that the wills be pronounced in solemn form, naming David as one of the defendants. David filed a response and counterclaim by which he joined the church, the Minister of the church, the PGT and others. He alleged that the 2012/13 wills were made under suspicious circumstances and were invalid because at the time they were made the deceased lacked requisite testamentary capacity and was subject to duress from the joined parties. David also claimed the PGT and others falsely represented to him that his father did not wish to see him when he was hospitalized. He also made a claim of unjust enrichment alleging that he performed many tasks for his parents on the understanding that he would receive the family residence and the remaining joint estate. He also argued that because Norman's and Barbara's 2007 wills were mutual wills, it was not open to Norman to change or revoke his 2007 will. He further asserted that the 2012/13 wills were a fraudulent conveyance. He also made claims regarding actions taken by the PGT in relation to Barbara's estate.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5"/>
            <w:bookmarkEnd w:id="13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deficiencies in the response and counterclaim were serious and hindered the court's ability to accurately discern David's defences and claims. The response and counterclaim contained vague and repetitive allegations and were replete with evidence and argument. The pleadings with respect to undue influence did not include material facts to support the claim. It was not always clear what David was arguing and in some places he failed to identify who was responsible for the misconduct. The claim for misrepresentation did not include an allegation that he relied on the misstatements and particulars of the alleged misrepresentations were not supplied. The allegation of negligent infliction of mental distress was flawed as it was questionable whether David's anguish met the required threshold. Moreover, David had not alleged any material facts to demonstrate that the psychological harm he suffered was a reasonably foreseeable consequence of the negligent conduct. The claim of fraudulent conveyance was ill-conceived because a will could never be a fraudulent conveyance. His assertions that the 2012/13 wills were void for other reasons were built on tenuous legal underpinnings. Except for the one claim that was struck, David was given leave to amend his response and counterclaim. Trying all of the claims together may put the PGT in a conflict of interest. In addition, it was improper to include a wills variation claim in an action for proof of will in solemn form. Furthermore, the validity of the wills was the centrepiece of the litigation and if they were found to be invalid many of David's claims would be moot. Significant judicial economy and proportionality would be achieved by litigating the proof of will action first and separately from David's other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7"/>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Fraudulent Conveyance Act,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81" w:history="1">
        <w:r>
          <w:rPr>
            <w:rFonts w:ascii="arial" w:eastAsia="arial" w:hAnsi="arial" w:cs="arial"/>
            <w:i/>
            <w:color w:val="0077CC"/>
            <w:sz w:val="20"/>
            <w:u w:val="single"/>
            <w:shd w:val="clear" w:color="auto" w:fill="FFFFFF"/>
            <w:lang w:val="en-US" w:eastAsia="en-US" w:bidi="ar-SA"/>
          </w:rPr>
          <w:t>R.S.B.C. 1996, c. 253, s. 8</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Patients Property Act, </w:t>
      </w:r>
      <w:hyperlink r:id="rId182" w:history="1">
        <w:r>
          <w:rPr>
            <w:rFonts w:ascii="arial" w:eastAsia="arial" w:hAnsi="arial" w:cs="arial"/>
            <w:i/>
            <w:color w:val="0077CC"/>
            <w:sz w:val="20"/>
            <w:u w:val="single"/>
            <w:shd w:val="clear" w:color="auto" w:fill="FFFFFF"/>
            <w:lang w:val="en-US" w:eastAsia="en-US" w:bidi="ar-SA"/>
          </w:rPr>
          <w:t>R.S.B.C. 1996, c. 349, s. 24</w:t>
        </w:r>
      </w:hyperlink>
      <w:r>
        <w:rPr>
          <w:rFonts w:ascii="arial" w:eastAsia="arial" w:hAnsi="arial" w:cs="arial"/>
          <w:color w:val="000000"/>
          <w:sz w:val="20"/>
          <w:lang w:val="en-US" w:eastAsia="en-US" w:bidi="ar-SA"/>
        </w:rPr>
        <w:t>,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3-7</w:t>
      </w:r>
      <w:r>
        <w:rPr>
          <w:rFonts w:ascii="arial" w:eastAsia="arial" w:hAnsi="arial" w:cs="arial"/>
          <w:color w:val="000000"/>
          <w:sz w:val="20"/>
          <w:lang w:val="en-US" w:eastAsia="en-US" w:bidi="ar-SA"/>
        </w:rPr>
        <w:t>(1), Rule 3-7(9), Rule 3-7(18), Rule 9-5(1), Rule 9-5(1)(a), Rule 9-5(1)(b), Rule 9-5(1)(c), Rule 9-5(2), Rule 22-5(6), Rule 22-5(7)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Wills Variation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3" w:name="Counsel_8"/>
      <w:bookmarkEnd w:id="1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 by Counterclaim: D. Manson.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David Johnston: J. Dubas.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by Counterclaim Stephen Miller: S.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Defendants by Counterclaim Faith Fellowship Baptist Church and Jack Taylor: N. Safarik.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8"/>
      <w:bookmarkEnd w:id="134"/>
      <w:r>
        <w:pict>
          <v:line id="_x0000_s1077" style="position:absolute;z-index:2518210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released January 10, 2017. See </w:t>
      </w:r>
      <w:hyperlink r:id="rId183" w:history="1">
        <w:r>
          <w:rPr>
            <w:rFonts w:ascii="arial" w:eastAsia="arial" w:hAnsi="arial" w:cs="arial"/>
            <w:i/>
            <w:color w:val="0077CC"/>
            <w:sz w:val="18"/>
            <w:u w:val="single"/>
            <w:shd w:val="clear" w:color="auto" w:fill="FFFFFF"/>
            <w:lang w:val="en-US" w:eastAsia="en-US" w:bidi="ar-SA"/>
          </w:rPr>
          <w:t>[2017] B.C.J. No. 38</w:t>
        </w:r>
      </w:hyperlink>
      <w:r>
        <w:rPr>
          <w:rFonts w:ascii="arial" w:eastAsia="arial" w:hAnsi="arial" w:cs="arial"/>
          <w:color w:val="000000"/>
          <w:sz w:val="18"/>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S.K. BALLANCE J."/>
            <w:bookmarkEnd w:id="135"/>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late Norman Johnston was predeceased by his wife, Barbara Johnston, both of whom were survived by their only child, David Johnston. For ease of reference and without intending disrespect to any party, I will refer to the members of the Johnston family by their given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David is a defendant and has brought a counterclaim in relation to this multi-faceted estate litigation claim. The applications before the Court concern the pleadings he has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22, 2007, Norman and Barbara executed mirror-image wills (together, the "2007 Wills") under which they left their entire estates to each other, with a gift over to David on the death of the survivor. The testamentary gift to David was an outright bequest of the residue of his parents' joint estate, without conditions or the imposition of a trust. At that time and continuing until Norman's death, the Johnstons' principal asset was their house in Vancouver which they owned as joint tenants. Accordingly, when Barbara died, title to the home passed to Norman as the surviving joint tenant. In his pleadings, David refers to this property as the "Family Residence" and for convenience, I will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Stephen Miller is a lawyer who acted for Barbara and Norman over the years, including with respect to the preparation of the 2007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Barbara died on January 18, 2010, without having revoked her 2007 will. Soon afterward, Norman signed a power of attorney document prepared by Mr. Miller in favour of David. He subsequently suffered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April 2010, Norman was temporarily admitted to the psychiatric ward at Vancouver General Hospital, and was eventually placed at the George Derby Hospital for veterans. Amidst allegations implicating misconduct on the part of David, the police were involved in Norman's removal from the Family Residence and his admittance to hospital. David complains that he was actively prevented from seeing his father from that time until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or about June 10, 2010 Norman was certified as being incapable of managing his affairs by way of a certificate of incapability pursuant to the </w:t>
      </w:r>
      <w:r>
        <w:rPr>
          <w:rFonts w:ascii="arial" w:eastAsia="arial" w:hAnsi="arial" w:cs="arial"/>
          <w:i/>
          <w:color w:val="000000"/>
          <w:sz w:val="20"/>
          <w:lang w:val="en-US" w:eastAsia="en-US" w:bidi="ar-SA"/>
        </w:rPr>
        <w:t>Patients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PPA]</w:t>
      </w:r>
      <w:r>
        <w:rPr>
          <w:rFonts w:ascii="arial" w:eastAsia="arial" w:hAnsi="arial" w:cs="arial"/>
          <w:color w:val="000000"/>
          <w:sz w:val="20"/>
          <w:lang w:val="en-US" w:eastAsia="en-US" w:bidi="ar-SA"/>
        </w:rPr>
        <w:t>. In the result, the Public Guardian and Trustee of British Columbia (the "PGT") became the committee of Norman's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David had resided in the Family Residence for most of his adult life and was living there when the PGT assumed committeeship of his father's estate. The PGT eventually determined that Norman would not be returning to the Family Residence. In July 2010, the PGT's office informed David that the Family Residence would be sold and that he was to vacate those premises to facilitate the sale. David resisted the PGT's proposed course of action and was ultimately permitted to continue living in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summer of 2012 or thereabouts, Mr. Miller received instructions from Norman for the preparation of a new will. Unbeknownst to David, on September 11, 2012 and while Norman was still subject to the certificate of incapability and a patient under the </w:t>
      </w:r>
      <w:r>
        <w:rPr>
          <w:rFonts w:ascii="arial" w:eastAsia="arial" w:hAnsi="arial" w:cs="arial"/>
          <w:i/>
          <w:color w:val="000000"/>
          <w:sz w:val="20"/>
          <w:lang w:val="en-US" w:eastAsia="en-US" w:bidi="ar-SA"/>
        </w:rPr>
        <w:t>PPA</w:t>
      </w:r>
      <w:r>
        <w:rPr>
          <w:rFonts w:ascii="arial" w:eastAsia="arial" w:hAnsi="arial" w:cs="arial"/>
          <w:color w:val="000000"/>
          <w:sz w:val="20"/>
          <w:lang w:val="en-US" w:eastAsia="en-US" w:bidi="ar-SA"/>
        </w:rPr>
        <w:t>, Norman executed a new will (the "2012 Will"). Mr. Miller prepared the 2012 Will and he, together with his legal assistant, witnessed its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provisions of the 2012 Will, summarized below, differed significantly from Norman's 2007 will:</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PGT is appointed as the executor of the 2012 Will and trustee of the trusts constituted thereunder;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Norman's personal articles, including any boats, motor vehicles and domestic and household items, are to be distributed in accordance with a memorandum and, subject thereto, given to David, other family members or charities in the discretion of the PGT;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legacy of $500 is bequeathed to each of Norman's sister-in-law and nephew;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gift of $5,000 is made to the Faith Fellowship Baptist Church (the "Church") for use by the Women's Missionary Circle;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residue of Norman's estate is directed to be held in a discretionary trust for David's lifetime. Under the terms of the trust, the income and capital of the trust property are available for David's care, maintenance, education and benefit in the discretion of the PGT, and upon David's death, the remainder is distributable to the Church. If the Church is not then in existence, the residue of the trust property passes to The Fellowship of Evangelical Baptist Churches in Canada (the "Fellowship of Churches").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24, 2013, Norman executed a codicil to his 2012 Will by which he increased the legacy to the Church from $5,000 to $100,000. Mr. Miller prepared the codicil and once again he and his legal assistant acted as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refer to the 2012 Will and Norman's codicil together as the "Impugned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Norman died on October 28, 2013 at the age of 93, without having revoked or altered the Impugned Wills. David is the sole intestate heir and the only person entitled to apply to vary the Impugned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about October 29, 2013, David filed a caveat to prevent the issuance of probate of the Impugned Wills. The caveat alleged, among other things, that his father lacked the requisite testamentary capacity and/or was subject to undue influence in relation to the preparation and execution of the Impugned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12, 2014, the PGT commenced this action seeking an order that the Impugned Wills be pronounced for in solemn form of law (the "Proof of Will Action"). The defendants are David, Norman's sister-in-law, his nephew and the Church. The Church supports the relief sought by the PGT in the Proof of Will Action and seeks dismissal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not clear why the Fellowship of Churches is not joined as a defendant. I will leave that potential oversight for counsel to address. In the meantime, I have determined that the apparent omission does not hamper my ability to decide these applications, as the interests of the Church and the Fellowship of Churches in respect of them are virtually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David's amended response to the PGT's notice of civil claim (the "Response") spans some 32 pages in length and contains a rambling mixture of allegations of fact, evidence and argument. David has also filed an amended counterclaim (the "Counterclaim") by which he joins Jack Taylor, who is the Minister of the Church, the Church, the PGT, Mr. Miller, the Attorney General of British Columbia and Norman's estate as defendants. In addition to adopting the facts set out in the Response, the Counterclaim sets out 11 additional pages of allegations, some of which are confusing or problematic in other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Response and Counterclaim form the subject matter of the within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Response, the PGT seeks the following:</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Response be struck, with leave to file within 21 days a substitute further amended Response that complies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and the terms of this Order;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Response be severed from the Proof of Will Action and stayed;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vast majority of the paragraphs of David's Response, which the PGT asserts offend various rules of pleadings or have bearing on claims that extend well beyond the Proof of Will Action, be struck or amended;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prohibiting David from taking any further steps in this litigation until his Response has been substituted or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Counterclaim, the PGT requests that: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be severed and stayed as against the PGT pending the outcome of the Proof of Will Action;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Miller asserts that the claims against him as defendant by Counterclaim are bad in law and should be dismissed or struck, with special costs. Alternatively, he urges that all claims against him in the litigation be severed and stayed pending the determination of the Proof of Will Action and the balance of David's claims relating to his late father's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David opposes both applications. Minister Taylor, the Church and the other defendants by Counterclaim (except for Mr. Miller), filed no materials in respect of these applications and did not appear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DAVID'S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Some paragraphs of David's Response and Counterclaim contain vague and repetitive allegations, other parts, particularly of the Response, are replete with evidence and argument, and still others are a flawed mingling of such shortcomings. Overall, David's Response is unduly drawn out and even discursive at times, and both pleadings are laden with extraneous and collateral content. The deficiencies are serious and hinder the Court's ability to accurately discern certain of David's defences and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best I can determine, the principal allegations in David's Response, loosely organized by subject matter, are as set out below.</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Proof of Will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David asserts that the Impugned Wills were made under suspicious circumstances, and are invalid and of no force and effect on the grounds that, at the relevant times, his father lacked the requisite testamentary capacity, was suffering from delusions and was subject to duress and undue influence exerted by Minister Taylor, the Church, Ms. Miller and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Misrepresentations, Pressure, Influence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David pleads that in the summer of 2010, members of the PGT staff told him that his father did not wish to see him and to sever contact. He alleges that the PGT, Mr. Miller, the Church, Minister Taylor and/or agents on their behalf, similarly made false representations to Norman to the effect that David did not wish to see him and posed a danger to him. David claims they ultimately pressured Norman to make an "improper" decision not to see him. He alleges that the foregoing actions made his father more vulnerable to the untrue suggestions voiced by Mr. Miller and members of the PGT staff in "an unfair and undue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not made clear whether these allegations are confined to David's claim that the Impugned Wills and the inclusion of the discretionary trust are the product of duress and/or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David goes on to allege that, in the event the content of the Impugned Wills and, in particular, the imposition of the discretionary trust, were derived either from the advice or influence of counsel or others, such as members of the PGT staff, Mr. Miller, Minister Taylor, the Church or of Norman's own doing, in an attempt to avoid or limit the application of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the Impugned Wills should be considered as being against public policy and declared void. The rationale, in his words, is that the use of the discretionary trust to convey his inheritance under the Impugned Wills: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unfairly and improperly is a colourable attempt which places the desires of these parties and [Norman] ahead of the primary obligations of [Norman] to David and on this basis the [Impugned Wills] should be declared void or varied such that David receives the Family Residence and the net movable property of [Norman] unconditionally as his sole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Unjust Enrichment and Breach of Agreement Concerning Mutual Wills and Breach of Corresponding Promises and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David claims that he performed many tasks and functions for and on behalf of his parents throughout their respective lives, and in doing so, directly and indirectly enriched them to his detriment. He alleges that he conferred such benefits on the firm understanding, pursuant to an agreement and in keeping with their common intention that the surviving parent would leave him the Family Residence, together with the remaining joint estate, free from the imposition of a trust or other dispositive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David pleads that, in pursuance of this contractual and/or trust arrangement, his parents agreed with one another and promised him that title to the Family Residence would belong to him outright. Expanding along similar lines, he alleges that he and his parents had an oral agreement to the effect that Norman would transfer and vest title to the Family Residence, as well as all other movable property, in David and that in exchange, David and his mother provided Norman with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Tied to these allegations is David's claim that the 2007 Wills constitute mutual wills that were deliberately made by his parents to capture and bind them to the foregoing arrangement. David's position is that the Impugned Wills were made by his father in violation of his father's agreement with Barbara upon which the 2007 Wills were fastened, and in breach of the companion trust obligations and promises repeatedly made directly to David. He avers that because the 2007 Wills are mutual wills in law, it was not open to Norman to change or revoke his 2007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Accordingly, alleges David, the Impugned Wills are void based on the doctrines of unjust enrichment, constructive trust, resulting trust, express trust and breach of contract and ought not to be admitted to probate. He further claims that in consequence of the application of these legal principles, beneficial ownership of the Family Residence ought to be vested solely in his name, irrespective of the limitations imposed by the Impugned Wills.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Impugned Wills Constitute a Fraudulent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David asserts that the Impugned Wills have defeated, hindered and delayed the dispositions promised to him by his parents and thus are void in law and equity, and pursuant to the </w:t>
      </w:r>
      <w:r>
        <w:rPr>
          <w:rFonts w:ascii="arial" w:eastAsia="arial" w:hAnsi="arial" w:cs="arial"/>
          <w:i/>
          <w:color w:val="000000"/>
          <w:sz w:val="20"/>
          <w:lang w:val="en-US" w:eastAsia="en-US" w:bidi="ar-SA"/>
        </w:rPr>
        <w:t>Fraudulent Conveyance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Additionally, he alleges that on this basis, the Impugned Wills are against public policy generally and should not be admitted to probate.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Claims Pertaining to Barbara's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Also included in the Response are criticisms of the actions allegedly taken by the PGT in relation to Barbara's estate. His complaints focus largely, although not exclusively, on what he alleges was an excessive valuation placed by the PGT upon the cottage that Barbara and David owned jointly, which has given rise to a capital gains tax liability payable by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Counterclaim, David pleads and relies on the facts alleged in his Response and reiterates many of them in one fashion or another. He also rephrases and expands upon his claims against the Church, the PGT and Mr. Miller alleging: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Minister Taylor, the Church, Mr. Miller and/or the PGT "induced or advised or contributed" to Norman making the dispositions contained in the Impugned Wills for the purpose of defeating the applicable wills variation provisions and thereby defeating or impairing the entitlement of David under that legislation and/or "his natural entitlement" to receive his father's net estate, the Impugned Wills are void for repugnancy.</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Minister Taylor, members of the Church (for which the Church is responsible) and the PGT staff (for which the Attorney General is responsible) exaggerated to Norman the problems encountered by David stemming from his learning disability, and told Norman things that were untrue, causing Norman to refuse to see David. He alleges that they falsely and without proper consideration for the consequences to David, unfairly told Norman that David was a threat to him and as such they unfairly and in a negligent fashion and in breach of their fiduciary obligations "owed" to "him", barred David access to his father for over two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 alleges their misconduct caused him "much anguish and suffering" and seeks damages for the "negligent infliction of suffering and harm" based on the foregoing.</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16.1 of the Counterclaim, David attempts to address the existence of a duty of care owed by Mr. Miller. Specifically, he alleges that Mr. Miller was retained: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various times to deal with estate matters for [Norman, Barbara], and/or [David] or these people due to their interactions with [Mr. Miller] were a class of people which he knew or ought to have known were relying on his advice and actions as their solicitor. In the context of this relationship, [Mr. Miller] owed these three people a duty of fidelity and a duty of reasonable care in his interactions related to them at all times"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goes on to allege that, through these interactions, Mr. Miller knew or ought to have known about the agreement and trust obligations linked to the mutual wills and regarding the ultimate disposition to David of his parents' assets more generally. Mr. Miller was therefore precluded from taking any action that would defeat such agreements or obligations (i.e. preparing the Impugned Wills) and that "these duties" were owed to Norman, David and Barbara.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Mr. Miller failed to make sufficient inquiries to discover his father's previous promises to David, the mutual wills agreement or his father's true intentions when he prepared the Impugned Wills, and failed to warn his father as to the practical consequences of the dispositions in the Impugned Wills.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Miller and members of the PGT staff did certain things "improperly and unfairly and in breach of their common law duty and fiduciary responsibilities" to David, Barbara and Norman that "flow to David as a beneficiary" for which he seeks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Following this allegation are 21 paragraphs of accusations of improper or self-interested conduct on the part of one or other of Mr. Miller, the staff of the PGT and the Attorney General that David claims caused him harm and induced his father to dispose of his estate contrary to the entrenched agreements and promises he had made to his wife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Part 2 of the Counterclaim lists 17 paragraphs of the relief sought by David. Put broadly, he seeks declarations that the Impugned Wills are void on multiple grounds and that Norman's 2007 will be declared his last valid and subsisting will such that Norman's entire estate passes to David outright, or alternatively, that the entire estate devolves to him on an intestacy. David asks for a declaration that he is beneficially entitled to the Family Residence and an order that title be vested in him absolutely. He also seeks compensation in respect of the legal costs he will have incurred in successfully disputing the validity of the Impugned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David seeks injunctive relief to enjoin the PGT from probating the Impugned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event that the Impugned Wills are upheld, David seeks the following remedies:</w:t>
      </w:r>
      <w:r>
        <w:rPr>
          <w:rFonts w:ascii="arial" w:eastAsia="arial" w:hAnsi="arial" w:cs="arial"/>
          <w:sz w:val="20"/>
          <w:lang w:val="en-US" w:eastAsia="en-US" w:bidi="ar-SA"/>
        </w:rPr>
        <w:cr/>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Variation of the Impugned Wills so as to transfer the Family Residence and all other estate property to him unencumbered by a discretionary trust, or otherwise varied to permit him to live in the Family Residence for the remainder of his life.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damages from Mr. Miller, the PGT and the Attorney General in the amount of $1.2 million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flowing from the untrue and misleading comments, statements and/or representations they made to Norman about David, the circumstances and/or the effect of the dispositions contained in the Impugned Wills, with the intent that Norman would rely and act upon such falsehoods. On this basis, David asserts that the PGT's misconduct and failure to act in good faith and with fidelity disentitles it to charge any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Mr. Miller is found to be negligent or in breach of a fiduciary duty owed to David as a beneficiary, the PGT and the Attorney General are also responsible for these damages as Mr. Miller was "working on behalf of the PGT" and acting under their "control and/ or as their agent".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allegations are made in respect of Minister Taylor and "various people working on the behalf of the Church", in that they negligently made false and misleading statements to Norman and exerted pressure upon him so as to cause David damage, for which he seeks $1.2 million in damages.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David requests general damages against all of the defendants by counterclaim for the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to Strike the Response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applicants rely on Rule 9-5(1)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It provides that, at any stage of the proceeding, the Court may order that the whole or any part of the pleading or other document be struck or amended on the ground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of the proceeding; or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Where one or more of the grounds enumerated in Rule 9-5(1) are made out, the Court may pronounce judgment or order that the proceeding be stayed or dismissed, and that the costs of the application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raison d'être</w:t>
      </w:r>
      <w:r>
        <w:rPr>
          <w:rFonts w:ascii="arial" w:eastAsia="arial" w:hAnsi="arial" w:cs="arial"/>
          <w:color w:val="000000"/>
          <w:sz w:val="20"/>
          <w:lang w:val="en-US" w:eastAsia="en-US" w:bidi="ar-SA"/>
        </w:rPr>
        <w:t xml:space="preserve"> of Rule 9-5(1) is as a mechanism to enforce the rules of pleadings: </w:t>
      </w:r>
      <w:r>
        <w:rPr>
          <w:rFonts w:ascii="arial" w:eastAsia="arial" w:hAnsi="arial" w:cs="arial"/>
          <w:i/>
          <w:color w:val="000000"/>
          <w:sz w:val="20"/>
          <w:lang w:val="en-US" w:eastAsia="en-US" w:bidi="ar-SA"/>
        </w:rPr>
        <w:t>Doyle Construction Co. v. Carling O'Keefe Breweries of Canada Ltd.</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[1988] B.C.J. No. 831</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27 B.C.L.R (2d) 81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Doyle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paramount function of pleadings is to define the issues of fact and law with clarity and precision, in order to give the opposing party fair notice of the case to be met at trial. Equally important is that by defining the essential contours of the case, pleadings facilitate useful pretrial case management, establish the parameters of pretrial discovery and disclosure, and determine the necessity and scope of expert opinions: </w:t>
      </w:r>
      <w:r>
        <w:rPr>
          <w:rFonts w:ascii="arial" w:eastAsia="arial" w:hAnsi="arial" w:cs="arial"/>
          <w:i/>
          <w:color w:val="000000"/>
          <w:sz w:val="20"/>
          <w:lang w:val="en-US" w:eastAsia="en-US" w:bidi="ar-SA"/>
        </w:rPr>
        <w:t>Keene v. British Columbia (Ministry of Children and Family Development) &amp; Others</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Pleadings are not a vehicle to outline a detailed narrative of the facts and events that may have bearing upon the case. Evidence is not to be included: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 29; Rule 3-7(1). Rather, pleadings must be summary in nature, setting out a concise and orderly statement of the material facts that give rise to the claim (or counterclaim), establish a defence, or relate to matters raised by the claim: </w:t>
      </w:r>
      <w:r>
        <w:rPr>
          <w:rFonts w:ascii="arial" w:eastAsia="arial" w:hAnsi="arial" w:cs="arial"/>
          <w:i/>
          <w:color w:val="000000"/>
          <w:sz w:val="20"/>
          <w:lang w:val="en-US" w:eastAsia="en-US" w:bidi="ar-SA"/>
        </w:rPr>
        <w:t>Doerksen v. First Open Heart Society of British Columbia,</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2010 BCSC 1291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Material facts are the facts that are essential to formulate each cause of action or defence; no averment crucial to success should be omitted: </w:t>
      </w:r>
      <w:r>
        <w:rPr>
          <w:rFonts w:ascii="arial" w:eastAsia="arial" w:hAnsi="arial" w:cs="arial"/>
          <w:i/>
          <w:color w:val="000000"/>
          <w:sz w:val="20"/>
          <w:lang w:val="en-US" w:eastAsia="en-US" w:bidi="ar-SA"/>
        </w:rPr>
        <w:t>Pyke v. Price Waterhouse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40 C.P.C. (3d) 7</w:t>
        </w:r>
      </w:hyperlink>
      <w:r>
        <w:rPr>
          <w:rFonts w:ascii="arial" w:eastAsia="arial" w:hAnsi="arial" w:cs="arial"/>
          <w:color w:val="000000"/>
          <w:sz w:val="20"/>
          <w:lang w:val="en-US" w:eastAsia="en-US" w:bidi="ar-SA"/>
        </w:rPr>
        <w:t xml:space="preserve">, 1995 CarswellBC 907 (S.C.); </w:t>
      </w:r>
      <w:r>
        <w:rPr>
          <w:rFonts w:ascii="arial" w:eastAsia="arial" w:hAnsi="arial" w:cs="arial"/>
          <w:i/>
          <w:color w:val="000000"/>
          <w:sz w:val="20"/>
          <w:lang w:val="en-US" w:eastAsia="en-US" w:bidi="ar-SA"/>
        </w:rPr>
        <w:t>Delaney &amp; Friends Cartoon Productions Ltd. v. Radical Entertainment Inc. et al</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is the expectation that material facts will be stated succinctly and with precision, and also be organized in a way that informs the Court of the issues of fact and law it is being called upon to decide: </w:t>
      </w:r>
      <w:r>
        <w:rPr>
          <w:rFonts w:ascii="arial" w:eastAsia="arial" w:hAnsi="arial" w:cs="arial"/>
          <w:i/>
          <w:color w:val="000000"/>
          <w:sz w:val="20"/>
          <w:lang w:val="en-US" w:eastAsia="en-US" w:bidi="ar-SA"/>
        </w:rPr>
        <w:t>Homalko Indian Band v.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25 C.P.C. (4th) 107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Glenayre Manufacturing v. Pilot Pacific Properties, et al</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2003 BCSC 303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Particulars and material facts are different in their character and purpose. Broadly speaking, particulars are intended to limit the generality of the pleadings and the issues to be tried; enable the other side to properly prepare for trial; tie the hands of the party supplying the particulars; and inform the opposing party what the pleader intends to prove, as distinct from the mode in which the case is to be proved: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 1982 CarswellBC 836 (C.A.). They should follow the material facts and be identified as such. Although particulars must supply sufficient detail of the case to be met, they are not to include the evidence that is anticipated will be adduced at trial to prove the pleaded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distinctions between evidence and material facts, and between evidence and particulars can be difficult to draw in practice. Despite the challenges, the integrity of those lines must be maintained as stringently as is reasonably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Where a party pleads a legal conclusion such as, for example, the existence of a duty of care or of a fiduciary duty, sufficient material facts must be pleaded to support that conclusion: </w:t>
      </w:r>
      <w:r>
        <w:rPr>
          <w:rFonts w:ascii="arial" w:eastAsia="arial" w:hAnsi="arial" w:cs="arial"/>
          <w:i/>
          <w:color w:val="000000"/>
          <w:sz w:val="20"/>
          <w:lang w:val="en-US" w:eastAsia="en-US" w:bidi="ar-SA"/>
        </w:rPr>
        <w:t>Ferstay v. Dywidag Systems International</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2008 BCSC 793</w:t>
        </w:r>
      </w:hyperlink>
      <w:r>
        <w:rPr>
          <w:rFonts w:ascii="arial" w:eastAsia="arial" w:hAnsi="arial" w:cs="arial"/>
          <w:color w:val="000000"/>
          <w:sz w:val="20"/>
          <w:lang w:val="en-US" w:eastAsia="en-US" w:bidi="ar-SA"/>
        </w:rPr>
        <w:t>; Rule 3-7(9).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Where, as in the case at hand, there are allegations of fraud, breach of trust, undue influence and misrepresentation, inclusion of full particulars, including the dates and items as they are known at the time of the pleading, are mandatory: Rule 3-7(18).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Rule 9-5(2) confirms that no evidence is admissible on an application brought to strike a pleading on the ground that it does not disclose a reasonable claim or defence. The facts are to be taken as pleaded. Evidence is admissible, however, in relation to the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36 C.P.C. (4th) 266</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1999 CarswellBC 2111</w:t>
        </w:r>
      </w:hyperlink>
      <w:r>
        <w:rPr>
          <w:rFonts w:ascii="arial" w:eastAsia="arial" w:hAnsi="arial" w:cs="arial"/>
          <w:color w:val="000000"/>
          <w:sz w:val="20"/>
          <w:lang w:val="en-US" w:eastAsia="en-US" w:bidi="ar-SA"/>
        </w:rPr>
        <w:t xml:space="preserve"> (S.C.), Romilly J. provided an overview of the key principles that inform the analysis of whether a pleading ought to be struck under the predecessor to sub-rules 9-5(1)(b) and (c)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Irrelevancy and embarrassment are both established when pleadings are so confusing that it is difficult to understand what is being pleaded: </w:t>
      </w:r>
      <w:r>
        <w:rPr>
          <w:rFonts w:ascii="arial" w:eastAsia="arial" w:hAnsi="arial" w:cs="arial"/>
          <w:b/>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b/>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(B.C.C.A.). An allegation which is scandalous will not be struck if it is relevant to the proceedings. It will only be struck if irrelevant as well as scandalous: </w:t>
      </w:r>
      <w:r>
        <w:rPr>
          <w:rFonts w:ascii="arial" w:eastAsia="arial" w:hAnsi="arial" w:cs="arial"/>
          <w:b/>
          <w:i/>
          <w:color w:val="000000"/>
          <w:sz w:val="20"/>
          <w:lang w:val="en-US" w:eastAsia="en-US" w:bidi="ar-SA"/>
        </w:rPr>
        <w:t>College of Dental Surgeons of B.C. v. Cleland</w:t>
      </w:r>
      <w:r>
        <w:rPr>
          <w:rFonts w:ascii="arial" w:eastAsia="arial" w:hAnsi="arial" w:cs="arial"/>
          <w:color w:val="000000"/>
          <w:sz w:val="20"/>
          <w:lang w:val="en-US" w:eastAsia="en-US" w:bidi="ar-SA"/>
        </w:rPr>
        <w:t xml:space="preserve">, (1968), 66 W.W.R. 499 (B.C.C.A.). A pleading is "unnecessary" or "vexatious" if it does not go to establishing the plaintiff's cause of action or does not advance any claim known in law: </w:t>
      </w:r>
      <w:r>
        <w:rPr>
          <w:rFonts w:ascii="arial" w:eastAsia="arial" w:hAnsi="arial" w:cs="arial"/>
          <w:b/>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(Q.L.) (B.C.S.C.). A pleading that is superfluous will not be struck out if it is not necessarily unnecessary or otherwise objectionable: </w:t>
      </w:r>
      <w:r>
        <w:rPr>
          <w:rFonts w:ascii="arial" w:eastAsia="arial" w:hAnsi="arial" w:cs="arial"/>
          <w:b/>
          <w:i/>
          <w:color w:val="000000"/>
          <w:sz w:val="20"/>
          <w:lang w:val="en-US" w:eastAsia="en-US" w:bidi="ar-SA"/>
        </w:rPr>
        <w:t>Lutz v. Canadian Puget Sound Lumber and Timber Co.</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 A pleading is "frivolous" if it is obviously unsustainable, not in the sense that it lacks an evidentiary basis, but because of the doctrine of estoppel</w:t>
      </w:r>
      <w:r>
        <w:rPr>
          <w:rFonts w:ascii="arial" w:eastAsia="arial" w:hAnsi="arial" w:cs="arial"/>
          <w:b/>
          <w:i/>
          <w:color w:val="000000"/>
          <w:sz w:val="20"/>
          <w:lang w:val="en-US" w:eastAsia="en-US" w:bidi="ar-SA"/>
        </w:rPr>
        <w:t xml:space="preserve">: Chrisgian v. B.C. Rail Ltd. </w:t>
      </w:r>
      <w:hyperlink r:id="rId200" w:history="1">
        <w:r>
          <w:rPr>
            <w:rFonts w:ascii="arial" w:eastAsia="arial" w:hAnsi="arial" w:cs="arial"/>
            <w:b/>
            <w:i/>
            <w:color w:val="0077CC"/>
            <w:sz w:val="20"/>
            <w:u w:val="single"/>
            <w:shd w:val="clear" w:color="auto" w:fill="FFFFFF"/>
            <w:lang w:val="en-US" w:eastAsia="en-US" w:bidi="ar-SA"/>
          </w:rPr>
          <w:t>[1992] B.C.J. No. 1567</w:t>
        </w:r>
      </w:hyperlink>
      <w:r>
        <w:rPr>
          <w:rFonts w:ascii="arial" w:eastAsia="arial" w:hAnsi="arial" w:cs="arial"/>
          <w:b/>
          <w:i/>
          <w:color w:val="000000"/>
          <w:sz w:val="20"/>
          <w:lang w:val="en-US" w:eastAsia="en-US" w:bidi="ar-SA"/>
        </w:rPr>
        <w:t xml:space="preserve"> et al.</w:t>
      </w:r>
      <w:r>
        <w:rPr>
          <w:rFonts w:ascii="arial" w:eastAsia="arial" w:hAnsi="arial" w:cs="arial"/>
          <w:color w:val="000000"/>
          <w:sz w:val="20"/>
          <w:lang w:val="en-US" w:eastAsia="en-US" w:bidi="ar-SA"/>
        </w:rPr>
        <w:t xml:space="preserve"> (6 July 1992), Prince George Registry 20714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 pleading may be embarrassing or scandalous within the contemplation of the Rule where it: does not state the real issues in an intelligible form; is overly prolix; includes irrelevant facts; is calculated to confuse the opposing party and make it difficult, and perhaps impossible, to answer; or contains arguments or evidence: </w:t>
      </w:r>
      <w:r>
        <w:rPr>
          <w:rFonts w:ascii="arial" w:eastAsia="arial" w:hAnsi="arial" w:cs="arial"/>
          <w:i/>
          <w:color w:val="000000"/>
          <w:sz w:val="20"/>
          <w:lang w:val="en-US" w:eastAsia="en-US" w:bidi="ar-SA"/>
        </w:rPr>
        <w:t>Kuhn v. American Credit Indemnity Co.</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McNutt v. A.G. Canada et al.</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2004 BCSC 1113</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B.C./Yukon Association of Drug War Survivors v. Abbotsford (City)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2014 BCSC 1817</w:t>
        </w:r>
      </w:hyperlink>
      <w:r>
        <w:rPr>
          <w:rFonts w:ascii="arial" w:eastAsia="arial" w:hAnsi="arial" w:cs="arial"/>
          <w:color w:val="000000"/>
          <w:sz w:val="20"/>
          <w:lang w:val="en-US" w:eastAsia="en-US" w:bidi="ar-SA"/>
        </w:rPr>
        <w:t xml:space="preserve"> at paras. 93-94; </w:t>
      </w:r>
      <w:r>
        <w:rPr>
          <w:rFonts w:ascii="arial" w:eastAsia="arial" w:hAnsi="arial" w:cs="arial"/>
          <w:i/>
          <w:color w:val="000000"/>
          <w:sz w:val="20"/>
          <w:lang w:val="en-US" w:eastAsia="en-US" w:bidi="ar-SA"/>
        </w:rPr>
        <w:t>Spillane v. United Parcel Service Canada Ltd. et 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2006 BCSC 687</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Budgell v. British Columbia</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2007 BCSC 991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That being said, so long as the pleadings do not confuse the opposing party or make it difficult for that party to understand the case that must be met, sheer verbosity does not ordinarily provide sufficient justification for striking a claim: </w:t>
      </w:r>
      <w:r>
        <w:rPr>
          <w:rFonts w:ascii="arial" w:eastAsia="arial" w:hAnsi="arial" w:cs="arial"/>
          <w:i/>
          <w:color w:val="000000"/>
          <w:sz w:val="20"/>
          <w:lang w:val="en-US" w:eastAsia="en-US" w:bidi="ar-SA"/>
        </w:rPr>
        <w:t>Doyle</w:t>
      </w:r>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347202 B.C. Ltd. v. Canadian Imperial Bank of Commerce</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Stanley v. KCL West Holdings Inc. et al</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2004 BCSC 1555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 crucial consideration in determining whether to strike a pleading under Rule 9-5(1)(a) is whether it can be preserved by amendment: </w:t>
      </w:r>
      <w:r>
        <w:rPr>
          <w:rFonts w:ascii="arial" w:eastAsia="arial" w:hAnsi="arial" w:cs="arial"/>
          <w:i/>
          <w:color w:val="000000"/>
          <w:sz w:val="20"/>
          <w:lang w:val="en-US" w:eastAsia="en-US" w:bidi="ar-SA"/>
        </w:rPr>
        <w:t>International Taoist Church Canada v. Ching Chung Taoist Association of Hong Kong Limited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The prospect of rectifying deficient pleadings by way of amendment is also a factor in considering whether the pleading ought to be struck on the other grounds: </w:t>
      </w:r>
      <w:r>
        <w:rPr>
          <w:rFonts w:ascii="arial" w:eastAsia="arial" w:hAnsi="arial" w:cs="arial"/>
          <w:i/>
          <w:color w:val="000000"/>
          <w:sz w:val="20"/>
          <w:lang w:val="en-US" w:eastAsia="en-US" w:bidi="ar-SA"/>
        </w:rPr>
        <w:t>Ahmed v. Assu</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2014 BCSC 1768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Turning now to David's pleadings, as I have mentioned, voluminous pieces of evidence and argument punctuate much of the Response in the guise of material facts or particulars. That pleading is plainly embarrassing within the contemplation of the Rule for this reason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manner in which David has expressed a number of his allegations in each pleading make it difficult to fully grasp the scope and nature of his claims. In order to discern them completely, the opposing parties would have had little choice but to pour over the pleadings with careful attention to the cross-references and the overlapping averments of facts and to construe the sometimes vague references to the constituent elements of legal concepts. The allegations of undue influence, pressure, untrue statements and suggestions on the part of various of the parties illustrate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concept of undue influence in relation to the procurement of a will or testamentary gift is a species of constructive fraud and is tantamount to coercion. Yet, in addition to claiming undue influence, David pleads several allegations to the effect that certain of the defendants by Counterclaim and "various people" acting on behalf of the Church, exerted pressure or made improper or untrue suggestions, statements or representations to Norman. On their face, these plainly fall short of material facts that would support a claim of undue influence at law. To the extent that David has attempted to articulate these claims within the confines of recognized legal concepts, or to particularize them, the overall result is a rambling and disjointed composition. It is not always clear what actionable wrong is being alleged; is it undue influence or misrepresentation, or both, or something different altogether? A deficiency on the other side of the same coin can be found in paragraph 48.1 of the Response. There, David alleges that the Impugned Wills are the result of duress and undue influence, but fails to identify who is responsible for such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Further examples of inexplicit content abound in relation to the claims made against Mr. Miller, which are complex and interwoven with other claims. By way of example, David alleges that Mr. Miller (and others) owed a fiduciary and a common law duty to David as the sole beneficiary of his father's estate, and in breach of such duties, caused Norman to make certain dispositions in the Impugned Wills. He accuses Mr. Miller of bringing a degree of improper pressure or influence to bear upon Norman's decision-making relative to David, and of "urging, promoting or instructing" Norman to dispose of his property in a manner contrary to his previously stated intentions, his promises to David and his agreement with Barbara to not revoke his 2007 will. David further alleges that Mr. Miller permitted Norman to give instructions with respect to the Impugned Wills while Norman was under duress and/or lacking testamentary capacity. It is not sufficiently clear as to which of these allegations are components of David's larger undue influence claim and which of them relate to one or more independent claims against Mr. Miller. The pleadings pertaining to these subject areas are muddled and lack cohesion and many recite evidence and argument. They are plainly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share Mr. Miller's assessment that David's allegations of misrepresentation against Mr. Miller are similarly defective. Assuming that the allegations of false statements and misrepresentations made to his father by Mr. Miller are intended to ground an independent cause of action founded on negligent or fraudulent misrepresentation (a point that itself requires clarification, as I have said), he omits any averment to the effect that he was aware of and relied upon such misstatements. Reliance is an essential ingredient of actionable misrepresentation: </w:t>
      </w:r>
      <w:r>
        <w:rPr>
          <w:rFonts w:ascii="arial" w:eastAsia="arial" w:hAnsi="arial" w:cs="arial"/>
          <w:i/>
          <w:color w:val="000000"/>
          <w:sz w:val="20"/>
          <w:lang w:val="en-US" w:eastAsia="en-US" w:bidi="ar-SA"/>
        </w:rPr>
        <w:t>Proprietary Industries Inc. v. CIBC World Markets Inc.</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2002 BCSC 999</w:t>
        </w:r>
      </w:hyperlink>
      <w:r>
        <w:rPr>
          <w:rFonts w:ascii="arial" w:eastAsia="arial" w:hAnsi="arial" w:cs="arial"/>
          <w:color w:val="000000"/>
          <w:sz w:val="20"/>
          <w:lang w:val="en-US" w:eastAsia="en-US" w:bidi="ar-SA"/>
        </w:rPr>
        <w:t>. In addition, particulars of the alleged misrepresentations have not been supplied as is required by Rule 3-7(18).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David's pleadings presently stand, I am not confident that I am able to accurately disentangle the various bases that ground his claims against Mr. Miller. By way of example, the allegation contained in paragraph 16.1 of the Counterclaim, by which he purports to assert a duty owed to him by Mr. Miller, is a convoluted pleading. It does not explicitly allege that Mr. Miller was ever retained by David. Moreover, it does not state the material facts that could give rise to a duty of care in David's favour. This too is an embarrassing plea and, in its current form,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To the extent that one of David's foundations is that Mr. Miller owed him a duty as a beneficiary under his father's 2007 will to, in effect, not carry out Norman's instructions that were inconsistent with the provisions of that will, it is doomed to fail: </w:t>
      </w:r>
      <w:r>
        <w:rPr>
          <w:rFonts w:ascii="arial" w:eastAsia="arial" w:hAnsi="arial" w:cs="arial"/>
          <w:i/>
          <w:color w:val="000000"/>
          <w:sz w:val="20"/>
          <w:lang w:val="en-US" w:eastAsia="en-US" w:bidi="ar-SA"/>
        </w:rPr>
        <w:t>Korpiel v. Sanguinetti</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[1999] B.C.J. No. 1048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Graham v. Bonnycastle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2004 ABCA 270</w:t>
        </w:r>
      </w:hyperlink>
      <w:r>
        <w:rPr>
          <w:rFonts w:ascii="arial" w:eastAsia="arial" w:hAnsi="arial" w:cs="arial"/>
          <w:color w:val="000000"/>
          <w:sz w:val="20"/>
          <w:lang w:val="en-US" w:eastAsia="en-US" w:bidi="ar-SA"/>
        </w:rPr>
        <w:t xml:space="preserve">, leave to appeal to S.C.C. ref'd </w:t>
      </w:r>
      <w:hyperlink r:id="rId214" w:history="1">
        <w:r>
          <w:rPr>
            <w:rFonts w:ascii="arial" w:eastAsia="arial" w:hAnsi="arial" w:cs="arial"/>
            <w:i/>
            <w:color w:val="0077CC"/>
            <w:sz w:val="20"/>
            <w:u w:val="single"/>
            <w:shd w:val="clear" w:color="auto" w:fill="FFFFFF"/>
            <w:lang w:val="en-US" w:eastAsia="en-US" w:bidi="ar-SA"/>
          </w:rPr>
          <w:t>[2004] S.C.C.A. No. 489</w:t>
        </w:r>
      </w:hyperlink>
      <w:r>
        <w:rPr>
          <w:rFonts w:ascii="arial" w:eastAsia="arial" w:hAnsi="arial" w:cs="arial"/>
          <w:color w:val="000000"/>
          <w:sz w:val="20"/>
          <w:lang w:val="en-US" w:eastAsia="en-US" w:bidi="ar-SA"/>
        </w:rPr>
        <w:t>. Insofar as that has been pleaded by David, it must be and is hereby struck to that extent as there is plainly no reasonable claim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David's allegation of negligent infliction of mental distress also appears flawed in its current form. In the first place, it is questionable as to whether the anguish and suffering David alleges he experienced would meet the threshold of severe psychological injury that is compensable under this tort: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Moreover, David has not alleged any material facts to demonstrate that the psychological harm he suffered was a reasonably foreseeable consequence of the negligent conduct, which is a further compulsory element of the tort: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Dhillon v. Jaffer</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2014 BCCA 215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Easingwood v. Cockroft</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2011 BCSC 1154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Easingwood</w:t>
      </w:r>
      <w:r>
        <w:rPr>
          <w:rFonts w:ascii="arial" w:eastAsia="arial" w:hAnsi="arial" w:cs="arial"/>
          <w:color w:val="000000"/>
          <w:sz w:val="20"/>
          <w:lang w:val="en-US" w:eastAsia="en-US" w:bidi="ar-SA"/>
        </w:rPr>
        <w:t xml:space="preserve">], Mr. Miller contends that David's allegation that the Impugned Wills constitute fraudulent conveyances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is ill-conceived because a will can never be a fraudulent conveyance. In my opinion, Mr. Miller's submission is constructed on an overly narrow reading of </w:t>
      </w:r>
      <w:r>
        <w:rPr>
          <w:rFonts w:ascii="arial" w:eastAsia="arial" w:hAnsi="arial" w:cs="arial"/>
          <w:i/>
          <w:color w:val="000000"/>
          <w:sz w:val="20"/>
          <w:lang w:val="en-US" w:eastAsia="en-US" w:bidi="ar-SA"/>
        </w:rPr>
        <w:t>Easingwood</w:t>
      </w:r>
      <w:r>
        <w:rPr>
          <w:rFonts w:ascii="arial" w:eastAsia="arial" w:hAnsi="arial" w:cs="arial"/>
          <w:color w:val="000000"/>
          <w:sz w:val="20"/>
          <w:lang w:val="en-US" w:eastAsia="en-US" w:bidi="ar-SA"/>
        </w:rPr>
        <w:t xml:space="preserve">. Collectively, the authorities, including </w:t>
      </w:r>
      <w:r>
        <w:rPr>
          <w:rFonts w:ascii="arial" w:eastAsia="arial" w:hAnsi="arial" w:cs="arial"/>
          <w:i/>
          <w:color w:val="000000"/>
          <w:sz w:val="20"/>
          <w:lang w:val="en-US" w:eastAsia="en-US" w:bidi="ar-SA"/>
        </w:rPr>
        <w:t>Easingwood,</w:t>
      </w:r>
      <w:r>
        <w:rPr>
          <w:rFonts w:ascii="arial" w:eastAsia="arial" w:hAnsi="arial" w:cs="arial"/>
          <w:color w:val="000000"/>
          <w:sz w:val="20"/>
          <w:lang w:val="en-US" w:eastAsia="en-US" w:bidi="ar-SA"/>
        </w:rPr>
        <w:t xml:space="preserve"> support the proposition that an individual who has a legal or equitable claim against a person, prior to that person's death (that is to say, a claim other than a wills variation claim), may have standing as a "creditor or other" to launch a claim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see generally, </w:t>
      </w:r>
      <w:r>
        <w:rPr>
          <w:rFonts w:ascii="arial" w:eastAsia="arial" w:hAnsi="arial" w:cs="arial"/>
          <w:i/>
          <w:color w:val="000000"/>
          <w:sz w:val="20"/>
          <w:lang w:val="en-US" w:eastAsia="en-US" w:bidi="ar-SA"/>
        </w:rPr>
        <w:t>Antrobus v. Antrobus</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2009 BCSC 1341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Mawdsley v. Meshen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1099</w:t>
        </w:r>
      </w:hyperlink>
      <w:r>
        <w:rPr>
          <w:rFonts w:ascii="arial" w:eastAsia="arial" w:hAnsi="arial" w:cs="arial"/>
          <w:color w:val="000000"/>
          <w:sz w:val="20"/>
          <w:lang w:val="en-US" w:eastAsia="en-US" w:bidi="ar-SA"/>
        </w:rPr>
        <w:t xml:space="preserve">, aff'd </w:t>
      </w:r>
      <w:hyperlink r:id="rId220" w:history="1">
        <w:r>
          <w:rPr>
            <w:rFonts w:ascii="arial" w:eastAsia="arial" w:hAnsi="arial" w:cs="arial"/>
            <w:i/>
            <w:color w:val="0077CC"/>
            <w:sz w:val="20"/>
            <w:u w:val="single"/>
            <w:shd w:val="clear" w:color="auto" w:fill="FFFFFF"/>
            <w:lang w:val="en-US" w:eastAsia="en-US" w:bidi="ar-SA"/>
          </w:rPr>
          <w:t>2012 BCCA 91</w:t>
        </w:r>
      </w:hyperlink>
      <w:r>
        <w:rPr>
          <w:rFonts w:ascii="arial" w:eastAsia="arial" w:hAnsi="arial" w:cs="arial"/>
          <w:color w:val="000000"/>
          <w:sz w:val="20"/>
          <w:lang w:val="en-US" w:eastAsia="en-US" w:bidi="ar-SA"/>
        </w:rPr>
        <w:t xml:space="preserve">. As to whether this proposition applies where the impugned disposition is testamentary in nature is an issue worthy of judicial consideration. On the case law, it cannot be said that David's allegations in this regard are plainly and obviously bound to fail. On the other hand, however, David's bald assertions that the Impugned Wills are void as being against public policy, for reasons unrelated to his claim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are built on tenuous legal underpinnings and are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circumstances, I am prepared to allow David a reasonable opportunity to appropriately streamline his pleadings and make the amendments required to rectify the multiple deficiencies. I am not persuaded that permitting him to reform his pleadings by way of substantial amendments would result in any more confusion or ambiguity of the real issues or otherwise be prejudicial to the other parties. The exception to this is the order I have made above in paragraph 61 by which I have struck one of David's claims as hopeless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unduly burdensome for the Court to perform a forensic evaluation of David's pleadings, approving or disapproving of them line-by-line. This is especially true where, as here, the applicants have not themselves audited the pleadings with that level of intense scrutiny. Nor is it the role of the Court to rewrite David's pleadings for him, and I do not propose to do so. Rather, I have drawn counsel's attention to the main legal principles at play and have identified the most significant deficiencies. I am confident this will provide sufficient judicial direction to counsel as to the nature of the amendments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David's counsel has until August 31, 2016 to amend the Response and the Counterclaim.</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to Sever and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Rules 22-5(6) and (7)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Separation</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joinder of several claims or parties in a proceeding may unduly complicate or delay the trial or hearing of the proceeding or is otherwise inconvenient, the court may order separate trials or hearings or make any other order it considers will further the object of these </w:t>
      </w:r>
      <w:r>
        <w:rPr>
          <w:rFonts w:ascii="arial" w:eastAsia="arial" w:hAnsi="arial" w:cs="arial"/>
          <w:i/>
          <w:color w:val="000000"/>
          <w:sz w:val="20"/>
          <w:lang w:val="en-US" w:eastAsia="en-US" w:bidi="ar-SA"/>
        </w:rPr>
        <w:t>Supreme Court Civil Rules.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Separating counterclaim or third party claims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counterclaim or a third party proceeding ought to be disposed of by a separate proceeding, the court may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key factors engaged in a general sense on an application to sever were canvassed in </w:t>
      </w:r>
      <w:r>
        <w:rPr>
          <w:rFonts w:ascii="arial" w:eastAsia="arial" w:hAnsi="arial" w:cs="arial"/>
          <w:i/>
          <w:color w:val="000000"/>
          <w:sz w:val="20"/>
          <w:lang w:val="en-US" w:eastAsia="en-US" w:bidi="ar-SA"/>
        </w:rPr>
        <w:t>Schaper v. Sears Canada</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2000 BCSC 1575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Schaper</w:t>
      </w:r>
      <w:r>
        <w:rPr>
          <w:rFonts w:ascii="arial" w:eastAsia="arial" w:hAnsi="arial" w:cs="arial"/>
          <w:color w:val="000000"/>
          <w:sz w:val="20"/>
          <w:lang w:val="en-US" w:eastAsia="en-US" w:bidi="ar-SA"/>
        </w:rPr>
        <w:t>] at para. 19:</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request must show that hearing the claims together would unduly complicate, delay the hearing, or otherwise be inconvenient. If a party applying does not meet this threshold, the court need not go further in any analysis and the application should be dismissed.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actions of any party in the proceeding been unreasonable and have they contributed to the complication, the delay, or the inconvenience alleged by the party applying? If this found, that would strengthen the argument to sever.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between the plaintiff and defendant and the issues between the defendant and the third party sufficiently distinct so as to allow them to be tried separately? If so, that strengthens the argument to sever off third party proceeding.</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relief claimed by, or the potential obligation of, any party best determined by hearing the evidence of all parties at one hearing? If so, that weakens an application to sever.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prejudice to the party applying, prejudice based on undue complication, delay or inconvenience, outweigh any benefit of matters being heard together, or outweigh any considerations related to the overall objective of the rules to ensure a just, speedy and inexpensive determination of every proceeding on its merits, including the avoidance of a multiplicity of proceedings for the benefits of litigants and having concern to congestion in the courts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Guidelines that focused attention more keenly on the efficacy of the trial process were helpfully laid out in </w:t>
      </w:r>
      <w:r>
        <w:rPr>
          <w:rFonts w:ascii="arial" w:eastAsia="arial" w:hAnsi="arial" w:cs="arial"/>
          <w:i/>
          <w:color w:val="000000"/>
          <w:sz w:val="20"/>
          <w:lang w:val="en-US" w:eastAsia="en-US" w:bidi="ar-SA"/>
        </w:rPr>
        <w:t>O'Mara v. Son, Kim et al.</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2007 BCSC 871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O'Mara</w:t>
      </w:r>
      <w:r>
        <w:rPr>
          <w:rFonts w:ascii="arial" w:eastAsia="arial" w:hAnsi="arial" w:cs="arial"/>
          <w:color w:val="000000"/>
          <w:sz w:val="20"/>
          <w:lang w:val="en-US" w:eastAsia="en-US" w:bidi="ar-SA"/>
        </w:rPr>
        <w:t>] at para. 23:</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will create a saving in pre-trial procedures;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will be a real reduction in the number of trial days taken up by the trial being heard at the same trial;</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party may be seriously inconvenienced by being required to attend a trial in which the party may have a marginal interest;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will be a real saving in expert's time and witness fees;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one of the actions is at a more advanced stage than the other;</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will result in delay of the trial of any one of the actions and, if so, whether any prejudice which a party might suffer as a result of that delay outweighs the potential benefits which a consolidated trial might otherwise have;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inconsistent findings and common issues resulting from separate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Severance may well be appropriate where the determination of one issue will render another one moot: </w:t>
      </w:r>
      <w:r>
        <w:rPr>
          <w:rFonts w:ascii="arial" w:eastAsia="arial" w:hAnsi="arial" w:cs="arial"/>
          <w:i/>
          <w:color w:val="000000"/>
          <w:sz w:val="20"/>
          <w:lang w:val="en-US" w:eastAsia="en-US" w:bidi="ar-SA"/>
        </w:rPr>
        <w:t>Lawrence v. ICBC</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BCSC 1530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judicial discretion to sever trials or hearings is to be exercised sparingly: </w:t>
      </w:r>
      <w:r>
        <w:rPr>
          <w:rFonts w:ascii="arial" w:eastAsia="arial" w:hAnsi="arial" w:cs="arial"/>
          <w:i/>
          <w:color w:val="000000"/>
          <w:sz w:val="20"/>
          <w:lang w:val="en-US" w:eastAsia="en-US" w:bidi="ar-SA"/>
        </w:rPr>
        <w:t>Morrison-Knudsen Co. v. British Columbia Hydro &amp; Power Authority</w:t>
      </w:r>
      <w:r>
        <w:rPr>
          <w:rFonts w:ascii="arial" w:eastAsia="arial" w:hAnsi="arial" w:cs="arial"/>
          <w:color w:val="000000"/>
          <w:sz w:val="20"/>
          <w:lang w:val="en-US" w:eastAsia="en-US" w:bidi="ar-SA"/>
        </w:rPr>
        <w:t xml:space="preserve">, 1972 Carswell B.C. 62, </w:t>
      </w:r>
      <w:hyperlink r:id="rId224" w:history="1">
        <w:r>
          <w:rPr>
            <w:rFonts w:ascii="arial" w:eastAsia="arial" w:hAnsi="arial" w:cs="arial"/>
            <w:i/>
            <w:color w:val="0077CC"/>
            <w:sz w:val="20"/>
            <w:u w:val="single"/>
            <w:shd w:val="clear" w:color="auto" w:fill="FFFFFF"/>
            <w:lang w:val="en-US" w:eastAsia="en-US" w:bidi="ar-SA"/>
          </w:rPr>
          <w:t>24 D.L.R. (3d) 579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at para. 43. The test for severance is not applied in a vacuum; it is to be considered against the backdrop of the nature of the particular case at hand: </w:t>
      </w:r>
      <w:r>
        <w:rPr>
          <w:rFonts w:ascii="arial" w:eastAsia="arial" w:hAnsi="arial" w:cs="arial"/>
          <w:i/>
          <w:color w:val="000000"/>
          <w:sz w:val="20"/>
          <w:lang w:val="en-US" w:eastAsia="en-US" w:bidi="ar-SA"/>
        </w:rPr>
        <w:t>Wirtz v. Constantini</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137 D.L.R. (3d) 393</w:t>
        </w:r>
      </w:hyperlink>
      <w:r>
        <w:rPr>
          <w:rFonts w:ascii="arial" w:eastAsia="arial" w:hAnsi="arial" w:cs="arial"/>
          <w:color w:val="000000"/>
          <w:sz w:val="20"/>
          <w:lang w:val="en-US" w:eastAsia="en-US" w:bidi="ar-SA"/>
        </w:rPr>
        <w:t>, 1982 CarswellBC 588 (S.C.). Because the determination involves an individualized assessment of the unique case before the Court, there is no closed list of uniformly applied considerations that inform the exercise of the Court's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David asserts that the significant overlap of the parties and of the potential witnesses in relation to his various claims render it uneconomic and greatly prejudicial to him if the causes of action are severed off and litigated separately. As I understand it, he further contends that because the Impugned Wills were made in violation of the binding agreement and/or trust between his parents that underlies the 2007 Wills and the promises made to him and therefore constitute a breach of trust, breach of contract, and/or fraudulent conveyances, they should not be submitted for probate in the first place. It is his position that the foregoing issues should be adjudicated upon before the validity of the Impugned Wills is decided or, alternatively,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Mutual wills refer to the mirror-image or reciprocal wills of two persons (usually spouses) who have made a binding agreement (as distinct from a loose understanding or engagement of honour) to structure their wills in a certain manner and to not alter or revoke them without the other's consent, or that any subsequent will they make would adhere to the original agreed scheme of distribution: </w:t>
      </w:r>
      <w:r>
        <w:rPr>
          <w:rFonts w:ascii="arial" w:eastAsia="arial" w:hAnsi="arial" w:cs="arial"/>
          <w:i/>
          <w:color w:val="000000"/>
          <w:sz w:val="20"/>
          <w:lang w:val="en-US" w:eastAsia="en-US" w:bidi="ar-SA"/>
        </w:rPr>
        <w:t>Edell v. Sitzer</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(2001), 55 O.R. (3d) 198</w:t>
        </w:r>
      </w:hyperlink>
      <w:r>
        <w:rPr>
          <w:rFonts w:ascii="arial" w:eastAsia="arial" w:hAnsi="arial" w:cs="arial"/>
          <w:color w:val="000000"/>
          <w:sz w:val="20"/>
          <w:lang w:val="en-US" w:eastAsia="en-US" w:bidi="ar-SA"/>
        </w:rPr>
        <w:t xml:space="preserve"> (Sup. Ct. J.), aff'd </w:t>
      </w:r>
      <w:hyperlink r:id="rId227" w:history="1">
        <w:r>
          <w:rPr>
            <w:rFonts w:ascii="arial" w:eastAsia="arial" w:hAnsi="arial" w:cs="arial"/>
            <w:i/>
            <w:color w:val="0077CC"/>
            <w:sz w:val="20"/>
            <w:u w:val="single"/>
            <w:shd w:val="clear" w:color="auto" w:fill="FFFFFF"/>
            <w:lang w:val="en-US" w:eastAsia="en-US" w:bidi="ar-SA"/>
          </w:rPr>
          <w:t>(2004), 187 O.A.C. 189</w:t>
        </w:r>
      </w:hyperlink>
      <w:r>
        <w:rPr>
          <w:rFonts w:ascii="arial" w:eastAsia="arial" w:hAnsi="arial" w:cs="arial"/>
          <w:color w:val="000000"/>
          <w:sz w:val="20"/>
          <w:lang w:val="en-US" w:eastAsia="en-US" w:bidi="ar-SA"/>
        </w:rPr>
        <w:t xml:space="preserve">, leave to appeal to S.C.C. ref'd </w:t>
      </w:r>
      <w:hyperlink r:id="rId228" w:history="1">
        <w:r>
          <w:rPr>
            <w:rFonts w:ascii="arial" w:eastAsia="arial" w:hAnsi="arial" w:cs="arial"/>
            <w:i/>
            <w:color w:val="0077CC"/>
            <w:sz w:val="20"/>
            <w:u w:val="single"/>
            <w:shd w:val="clear" w:color="auto" w:fill="FFFFFF"/>
            <w:lang w:val="en-US" w:eastAsia="en-US" w:bidi="ar-SA"/>
          </w:rPr>
          <w:t>[2004] S.C.C.A. No. 372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the context of mutual wills, the concept of an underlying agreement not to revoke one's will is somewhat misleading. This is because it is well-settled that such an agreement does not deprive the parties of the right to revoke their wills: </w:t>
      </w:r>
      <w:r>
        <w:rPr>
          <w:rFonts w:ascii="arial" w:eastAsia="arial" w:hAnsi="arial" w:cs="arial"/>
          <w:i/>
          <w:color w:val="000000"/>
          <w:sz w:val="20"/>
          <w:lang w:val="en-US" w:eastAsia="en-US" w:bidi="ar-SA"/>
        </w:rPr>
        <w:t>Hall v. McLaughlin Estate</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[2006] O.J. No. 2848</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25 E.T.R. (3d) 198</w:t>
        </w:r>
      </w:hyperlink>
      <w:r>
        <w:rPr>
          <w:rFonts w:ascii="arial" w:eastAsia="arial" w:hAnsi="arial" w:cs="arial"/>
          <w:color w:val="000000"/>
          <w:sz w:val="20"/>
          <w:lang w:val="en-US" w:eastAsia="en-US" w:bidi="ar-SA"/>
        </w:rPr>
        <w:t xml:space="preserve"> (Sup. Ct. J.)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A will can always be revoked: see generally, </w:t>
      </w:r>
      <w:r>
        <w:rPr>
          <w:rFonts w:ascii="arial" w:eastAsia="arial" w:hAnsi="arial" w:cs="arial"/>
          <w:i/>
          <w:color w:val="000000"/>
          <w:sz w:val="20"/>
          <w:lang w:val="en-US" w:eastAsia="en-US" w:bidi="ar-SA"/>
        </w:rPr>
        <w:t>University of Manitoba v. Sanderson Estate</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(1998), 155 D.L.R. (4th) 40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University of Manitoba</w:t>
      </w:r>
      <w:r>
        <w:rPr>
          <w:rFonts w:ascii="arial" w:eastAsia="arial" w:hAnsi="arial" w:cs="arial"/>
          <w:color w:val="000000"/>
          <w:sz w:val="20"/>
          <w:lang w:val="en-US" w:eastAsia="en-US" w:bidi="ar-SA"/>
        </w:rPr>
        <w:t xml:space="preserve">]. The weight of the jurisprudence holds that, in the result, the probate court does not concern itself with an agreement not to revoke a will: </w:t>
      </w:r>
      <w:r>
        <w:rPr>
          <w:rFonts w:ascii="arial" w:eastAsia="arial" w:hAnsi="arial" w:cs="arial"/>
          <w:i/>
          <w:color w:val="000000"/>
          <w:sz w:val="20"/>
          <w:lang w:val="en-US" w:eastAsia="en-US" w:bidi="ar-SA"/>
        </w:rPr>
        <w:t>Re Heys</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[1914] P. 192</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pt;height:10pt">
            <v:imagedata r:id="rId232" o:title=""/>
          </v:shape>
        </w:pict>
      </w:r>
      <w:r>
        <w:rPr>
          <w:rFonts w:ascii="arial" w:eastAsia="arial" w:hAnsi="arial" w:cs="arial"/>
          <w:color w:val="000000"/>
          <w:sz w:val="20"/>
          <w:lang w:val="en-US" w:eastAsia="en-US" w:bidi="ar-SA"/>
        </w:rPr>
        <w:t xml:space="preserve">. In other words, that a will may have been made in violation of a mutual wills agreement not to revoke does not preclude the offending will from being admitted to probate in common or solemn form. However, a proven breach of the agreement may well give rise to an action for damages in contract or be remedied by the imposition of a constructive trust on the subject property: </w:t>
      </w:r>
      <w:r>
        <w:rPr>
          <w:rFonts w:ascii="arial" w:eastAsia="arial" w:hAnsi="arial" w:cs="arial"/>
          <w:i/>
          <w:color w:val="000000"/>
          <w:sz w:val="20"/>
          <w:lang w:val="en-US" w:eastAsia="en-US" w:bidi="ar-SA"/>
        </w:rPr>
        <w:t>University of Manitoba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Synge v. Synge</w:t>
      </w:r>
      <w:r>
        <w:rPr>
          <w:rFonts w:ascii="arial" w:eastAsia="arial" w:hAnsi="arial" w:cs="arial"/>
          <w:color w:val="000000"/>
          <w:sz w:val="20"/>
          <w:lang w:val="en-US" w:eastAsia="en-US" w:bidi="ar-SA"/>
        </w:rPr>
        <w:t xml:space="preserve">, [1894] 1 Q.B. 466 (C.A.); </w:t>
      </w:r>
      <w:r>
        <w:rPr>
          <w:rFonts w:ascii="arial" w:eastAsia="arial" w:hAnsi="arial" w:cs="arial"/>
          <w:i/>
          <w:color w:val="000000"/>
          <w:sz w:val="20"/>
          <w:lang w:val="en-US" w:eastAsia="en-US" w:bidi="ar-SA"/>
        </w:rPr>
        <w:t>Re Green</w:t>
      </w:r>
      <w:r>
        <w:rPr>
          <w:rFonts w:ascii="arial" w:eastAsia="arial" w:hAnsi="arial" w:cs="arial"/>
          <w:color w:val="000000"/>
          <w:sz w:val="20"/>
          <w:lang w:val="en-US" w:eastAsia="en-US" w:bidi="ar-SA"/>
        </w:rPr>
        <w:t xml:space="preserve">, [1951] Ch. 148, [1950] 2 All E.R. 913;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Appreciation of these principles forcefully undercuts David's submission that the issue of the mutual wills ought to be adjudicated before or at the same time as the validity of the Impugned Wills. His companion assertion, which was not well-developed, that his claim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should proceed before or together with the Proof of Will Action, suffers the same fate.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Miller's counsel asserts that the most of David's claims, other than those encompassed in the Proof of Will Action, cannot be litigated until a representative of Norman's estate has been determined and a grant of probate or administration, as the case may be, has issued. At first blush, that submission appears to be at odds with the plain language of s. 24(1) of the </w:t>
      </w:r>
      <w:r>
        <w:rPr>
          <w:rFonts w:ascii="arial" w:eastAsia="arial" w:hAnsi="arial" w:cs="arial"/>
          <w:i/>
          <w:color w:val="000000"/>
          <w:sz w:val="20"/>
          <w:lang w:val="en-US" w:eastAsia="en-US" w:bidi="ar-SA"/>
        </w:rPr>
        <w:t>PPA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Death of patient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(1) Subject to subsection (2), on the death of a patient and until a representation grant, within the meaning of the </w:t>
      </w:r>
      <w:r>
        <w:rPr>
          <w:rFonts w:ascii="arial" w:eastAsia="arial" w:hAnsi="arial" w:cs="arial"/>
          <w:i/>
          <w:color w:val="000000"/>
          <w:sz w:val="20"/>
          <w:lang w:val="en-US" w:eastAsia="en-US" w:bidi="ar-SA"/>
        </w:rPr>
        <w:t>Wills, Estates and Succession Act</w:t>
      </w:r>
      <w:r>
        <w:rPr>
          <w:rFonts w:ascii="arial" w:eastAsia="arial" w:hAnsi="arial" w:cs="arial"/>
          <w:color w:val="000000"/>
          <w:sz w:val="20"/>
          <w:lang w:val="en-US" w:eastAsia="en-US" w:bidi="ar-SA"/>
        </w:rPr>
        <w:t>, is issued in respect of the patient's estate and notice in writing of the representation grant is served on the committee, the committee of the patient</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continues to have the rights, powers, duties and privileges that the committee would have had if the patient had not died, and</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powers of a person who has been issued a representation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There is no question but that as the executor named in the Impugned Wills, the PGT is entitled to bring the Proof of Will Action. On the surface, s. 24 of the </w:t>
      </w:r>
      <w:r>
        <w:rPr>
          <w:rFonts w:ascii="arial" w:eastAsia="arial" w:hAnsi="arial" w:cs="arial"/>
          <w:i/>
          <w:color w:val="000000"/>
          <w:sz w:val="20"/>
          <w:lang w:val="en-US" w:eastAsia="en-US" w:bidi="ar-SA"/>
        </w:rPr>
        <w:t>PPA</w:t>
      </w:r>
      <w:r>
        <w:rPr>
          <w:rFonts w:ascii="arial" w:eastAsia="arial" w:hAnsi="arial" w:cs="arial"/>
          <w:color w:val="000000"/>
          <w:sz w:val="20"/>
          <w:lang w:val="en-US" w:eastAsia="en-US" w:bidi="ar-SA"/>
        </w:rPr>
        <w:t xml:space="preserve"> suggests that in its capacity as committee of Norman's estate, the PGT would have the authority to defend against the other claims. However, in </w:t>
      </w:r>
      <w:r>
        <w:rPr>
          <w:rFonts w:ascii="arial" w:eastAsia="arial" w:hAnsi="arial" w:cs="arial"/>
          <w:i/>
          <w:color w:val="000000"/>
          <w:sz w:val="20"/>
          <w:lang w:val="en-US" w:eastAsia="en-US" w:bidi="ar-SA"/>
        </w:rPr>
        <w:t>Re: Langford and The Patients Property Act</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2000 BCSC 721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 Langford</w:t>
      </w:r>
      <w:r>
        <w:rPr>
          <w:rFonts w:ascii="arial" w:eastAsia="arial" w:hAnsi="arial" w:cs="arial"/>
          <w:color w:val="000000"/>
          <w:sz w:val="20"/>
          <w:lang w:val="en-US" w:eastAsia="en-US" w:bidi="ar-SA"/>
        </w:rPr>
        <w:t xml:space="preserve">], the Court reasoned that the legislature could not have intended to invest a committee with all of the powers of an executor or administrator such as obtaining title to the deceased's assets or winding up and distributing the estate of the deceased patient. It held that because s. 24 expressly contemplates that probate or administration will be taken out after a patient's death, it is intended to be operative only in the intervening period. In the result, </w:t>
      </w:r>
      <w:r>
        <w:rPr>
          <w:rFonts w:ascii="arial" w:eastAsia="arial" w:hAnsi="arial" w:cs="arial"/>
          <w:i/>
          <w:color w:val="000000"/>
          <w:sz w:val="20"/>
          <w:lang w:val="en-US" w:eastAsia="en-US" w:bidi="ar-SA"/>
        </w:rPr>
        <w:t>Re: Langford</w:t>
      </w:r>
      <w:r>
        <w:rPr>
          <w:rFonts w:ascii="arial" w:eastAsia="arial" w:hAnsi="arial" w:cs="arial"/>
          <w:color w:val="000000"/>
          <w:sz w:val="20"/>
          <w:lang w:val="en-US" w:eastAsia="en-US" w:bidi="ar-SA"/>
        </w:rPr>
        <w:t xml:space="preserve"> held that s. 24 simply authorizes a committee of a deceased patient to maintain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of the deceased patient's estate during the hiatus period pending the issuance of letters probate or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proposition established in </w:t>
      </w:r>
      <w:r>
        <w:rPr>
          <w:rFonts w:ascii="arial" w:eastAsia="arial" w:hAnsi="arial" w:cs="arial"/>
          <w:i/>
          <w:color w:val="000000"/>
          <w:sz w:val="20"/>
          <w:lang w:val="en-US" w:eastAsia="en-US" w:bidi="ar-SA"/>
        </w:rPr>
        <w:t>Re: Langford</w:t>
      </w:r>
      <w:r>
        <w:rPr>
          <w:rFonts w:ascii="arial" w:eastAsia="arial" w:hAnsi="arial" w:cs="arial"/>
          <w:color w:val="000000"/>
          <w:sz w:val="20"/>
          <w:lang w:val="en-US" w:eastAsia="en-US" w:bidi="ar-SA"/>
        </w:rPr>
        <w:t xml:space="preserve"> raises a legitimate question concerning the PGT's authority to represent the interests of Norman's estate in litigation beyond the Proof of Will Action. This bolsters the applicants' position that it is preferable to separate the Proof of Will Action from the other claims and try it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Another layer of complexity is that David has levied serious allegations against the PGT in its corporate capacity, as opposed to its capacity as the named executor of the Impugned Wills or as Norman's representative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committee. Trying all of the claims together may place the PGT in a conflict of interest as between its role as the putative executor and Norman's committee on the one hand, and its self-interest on the other. That may, in turn, necessitate the appointment of a separate litigation representative of Norman's estate in respect of the claims other than the Proof of Will Action. These considerations also militate for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PGT asserts that, when sitting as a court of probate, this Court is confined to adjudicating issues bearing directly on the validity of the Impugned Wills, namely whether Norman had testamentary capacity, acted of his own volition and duly executed the Impugned Wills with knowledge and approval of their contents. Relying on </w:t>
      </w:r>
      <w:r>
        <w:rPr>
          <w:rFonts w:ascii="arial" w:eastAsia="arial" w:hAnsi="arial" w:cs="arial"/>
          <w:i/>
          <w:color w:val="000000"/>
          <w:sz w:val="20"/>
          <w:lang w:val="en-US" w:eastAsia="en-US" w:bidi="ar-SA"/>
        </w:rPr>
        <w:t>Ali Estate (Re)</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2011 BCSC 537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Ali</w:t>
      </w:r>
      <w:r>
        <w:rPr>
          <w:rFonts w:ascii="arial" w:eastAsia="arial" w:hAnsi="arial" w:cs="arial"/>
          <w:color w:val="000000"/>
          <w:sz w:val="20"/>
          <w:lang w:val="en-US" w:eastAsia="en-US" w:bidi="ar-SA"/>
        </w:rPr>
        <w:t>], the PGT contends that that those of David's claims that fall outside the narrow ambit of a proof in solemn form action, must be pursued in a separate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Ali</w:t>
      </w:r>
      <w:r>
        <w:rPr>
          <w:rFonts w:ascii="arial" w:eastAsia="arial" w:hAnsi="arial" w:cs="arial"/>
          <w:color w:val="000000"/>
          <w:sz w:val="20"/>
          <w:lang w:val="en-US" w:eastAsia="en-US" w:bidi="ar-SA"/>
        </w:rPr>
        <w:t xml:space="preserve"> was not a proof of will in solemn form case. It involved an application to rectify a will by adding words and, failing that, to construe a particular clause in the same will. The essential point of </w:t>
      </w:r>
      <w:r>
        <w:rPr>
          <w:rFonts w:ascii="arial" w:eastAsia="arial" w:hAnsi="arial" w:cs="arial"/>
          <w:i/>
          <w:color w:val="000000"/>
          <w:sz w:val="20"/>
          <w:lang w:val="en-US" w:eastAsia="en-US" w:bidi="ar-SA"/>
        </w:rPr>
        <w:t>Ali</w:t>
      </w:r>
      <w:r>
        <w:rPr>
          <w:rFonts w:ascii="arial" w:eastAsia="arial" w:hAnsi="arial" w:cs="arial"/>
          <w:color w:val="000000"/>
          <w:sz w:val="20"/>
          <w:lang w:val="en-US" w:eastAsia="en-US" w:bidi="ar-SA"/>
        </w:rPr>
        <w:t>, instructively made by Dardi J., was that this Court has historically exercised its probate and construction of will functions in separate proceedings. Endorsing the maintenance of those dual jurisdictions, her Ladyship held that when sitting as a court of probate, the Court has no jurisdiction to add words to a will; it was able to do so only while sitting as a court of construction. In the course of her analysis, Madam Justice Dardi observed that the issues before the court of probate typically focus on what constitutes the testamentary instrument of the will-maker and its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my view, the PGT seeks to extend the narrow proposition established in </w:t>
      </w:r>
      <w:r>
        <w:rPr>
          <w:rFonts w:ascii="arial" w:eastAsia="arial" w:hAnsi="arial" w:cs="arial"/>
          <w:i/>
          <w:color w:val="000000"/>
          <w:sz w:val="20"/>
          <w:lang w:val="en-US" w:eastAsia="en-US" w:bidi="ar-SA"/>
        </w:rPr>
        <w:t>Ali</w:t>
      </w:r>
      <w:r>
        <w:rPr>
          <w:rFonts w:ascii="arial" w:eastAsia="arial" w:hAnsi="arial" w:cs="arial"/>
          <w:color w:val="000000"/>
          <w:sz w:val="20"/>
          <w:lang w:val="en-US" w:eastAsia="en-US" w:bidi="ar-SA"/>
        </w:rPr>
        <w:t xml:space="preserve"> beyond its intended limits. It is particularly noteworthy that the discrete question before Dardi J. made it unnecessary to consider the broader question of the existence and extent of any limitations of the issues that might be joined in a proof of will case in light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and the jurisprudence that applies to joinder and the claims that can be properly litigated in a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That being said, there is case authority that has placed some limitation on the nature of claims that can properly be included in a counterclaim to a proof of will in solemn form proceeding. In </w:t>
      </w:r>
      <w:r>
        <w:rPr>
          <w:rFonts w:ascii="arial" w:eastAsia="arial" w:hAnsi="arial" w:cs="arial"/>
          <w:i/>
          <w:color w:val="000000"/>
          <w:sz w:val="20"/>
          <w:lang w:val="en-US" w:eastAsia="en-US" w:bidi="ar-SA"/>
        </w:rPr>
        <w:t>Clark v. Nash</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[1986] B.C.J. No. 1655</w:t>
        </w:r>
      </w:hyperlink>
      <w:r>
        <w:rPr>
          <w:rFonts w:ascii="arial" w:eastAsia="arial" w:hAnsi="arial" w:cs="arial"/>
          <w:color w:val="000000"/>
          <w:sz w:val="20"/>
          <w:lang w:val="en-US" w:eastAsia="en-US" w:bidi="ar-SA"/>
        </w:rPr>
        <w:t xml:space="preserve"> (S.C.) aff'd </w:t>
      </w:r>
      <w:hyperlink r:id="rId236" w:history="1">
        <w:r>
          <w:rPr>
            <w:rFonts w:ascii="arial" w:eastAsia="arial" w:hAnsi="arial" w:cs="arial"/>
            <w:i/>
            <w:color w:val="0077CC"/>
            <w:sz w:val="20"/>
            <w:u w:val="single"/>
            <w:shd w:val="clear" w:color="auto" w:fill="FFFFFF"/>
            <w:lang w:val="en-US" w:eastAsia="en-US" w:bidi="ar-SA"/>
          </w:rPr>
          <w:t>[1987] B.C.J. No. 304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the Court held that the procedure and hearing involved in a proof of will in solemn form proceeding should be limited to the aspects of the will execution, testamentary capacity, want of knowledge and fraud. The Court reasoned that a counterclaim to vary a will that is alleged to be invalid is therefore premature, and hearing it at the same time or before the action involving the proof of the challenged will is neither just nor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Since its pronouncement,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has stood for the general proposition that it is improper to include a wills variation claim in an action for proof of will in solemn form on the footing that a valid will is a condition precedent to a variation proceeding. Although I believe that, on occasion, this Court has heard such claims together (presumably without being taken to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nonetheless strengthens the application to sever, at least </w:t>
      </w:r>
      <w:r>
        <w:rPr>
          <w:rFonts w:ascii="arial" w:eastAsia="arial" w:hAnsi="arial" w:cs="arial"/>
          <w:i/>
          <w:color w:val="000000"/>
          <w:sz w:val="20"/>
          <w:lang w:val="en-US" w:eastAsia="en-US" w:bidi="ar-SA"/>
        </w:rPr>
        <w:t>vis-a-vis</w:t>
      </w:r>
      <w:r>
        <w:rPr>
          <w:rFonts w:ascii="arial" w:eastAsia="arial" w:hAnsi="arial" w:cs="arial"/>
          <w:color w:val="000000"/>
          <w:sz w:val="20"/>
          <w:lang w:val="en-US" w:eastAsia="en-US" w:bidi="ar-SA"/>
        </w:rPr>
        <w:t xml:space="preserve"> David's claim to have the Impugned Wills varied.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validity of the Impugned Wills is the centerpiece issue of this litigation. If they are not valid, David will inherit the entirety of his father's estate, including the Family Residence, in one of two ways: either pursuant to his father's 2007 will or by application of the laws of intestate succession. In either scenario, substantially all of David's other claims will fall by the wayside, leaving no claim to advance, except possibly for the negligent infliction of mental suffering and to recover the legal costs David incurred in successfully defending the Proof of Will Action. These factors also weigh in favour of severing the Proof of Will Action from the balance of David's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turning my mind to the considerations outlined in </w:t>
      </w:r>
      <w:r>
        <w:rPr>
          <w:rFonts w:ascii="arial" w:eastAsia="arial" w:hAnsi="arial" w:cs="arial"/>
          <w:i/>
          <w:color w:val="000000"/>
          <w:sz w:val="20"/>
          <w:lang w:val="en-US" w:eastAsia="en-US" w:bidi="ar-SA"/>
        </w:rPr>
        <w:t>Schaper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O'Mara</w:t>
      </w:r>
      <w:r>
        <w:rPr>
          <w:rFonts w:ascii="arial" w:eastAsia="arial" w:hAnsi="arial" w:cs="arial"/>
          <w:color w:val="000000"/>
          <w:sz w:val="20"/>
          <w:lang w:val="en-US" w:eastAsia="en-US" w:bidi="ar-SA"/>
        </w:rPr>
        <w:t xml:space="preserve"> and the other factors germane to the analysis, I conclude that, while features of the factual matrix are relevant to the Proof of Will Action and David's other claims, the issues are not so tightly interconnected as to make separate trials, at different times and before different judges, fraught with extra expense or inefficiencies, or overly prejudicial to David. The issues relevant to the Proof of Will Action are sufficiently distinct from the issues raised in David's remaining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significant judicial economy and proportionality will be achieved by litigating the Proof of Will Action first and separately from all of David's other claims, which far outweighs any prejudice visited upon David in so doing. Examined from another perspective but to the same end, hearing all of the claims together would unduly complicate and delay the proceeding. Trial fairness and convenience support severance of the Proof of Will Action from the balance of David's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clarity, the Proof of Will Action incorporates the following issues: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Norman had the requisite testamentary capacity to validly make one or both of the Impugned Wills (which encompasses the issue of whether any surrounding suspicious circumstances existed) and whether he knew and approved of the contents of the Impugned Wills;</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Norman's instructions and execution of the Impugned Wills were free from delusions and undue influence;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Impugned Wills were validly executed in accordance with the formal requirements pursuant to the </w:t>
      </w:r>
      <w:r>
        <w:rPr>
          <w:rFonts w:ascii="arial" w:eastAsia="arial" w:hAnsi="arial" w:cs="arial"/>
          <w:i/>
          <w:color w:val="000000"/>
          <w:sz w:val="20"/>
          <w:lang w:val="en-US" w:eastAsia="en-US" w:bidi="ar-SA"/>
        </w:rPr>
        <w:t>Wills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do not share the view urged by the PGT that </w:t>
      </w:r>
      <w:r>
        <w:rPr>
          <w:rFonts w:ascii="arial" w:eastAsia="arial" w:hAnsi="arial" w:cs="arial"/>
          <w:i/>
          <w:color w:val="000000"/>
          <w:sz w:val="20"/>
          <w:lang w:val="en-US" w:eastAsia="en-US" w:bidi="ar-SA"/>
        </w:rPr>
        <w:t>Powell v. Powell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(1987), 21 B.C.L.R. (2d) 109</w:t>
        </w:r>
      </w:hyperlink>
      <w:r>
        <w:rPr>
          <w:rFonts w:ascii="arial" w:eastAsia="arial" w:hAnsi="arial" w:cs="arial"/>
          <w:color w:val="000000"/>
          <w:sz w:val="20"/>
          <w:lang w:val="en-US" w:eastAsia="en-US" w:bidi="ar-SA"/>
        </w:rPr>
        <w:t xml:space="preserve"> (S.C.) or Rule 25-14 precludes from consideration in the Proof of Will Action, David's claim that his father's last valid and subsisting will is the one that he executed on February 22, 2007. That claim is also properly before the Court in the Proof of Will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Miller asks that all of the claims against him be severed from the others, and that they be stayed until all such claims have been determined. His rationale is that the existence and nature of any claims against him cannot be known and will not arise until the other claims have been determined. Depending on the outcome of such claims, it is possible there will be no claim to bring against him. He also highlights that the claims against him are in the nature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contends that it is therefore not appropriate they be joined with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addition to the Court's jurisdiction to order that claims be stayed under Rule 9-5(1), it may temporarily stay a proceeding pursuant to its inherent jurisdiction or s. 8(2)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or both: </w:t>
      </w:r>
      <w:r>
        <w:rPr>
          <w:rFonts w:ascii="arial" w:eastAsia="arial" w:hAnsi="arial" w:cs="arial"/>
          <w:i/>
          <w:color w:val="000000"/>
          <w:sz w:val="20"/>
          <w:lang w:val="en-US" w:eastAsia="en-US" w:bidi="ar-SA"/>
        </w:rPr>
        <w:t>Zurich Indemnity Co. of Canada v. Western Delta Lands Inc.</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[1997] B.C.J. No. 1784</w:t>
        </w:r>
      </w:hyperlink>
      <w:r>
        <w:rPr>
          <w:rFonts w:ascii="arial" w:eastAsia="arial" w:hAnsi="arial" w:cs="arial"/>
          <w:color w:val="000000"/>
          <w:sz w:val="20"/>
          <w:lang w:val="en-US" w:eastAsia="en-US" w:bidi="ar-SA"/>
        </w:rPr>
        <w:t xml:space="preserve"> at para. 14 (C.A.), leave to appeal to S.C.C. ref'd </w:t>
      </w:r>
      <w:hyperlink r:id="rId239" w:history="1">
        <w:r>
          <w:rPr>
            <w:rFonts w:ascii="arial" w:eastAsia="arial" w:hAnsi="arial" w:cs="arial"/>
            <w:i/>
            <w:color w:val="0077CC"/>
            <w:sz w:val="20"/>
            <w:u w:val="single"/>
            <w:shd w:val="clear" w:color="auto" w:fill="FFFFFF"/>
            <w:lang w:val="en-US" w:eastAsia="en-US" w:bidi="ar-SA"/>
          </w:rPr>
          <w:t>[1997] S.C.C.A. No. 469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In exercising its discretion to grant or deny a stay, the Court must weigh the potential benefits and prejudice at play and fairly balance the parties' competing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circumstances where findings in a related action will likely substantially narrow or simplify the claims that are sought to be stayed, a common judicial approach is to try the claims separately and sequentially and to temporarily stay the dependant claims pending the resolution of the first: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Peh v. The Owners, Strata Plan LMS 3837</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2008 BCSC 291</w:t>
        </w:r>
      </w:hyperlink>
      <w:r>
        <w:rPr>
          <w:rFonts w:ascii="arial" w:eastAsia="arial" w:hAnsi="arial" w:cs="arial"/>
          <w:color w:val="000000"/>
          <w:sz w:val="20"/>
          <w:lang w:val="en-US" w:eastAsia="en-US" w:bidi="ar-SA"/>
        </w:rPr>
        <w:t xml:space="preserve"> at paras. 61-67; </w:t>
      </w:r>
      <w:r>
        <w:rPr>
          <w:rFonts w:ascii="arial" w:eastAsia="arial" w:hAnsi="arial" w:cs="arial"/>
          <w:i/>
          <w:color w:val="000000"/>
          <w:sz w:val="20"/>
          <w:lang w:val="en-US" w:eastAsia="en-US" w:bidi="ar-SA"/>
        </w:rPr>
        <w:t>Ainsworth Lumber Co. v. A.G. of Canada,</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2001 BCCA 105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Ainsworth</w:t>
      </w:r>
      <w:r>
        <w:rPr>
          <w:rFonts w:ascii="arial" w:eastAsia="arial" w:hAnsi="arial" w:cs="arial"/>
          <w:color w:val="000000"/>
          <w:sz w:val="20"/>
          <w:lang w:val="en-US" w:eastAsia="en-US" w:bidi="ar-SA"/>
        </w:rPr>
        <w:t xml:space="preserve">] at paras. 5-14. That the stay being sought is only temporary also supports the granting of one: </w:t>
      </w:r>
      <w:r>
        <w:rPr>
          <w:rFonts w:ascii="arial" w:eastAsia="arial" w:hAnsi="arial" w:cs="arial"/>
          <w:i/>
          <w:color w:val="000000"/>
          <w:sz w:val="20"/>
          <w:lang w:val="en-US" w:eastAsia="en-US" w:bidi="ar-SA"/>
        </w:rPr>
        <w:t>Ainsworth</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their present form, the allegations against Mr. Miller are deeply intertwined with allegations against other parties and aver to misconduct on the part of Mr. Miller that may extend beyond ordinary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the claims are currently pleaded, I am concerned that separating those against Mr. Miller from the remainder carries too great a risk of prejudice to David for too small a benefit to Mr. Miller and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Accordingly, at his juncture I am not prepared to exercise my discretion to separate the claims against Mr. Miller from all others. I have ordered that the Proof of Will Action is to be tried separately and proceed first. All other claims are to be stayed until the Proof of Will Action has been determined. Once the outcome of the Proof of Will Action is known, Mr. Miller is at liberty to re-apply for severance of the claims against him from those then outstanding and may revive his application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This case may be well-served by judicial case management. If counsel have not already done so, I invite them to apply for the assignment of a Case Management Judge at their first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applicants have been substantially successful and are entitled to their costs payable by David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Laponder v. Birkich, [2017] B.C.J. No. 2100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17852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Salmon Arm</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2100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1890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Laponder, Gay Laponder and Paul McGaughan, Plaintiffs, and Bell Stanko Birkich,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9"/>
      <w:bookmarkEnd w:id="136"/>
      <w:r>
        <w:rPr>
          <w:rFonts w:ascii="arial" w:eastAsia="arial" w:hAnsi="arial" w:cs="arial"/>
          <w:b/>
          <w:color w:val="000000"/>
          <w:sz w:val="20"/>
          <w:lang w:val="en-US" w:eastAsia="en-US" w:bidi="ar-SA"/>
        </w:rPr>
        <w:t>Damages — For torts — Affecting property — Real property — Trespass — Action by plaintiffs for damages in trespass, loss of trees and income, punitive damages, a permanent injunction, and special costs against Birkich allowed in part — Damages of $27,400 awarded — Plaintiffs shared property border with Birkich — Birkich believed plaintiffs' fence encroached on his property — Survey showed boundary between properties was plaintiffs' fence — Birkich had trespassed and wrongly cut down fence and trees — Birkich could not have had honest belief plaintiffs' fences encroached on his property — Punitive damages of $20,000 were ordered.?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Conduct constituting trespass — Action by plaintiffs for damages in trespass, loss of trees and income, punitive damages, a permanent injunction, and special costs against Birkich allowed in part — Damages of $27,400 awarded — Plaintiffs shared property border with Birkich — Birkich believed plaintiffs' fence encroached on his property — Survey showed boundary between properties was plaintiffs' fence — Birkich had trespassed and wrongly cut down fence and trees — Birkich could not have had honest belief plaintiffs' fences encroached on his property — Punitive damages of $20,000 were ordered.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8"/>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Timothy Laponder, his wife Gay Laponder and her brother McGaughan for damages in trespass, loss of trees and income, punitive damages, a permanent injunction, and special costs against the defendant Birkich. The plaintiffs alleged Birkich trespassed onto their real property, tore and cut down their fence, cut down trees and prevented Timothy Laponder from the use of a portion of the property causing a loss of income. Birkich was the part-owner of land adjacent to the plaintiffs' property. He had filed numerous legal actions against the plaintiffs. Birkich filed a response to the plaintiffs' action described by the court as "bizarre and unintelligible". It appeared Birkich believed part of the plaintiffs' fences encroached on his property. This was despite having himself hired a surveyor to do a boundary determination, which proved Birkich's belief incorrect. Birkich had cut down several wooden fences belonging to the plaintiffs and installed his own metal fences. The plaintiffs were unable to graze their cattle without their fences. Johnson, a land surveyor, prepared an expert report that stated the plaintiffs' fences were the boundaries between the parties' properties. The plaintiffs' obtained an estimate of $8,797 to install a new fence.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6"/>
            <w:bookmarkEnd w:id="13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of $27,400 awarded. Birkich had not met the burden of proof by proving the property boundaries were not the original fence lines that he cut down. The boundary between the plaintiffs' property and Birkich's property was as marked by the plaintiffs' wooden fence posts. Birkich had trespassed and wrongly cut down the fence and trees. The plaintiffs were awarded damages for the fence of $7,000, discounted for age. A nominal amount of $400 was awarded for the cut down trees. The plaintiffs were not awarded an amount for loss of income as they did not provide the expenses incurred as part of the gross sales claimed. Birkich could not have had an honest belief that the plaintiffs' fences encroached on his property. It was also probable that he had illegally removed survey monuments. Punitive damages of $20,000 were awarded. Birkich was prohibited from entering into the plaintiffs' property. Birkich's behaviour in defending the action did not warrant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8"/>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9"/>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R.A. Chorneyko.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Bell Stanko Birkich appeared on his own behalf on October 4, 2017.</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9"/>
      <w:bookmarkEnd w:id="141"/>
      <w:r>
        <w:pict>
          <v:line id="_x0000_s1083"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H. HYSLOP J."/>
            <w:bookmarkEnd w:id="142"/>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Timothy Laponder, Gay Laponder and Paul McGaughan allege that the defendant, Bell Stanko Birkich trespassed onto their real property, tore and cut down the plaintiffs' fence, cut down trees located on their property and prevented the plaintiff, Timothy Laponder from the use of a portion of the property causing a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seek:</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trespass in the amount of $8,797.32;</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trees in the amount of $2,000.00;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in the amount of $20,000.00;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in the amount of $25,000.00;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against the defendant;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11, 2017, Mr. Birkich filed a Response to Civil Claim. It can only be described as bizarre and unintelligible. Here are some examples: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RESPONSE TO NOTICE OF CIVIL CLAIM FACTS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alleged in paragraph(s) 1-2-4-5-6 Plaintiff claims to own Birkich unsubdivided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Division 3 - Additional Facts, the respondent states:</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material facts are relevant and attached to this file #17852.</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Book of Law - non confident swindlers; in any ally of opposition is illegal in Canada. May the force of the </w:t>
      </w:r>
      <w:r>
        <w:rPr>
          <w:rFonts w:ascii="arial" w:eastAsia="arial" w:hAnsi="arial" w:cs="arial"/>
          <w:color w:val="000000"/>
          <w:sz w:val="20"/>
          <w:u w:val="single"/>
          <w:lang w:val="en-US" w:eastAsia="en-US" w:bidi="ar-SA"/>
        </w:rPr>
        <w:t>Bible</w:t>
      </w:r>
      <w:r>
        <w:rPr>
          <w:rFonts w:ascii="arial" w:eastAsia="arial" w:hAnsi="arial" w:cs="arial"/>
          <w:color w:val="000000"/>
          <w:sz w:val="20"/>
          <w:lang w:val="en-US" w:eastAsia="en-US" w:bidi="ar-SA"/>
        </w:rPr>
        <w:t xml:space="preserve"> be with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"Part 3: LEGAL BASIS", the respondent states:</w:t>
      </w:r>
      <w:r>
        <w:rPr>
          <w:rFonts w:ascii="arial" w:eastAsia="arial" w:hAnsi="arial" w:cs="arial"/>
          <w:sz w:val="20"/>
          <w:lang w:val="en-US" w:eastAsia="en-US" w:bidi="ar-SA"/>
        </w:rPr>
        <w:cr/>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basis for opposing the Plaintiffs relief is set out in the Vernon Registry Court No. 53953. This information is obtained and attached to this File #17852.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Attached to the Response in Mr. Birkich's Trial Record is Vernon Action No. 53953, which was filed on January 6, 2017. The plaintiff is Stanko Bell Birkich on behalf of Pina Birkich and Michael Melemiko Birkich (Perished). The defendants are various federal government departments, a department of the British Columbia government and surveyors and professional engineers. The personal defendants are Ali-Lynn-Aly, Tim-Gaylene [Laponder], Monica Melenka Karys and Robert Larose.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Alys are neighbours. The Laponders are the plaintiffs in this action. Ms. Karys is Mr. Laponder's bookkeeper and sister to Mr. Birkich, and Robert Larose is a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 "Relief Sought" are 13 paragraphs listing what the plaintiff seeks against each person and the engineer and land surveyors. Part 3 "LEGAL BASIS" consists of 17 paragraphs, which are difficult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2, 2017, as a result of the applications of Russell Shortt Land Surveyors Ltd. and Underhill Geomatics Ltd., Master McDiarmid ordered that the action be discontinued against the applicants without costs, granting the plaintiff leave to file an Amended Notice of Civil Claim as set out in Schedule A. It is the same as the Notice of Civil Claim, except it states the action has been discontinued against Russell Shortt Land Surveyors Ltd. and Underhill Geomatics Ltd. It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-36 The Plaintiff expressly waives any and all rights to recover from any of the other Defendants any portion of the entitlement claimed by the Plaintiff that may be attributable to any breach of contract, breach of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"legal survey violation". collusion, "misconduct of duty", "misconduct to civil duty", "malicious activity of inference" or any other legal liability or fault of RSLS or Underhill, for which any of the other Defendants might reasonably be entitled to claim from RSLS or Underhill contribution, indemnity or apportionment, either at common law or in equity,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Act, </w:t>
      </w:r>
      <w:r>
        <w:rPr>
          <w:rFonts w:ascii="arial" w:eastAsia="arial" w:hAnsi="arial" w:cs="arial"/>
          <w:i/>
          <w:color w:val="000000"/>
          <w:sz w:val="20"/>
          <w:u w:val="single"/>
          <w:lang w:val="en-US" w:eastAsia="en-US" w:bidi="ar-SA"/>
        </w:rPr>
        <w:t>R.S.B.C. 1996, c. 333</w:t>
      </w:r>
      <w:r>
        <w:rPr>
          <w:rFonts w:ascii="arial" w:eastAsia="arial" w:hAnsi="arial" w:cs="arial"/>
          <w:color w:val="000000"/>
          <w:sz w:val="20"/>
          <w:u w:val="single"/>
          <w:lang w:val="en-US" w:eastAsia="en-US" w:bidi="ar-SA"/>
        </w:rPr>
        <w:t xml:space="preserve"> and amendments thereto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CONDUCT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Mr. Birkich, attended court on October 3 and 4, 2017. On October 3, Mr. Birkich and the plaintiffs stated they were ready to proceed to trial. The trial started the next day - October 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Laponder gave evidence on behalf of the plaintiffs. Mr. Birkich cross-examined him. Mr. Joseph Charles Johnson, the land surveyor presented his expert report and testified. The next morning it was anticipated that Mr. Birkich would cross-examine Mr. Johnson, the plaintiffs would close their case, and Mr. Birkich would open his defence and call evidence. Mr. Birkich did not appear on October 5 or 6, 2017. He sent messages to the court registry and spoke in court by telephone. He claimed he was ill. I did not believe that he was ill or accept his explanations. I permitted the plaintiffs to continue with their case, which was their submissions. Before doing so, I gave oral reasons permitting the plaintiffs to proceed with their case in the absence of Mr. Birkich which can be found at </w:t>
      </w:r>
      <w:hyperlink r:id="rId249" w:history="1">
        <w:r>
          <w:rPr>
            <w:rFonts w:ascii="arial" w:eastAsia="arial" w:hAnsi="arial" w:cs="arial"/>
            <w:i/>
            <w:color w:val="0077CC"/>
            <w:sz w:val="20"/>
            <w:u w:val="single"/>
            <w:shd w:val="clear" w:color="auto" w:fill="FFFFFF"/>
            <w:lang w:val="en-US" w:eastAsia="en-US" w:bidi="ar-SA"/>
          </w:rPr>
          <w:t>2017 BCSC 1888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LAND AND THE OWNERS OF THE LAND, WHICH ARE THE SUBJECT MATTER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Laponders are husband and wife. Mr. McGaughan is Mrs. Laponder's brother. They 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SOUTH 1/2 OF THE SOUTHEAST 1/4 FO SECTION 21 TOWNSHIP 17 RANGE 11 WEST OF THE 6TH MERIDIAN KAMLOOPS DIVISION YALE DISTRICT EXCEPT PLAN 24128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"Laponder Property" - civic address 4325 Highway 97, Falkland,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 Birkich, Bell Stanko Birkich and Yolander Mirjana Dingman are the registered owners, as joint tenants,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NORTH 1/2 OF THE NORTHEAST 1/4 OF SECTION 16 TOWNSHIP 17 RANGE 11 WEST OF THE 6TH MERIDIAN KAMLOOPS DIVISION YALE DISTRICT EXCEPT: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A322</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LYING SOUTH OF CNR RIGHT-OF-WAY SHOWN ON PLAN A322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"Birkich Property" - civic address 4282 Colebank Road, Falkland,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Robert Lerose and Suzanne Irene Lerose 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A, Sections 16 and 21, Township 17, Range 11, W6M, KDYD, Plan 29247, except Plans KAP91950.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"Lerose Property" - civic address 4348 Colebank Road, Falkland,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Pina Birkich is the mother of the defendant and Ms. Dingman is her daughter. Mrs. Birkich and her son reside in the Birkich Property. Timothy and Gay Laponder reside in the Laponder Property. The Birkich Property was originally sold to Pina Birkich and Michael Milenko Birkich in 1992 by Susan Frances Malkoske and Norman Arnold Malkoske. Michael Birkich died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purchased their property from the Malkoskes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2016, the Birkich Property was registered in the name of Pina Birkich, her daughter, Ms. Dingman,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Laponder Property is north of the Birkich Property. The Birkich Property is south of the Laponder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Lerose Property is immediately to the west of the Leponder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THE RELATIONSHIP BETWEEN THE LAPONDERS AND SOME MEMBERS OF THE BIRKICH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in particular the Laponders, enjoyed a very friendly relationship with Pina and Michael Birkich. There were no disputes and no disputes about fence lines. Mr. Laponder installed gates on his property so as to provide access over his property so that Michael Birkich could have access to an area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Laponders and Pina and Michael Birkich were guests in each other's homes. Michael Birkich would regularly come to the Laponder home to watch movies on Friday nights. Michael Birkich and Mr. Laponder helped each other out. This all ended when the defendant moved back into the Birkich Property. Litigation was started by the defendant against the Laponders, their neighbours and others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one point in time, a townhome meeting was called by neighbours, including Mr. Laponder, in which the RCMP were invited so the neighbours could express their concern about the defendant. Neither Pina nor Michael Birkich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have been various confrontations between the defendant and Mr. Laponder over the property line between their respective properties; sometimes involving other people - the latest being the summer 2016 and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2014, Mr. Laponder was threatened by the defendant with a knife. The defendant was charged and was convicted of uttering threats. The defendant accused Mr. Laponder of shooting his horse. At the time of the death of the horse, Mr. Laponder was 1,000 miles away on a hunting trip and returned early due to concerns of his wife. Mr. Birkich accused Mr. Laponder of cutting down a tree on the Laponder Property which caused damage to building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LITIGATION COMMENCED BY THE DEFENDANT AGAINST ONE OR BOTH OF THE LAPONDERS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Vernon Action No. 44538, William Stanley Birkich brought an action on July 3, 2009 against Ali Aly and Tim Laponder for one-half the cost of a survey of Russell N. Shortt Surveys Ltd., hired by Mr. Birkich. The court dismissed the action with costs to Mr. Aly and Mr. Laponder.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Stanko Bell Birkich commenced an action on September 10, 2013, Salmon Arm Registry Action No. 14950, against a number of individuals, as well as the Canadian National Railway, the Ministry of Highways, a farm, the Laponders and other individuals. His claims against the personal defendants and the Laponders are set out under the name of each defendant. Under the name [Laponder], the claim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[LAPONDER] -</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Year </w:t>
      </w:r>
      <w:r>
        <w:rPr>
          <w:rFonts w:ascii="arial" w:eastAsia="arial" w:hAnsi="arial" w:cs="arial"/>
          <w:i/>
          <w:color w:val="000000"/>
          <w:sz w:val="20"/>
          <w:lang w:val="en-US" w:eastAsia="en-US" w:bidi="ar-SA"/>
        </w:rPr>
        <w:t>1994 - 1995</w:t>
      </w:r>
      <w:r>
        <w:rPr>
          <w:rFonts w:ascii="arial" w:eastAsia="arial" w:hAnsi="arial" w:cs="arial"/>
          <w:color w:val="000000"/>
          <w:sz w:val="20"/>
          <w:lang w:val="en-US" w:eastAsia="en-US" w:bidi="ar-SA"/>
        </w:rPr>
        <w:t xml:space="preserve"> - The plaintiff encountered the four new - property owners north of the Salmon River on four - separate - occasion(s) extremely pleasant new - neighbour(s). </w:t>
      </w:r>
      <w:r>
        <w:rPr>
          <w:rFonts w:ascii="arial" w:eastAsia="arial" w:hAnsi="arial" w:cs="arial"/>
          <w:i/>
          <w:color w:val="000000"/>
          <w:sz w:val="20"/>
          <w:lang w:val="en-US" w:eastAsia="en-US" w:bidi="ar-SA"/>
        </w:rPr>
        <w:t>*Note: Front entrance driveway sign(s) posted - No trespassing - thief(s) will be shot-)</w:t>
      </w:r>
      <w:r>
        <w:rPr>
          <w:rFonts w:ascii="arial" w:eastAsia="arial" w:hAnsi="arial" w:cs="arial"/>
          <w:color w:val="000000"/>
          <w:sz w:val="20"/>
          <w:lang w:val="en-US" w:eastAsia="en-US" w:bidi="ar-SA"/>
        </w:rPr>
        <w:t xml:space="preserve"> The subject was brought to their attention requesting: to review property land dimension(s) and certified survey deed - of document(s) to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 (formal - informal)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Lady - Gaylene - [Laponder]</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is of - claptrap - twaddle - (goose)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Mr. Tim - [Laponder] -</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is a - gobbledegook - hokum - (bully)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Mr. Rick McKaogen</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guilt of conscious - no more - bailed out 1998 at $298,000 - as to - Pina my love - (this character - Rick - it - 55 - is of - flap - gobble - (duck)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their reaction(s) - of nonsense as to; </w:t>
      </w:r>
      <w:r>
        <w:rPr>
          <w:rFonts w:ascii="arial" w:eastAsia="arial" w:hAnsi="arial" w:cs="arial"/>
          <w:i/>
          <w:color w:val="000000"/>
          <w:sz w:val="20"/>
          <w:lang w:val="en-US" w:eastAsia="en-US" w:bidi="ar-SA"/>
        </w:rPr>
        <w:t>master(s) of - hocus - pocus - (peacock)</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to subject to property data.</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escalating toward(s) dispute(s)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access to agricultural hayfield(s) denied past - 5 - (windowed) season(s) year(s) - 2009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- 2013 - as to - land lock - plaintiff - land portion parcel peninsula along and connected to the Salmon River.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Seemingly to have a prediction of - established and - controlled - intricate - formulated - planned - agenda of alteration(s) to the land(s)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conscious of guilt as rejection to repercussion(s)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as to - triple - complexed duplicity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remedy he seeks against the Laponders is at paragraph 30:</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defendant - Tim - Gaylene - [Laponder] - to provide a further - 10 - ton(s) of quality agricultural land crop feed(s) delivered to the plaintiff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further relief: punitive damage(s) - landlock - 2013 - July - 21 - cash deposit for land peninsula prime - hayfield - cut - rake condition - bale. Access denied; access denied to annexed land(s) to non - existent bridge area to land peninsula hayfield - (</w:t>
      </w:r>
      <w:r>
        <w:rPr>
          <w:rFonts w:ascii="arial" w:eastAsia="arial" w:hAnsi="arial" w:cs="arial"/>
          <w:i/>
          <w:color w:val="000000"/>
          <w:sz w:val="20"/>
          <w:lang w:val="en-US" w:eastAsia="en-US" w:bidi="ar-SA"/>
        </w:rPr>
        <w:t>a wonder to - mankind)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December 9, 2013, Mr. Justice Cole dismissed Action No. 14950 (Salmon Arm Registry) and ordered that Mr. Birkich pay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Birkich appealed Mr. Justice Cole's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respondents in Action No. 14953, Ali Aly, Lyn Aly and Reimax, made application for security of costs for the appeal. Madam Justice Saunders of the Appeal Court ordered security for costs and made these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pleadings that he submitted in that action are before me and they are, frankly, incomprehensible.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property that is central to Mr. Birkich's claim is registered to Pina and Michael Birkich, his mother and his brother. The Alys, who brought the application today, own property next door. Mr. Birkich removed a fence and survey markers from the Alys' property. The Alys conducted their own survey, which confirmed the original boundaries. Mr. Birkich commenced an action seeking financial relief against Mr. Aly, and that action was dismissed August 18,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On September 10, 2013, Mr. Birkich filed a notice of claim in this action. He claims financial relief, punitive damages, property loss, investment loss, and additional relief. That action was dismissed by an order pronounced on December 9, 2013, the order that he is appealing. He has been ordered to pay the Alys'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merits of the appeal appear dim from what I can see from the materials before me. I do not understand how Mr. Birkich can have a claim which would entitle him to the monies he claims when the property is owned by somebody else, and it seems that it is he who removed survey markers.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is significant that Mr. Birkich has not taken any further steps to advance the appeal. It seems to me that this is an appropriate case to order security for costs in this Court. Considering the information provided as to Mr. Birkich's means, I would order that Mr. Birkich post $5,000 as security for costs of the appeal, that those funds be posted with the Registrar of this Court, and that they be posted by August 29, 2014. In the event that they are not posted, the respondents are at liberty to apply to dismiss the appeal for noncompliance with the security for costs required by this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Birkich did not pursue 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5, 2013, Stanko Bell Birkich started Salmon Arm Action No. 15112 against the defendants described as "K-9 Dog Control (Pat Ellis/Josh Ellis) Tim - Gaylene [Laponder], Ali - Lynn - Aly Sibling of 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claim makes no sense. At best, it may be about pedigreed livestock.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appears from all of these lawsuits, amongst other matters, that the defendant in this lawsuit, Mr. Birkich, believes that the Laponder fences encroach upon the Birkich Property.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trespass onto the Laponder Property?</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cause damage to the Laponder Property?</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nature of the damages and the amount that should be assessed for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Laponder Property and the Birkich Property share a common boundary. The Laponder Property lies north of the Birkich Property. Robert Larose and Suzanne Irene Larose own land which is immediately west of the Laponder Property and Birkich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or about December 14, 2016, a neighbour, Mr. Weibe, telephoned Mr. Laponder and told him he witnessed Mr. Birkich tearing down his fence. Mr. Laponder could not see the fence area as trees on his property blocked his view of his fence. Mr. Laponder investigated and found his fence had been cut down, as well, on the southerly boundary of his property and the westerly boundary of his property. In addition, he found trees had been cut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or about December 16, 2017, Mr. Laponder confronted Mr. Birkich who admitted he cut down and destroyed the fences and trees on the Laponder Property. Mr. Birkich installed his own fences on the Laponder and Lerose Property, which were metal posts and barb wire.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fence cut down on the southerly part of the Laponder existed when the plaintiffs bought the property from the Melkoskes. Mr. Laponder maintained that fence line. Without that fence line, the Laponder cattle could not be contained.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Laponder provided photographs of the difference in the grass between the Birkich Property and Laponder Property. The Birkich Property had long grass on it; the Laponder Property had short grass as if grazed.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land surveyor, Russell Shortt, started to survey the boundary between the Laponder, Lerose and Birkich Property in 2015 for Mr. Birkich. It was completed September 19, 2016. This plan will be later referred to in Mr. Joseph Charles Johnson's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order to determine whether Mr. Birkich trespassed onto the Laponder Property, it must be determined where the boundaries are as between the Birkich Property and Laponder Property, and the Laponder and Lerose Property This leads to the expert evidence of Joseph Charles Johnson, an experienced and long-time land surveyor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LAND SURVEYOR, MR.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Johnson of Brown Johnson Land Surveyors prepared an expert report dated May 25, 2017. Part of that report is a survey plan headed "Site Plan of Fences along the west and north boundaries of the North 1/2 of the Northeast 1/4 of Section 16, Township 17, Range 11, W6M, Kamloops Division Yale District, Except (1) Plan A322 (2) Part of the South of CNR Right-of-Way shown on Plan A322" (the "Site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Johnson conducted his survey and made observations of the Birkich Property and the Laponder Property between March 21, 2017 and March 28,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Site Plan depicts on the southerly boundary of the Laponder Property two lines of cut off fences, as well as a line of old fence posts. These fence posts are on the boundary line that Mr. Johnson finds is between the Laponder and Birkich Properties. Similarly, on the west boundary of the Laponder Property is depicted on the Site Plan a line of cut off fence posts found by Mr. Johnson as the boundary between the Laponder and Lerose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Johnson locates on the Site Plan both the new metal and barb wire fences (noting that they are cut down on the southerly and westerly boundary of the Laponder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Johnson relied on and reviewed survey records from 1893 through to the present time, including his Site Plan of fences dated March 28, 2017. Of those references is a plan prepared by Jason Russell Shortt, a land surveyor, who prepared a posting plan EPP62513 for Mr. Birkich. Mr. Johnson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predominantly relied on survey evidence that is shown on Posting Plan EPP62513, completed by Jason Russell Shortt, BCLS on September 19th 2016, to make my determination of the North and West boundaries of the Birkich Premises. I reviewed this boundary determination and the accuracy of Plan EPP62513 by comparing it to Plan KAP48790, completed by myself on March 27th 1992. I also compared Plan EPP62513 to all of the records listed as 1 to 11 under the heading "Research", and find the boundaries as shown on Plan EPP62513 and My Site Plan of Fences to be consistent with all survey records. These survey records start with the original survey of the township and the sections and quarter sections contained within the township.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Phillips v. Keefe</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2012 BCCA 123</w:t>
        </w:r>
      </w:hyperlink>
      <w:r>
        <w:rPr>
          <w:rFonts w:ascii="arial" w:eastAsia="arial" w:hAnsi="arial" w:cs="arial"/>
          <w:color w:val="000000"/>
          <w:sz w:val="20"/>
          <w:lang w:val="en-US" w:eastAsia="en-US" w:bidi="ar-SA"/>
        </w:rPr>
        <w:t>, the Appeal Court said this about the burden of proof in adopting the trial judge's comments: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[68] In her reasons for judgment the learned trial judge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If a party chooses to dispute an established boundary line, that party bears the onus of proving on the balance of probabilities that the proposed new boundary is correct: </w:t>
      </w:r>
      <w:r>
        <w:rPr>
          <w:rFonts w:ascii="arial" w:eastAsia="arial" w:hAnsi="arial" w:cs="arial"/>
          <w:i/>
          <w:color w:val="000000"/>
          <w:sz w:val="20"/>
          <w:lang w:val="en-US" w:eastAsia="en-US" w:bidi="ar-SA"/>
        </w:rPr>
        <w:t>Palmer v. Thornbeck</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[1877] O.J. No. 170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Thelland</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Aqua Pura Salmon Ltd. v. Hooper</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2004 NBQB 224</w:t>
        </w:r>
      </w:hyperlink>
      <w:r>
        <w:rPr>
          <w:rFonts w:ascii="arial" w:eastAsia="arial" w:hAnsi="arial" w:cs="arial"/>
          <w:color w:val="000000"/>
          <w:sz w:val="20"/>
          <w:lang w:val="en-US" w:eastAsia="en-US" w:bidi="ar-SA"/>
        </w:rPr>
        <w:t xml:space="preserve">, McNally J. cited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with approval and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has long been established that in actions brought to determine the true boundary line between properties, the burden of proof lies upon the plaintiff who seeks to change the possession.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my view it matters not whether the party seeking to challenge settled possession is the plaintiff or the defendant in an action. Consistent with the presumption described in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the persuasive burden rests upon the party seeking to justify the change. In this case, the evidence demonstrates that from at least 1949 until Mr. Barnard's 1989 and 1990 surveys the Fence marked the generally accepted boundary between the two properties and thus settled possession. That being so, the party with the persuasive burden in this case is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Birkich has not met the burden of proof by proving the boundaries were not the original fence lines that he cut down. I conclude and declare that the boundary between the Laponder Property and the Birkich Property was as marked by wooden fence posts, part of which now stands or that stood between the properties prior to its removal on or about December 14,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also conclude and declare that the property between the Laponder Property and the Lerose Property is marked by the wooden posts fence that stood between the properties prior to its removal on or about December 14,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concluded that the boundaries on which the Laponder wooden fences were located on the northern and westerly boundaries of the Birkich Property were accurate and located on the Laponder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trespassed onto the Laponder Property and wrongfully cut down the plaintiffs' fences and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entered photographs of part of the old fence and the new metal fence erected by Mr. Birkich on the Laponder Property, both the southerly part and the westerly side of the Laponder Property. There are also photographs of the fence cut down with stumps left in the ground and barb wire and cut off posts heaped on the Laponder Property. From my observation of these photographs, the materials cannot be used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Laponder obtained an estimate of $8,797.32 from On Site Fencing to install a new fence. Mr. Laponder testified that the fence has not been constructed as yet because Mr. Birkich threatened that if a new one is installed, he will cut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Laponder Property was purchased in 1995. At that time, the fence was new. At the time it was cut down and destroyed by Mr. Birkich, it was a little over 20 years old. There was no evidence as to the life expectancy of this fence. It met the needs of the plaintiffs. At the same time, the installation of the new fence will provide the plaintiffs with a fence with a longer life. The original fence was posts and barb wire. The quote anticipates installing posts, barb wire and a gate. I will discount the fence due to its age and award damages to the plaintiffs for the fence of $7,000.00.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Birkich cut down four trees located on the Laponder Property. There is no evidence as to their species, their age or size. I award a nominal amount of $400.00 for the trees.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seek $20,000.00 for loss of income as Mr. Laponder was unable to buy cattle for the year 2017, graze them and then sell them. To support this claim, Mr. Laponder produced one page of his 2016 income tax return which shows he sold cattle and swine for the respective amounts of $17,977.15 and $4,360.00. These are gross sales. I reject this claim as Mr. Laponder does not provide the expenses he incurred for the cattle, such as their original cost, any veterinary expenses, feed and any other expenses. As a result, I award no amount for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the trial judge ordered punitive damages of $5,000.00 against Mr. Keefe who had torn down a neighbour's fence. On appeal, the Court set aside the award of punitive damages. In doing so, Chief Justice Finch stated: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The standard of review for an award of punitive damages is based on a "rational purpose" test: see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paras. 100-101, and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[111] In the circumstances of this case, I am not persuaded that the trial judge's award of punitive damages served a rational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As the majority held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punitive damages should be ordered "only in exceptional cases and with restraint" (para. 69). The facts of the present case are not sufficiently egregious to justify an award of this kind. At the time Mr. Keefe removed the fence, he had been told by Mr. Barnard, a qualified land surveyor, that it did not mark the true property line. Several of his neighbours had acted on Mr. Barnard's earlier survey to adjust their own boundaries. Furthermore, Mr. Barnard testified at trial that he had himself told Mr. Keefe it was unnecessary to obtain a permit in order to remove the fence. Although the plaintiffs' lawyer did send Mr. Keefe a letter warning him not to tear down the fence unilaterally, she did not provide any survey evidence to contradict Mr. Barnard's opinion.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[113] No doubt Mr. Keefe acted rashly in refusing the invitation to negotiate. He is paying for that error now, through a judgment made against him in trespass. However, this is not a case of an especially high-handed or arrogant course of conduct. On the evidence, it appears that Mr. Keefe had a good-faith reason to believe that he had acted within his own rights. In my view, the Supreme Court's direction to order punitive damages "only in exceptional cases and with restraint" does not permit such an award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Phillips, Mr. Keefe had an honest belief that the fence was on his property. This was based on advice he received from a land surveyor. Mr. Birkich does not find himself in the same position as Mr. Keefe in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A review of all the lawsuits initiated by Mr. Birkich shows that he has been on a campaign since 2009, alleging that the boundary between the Laponder Property and Birkich Property was inaccurate. At no time has Mr. Birkich ever explained why he believes this and persisted with this unfounded belief until he hired Mr. Shortt to do a boundary determination, which proved Mr. Birkich wrong and proved that the Laponder fences were on the boundaries between the Laponder Property and Birkich Property. Despite this knowledge, and several months later, he tore down and destroyed the Laponder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his Site Plan, Mr. Johnson made these notations "no evidence of Fd IP shown on Posting Plan EPP62513 in 2016". Further, he noted on his Site Plan "Fd IP out of position origin unknown". Mr. Johnson stated in response to a question posed by counsel for the plaintiffs in his report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notations "no evidence of Fd IP shown on Posting Plan EPP 625L3 in 2016" and "no evidence of Dominion Post shown on Posting Plan EPP625L3 are no longer in place at those locations and that there was no evidence remaining, such as a hole where the post had been pulled out. In my opinion, it is very unusual for there to be no evidence of survey posts from a survey that is less than a year old, where there is no evidence of machinery disturbing the ground in the area where the posts should have been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Mr. Birkich was well aware of Mr. Johnson's opinion (he had Mr. Johnson's opinion in his Book of Documents which was exhibit C to be identified). I conclude that on a balance of probabilities it was Mr. Birkich who removed the pins and moved the Fd IP out of position. This is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Birkich's behaviour is a "marked departure from the ordinary standards of decency":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Laponder testified that it has been stressful to him, emotionally and financially draining and a heart 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order punitive damages of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order that the defendant is prohibited from entering into the plaintiffs' property, except with the express permission of one or more of its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may retain a British Columbia land surveyor to place survey monuments on the westerly boundary between the Laponder Property, Birkich Property and Lerose Property in accordance with the lawful practices and requirements of the Association of the British Columbia Land Surveyors. As and from the time that such survey monuments are placed, the defendant is prohibited from interfering with the survey monuments and he shall not effect, touch or make contact with the survey monuments in any way, nor shall he encourage, solicit, permit or otherwise allow any other person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seek special costs. There is nothing to suggest that Mr. Birkich has defended this case in a manner that would attract special costs. Other than his bizarre Response to Civil Claim, which did not detract from the plaintiffs presenting their case, there was no evidence to suggest Mr. Birkich has defended this case in the manner which would attract special costs. On the day he participated in this trial, there was nothing he said or did that would cause me to award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award the plaintiffs' costs at Scale B of the </w:t>
      </w:r>
      <w:r>
        <w:rPr>
          <w:rFonts w:ascii="arial" w:eastAsia="arial" w:hAnsi="arial" w:cs="arial"/>
          <w:i/>
          <w:color w:val="000000"/>
          <w:sz w:val="20"/>
          <w:lang w:val="en-US" w:eastAsia="en-US" w:bidi="ar-SA"/>
        </w:rPr>
        <w:t>Supreme Court Civil</w:t>
      </w:r>
      <w:r>
        <w:rPr>
          <w:rFonts w:ascii="arial" w:eastAsia="arial" w:hAnsi="arial" w:cs="arial"/>
          <w:color w:val="000000"/>
          <w:sz w:val="20"/>
          <w:lang w:val="en-US" w:eastAsia="en-US" w:bidi="ar-SA"/>
        </w:rPr>
        <w:t xml:space="preserve">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up to and including the first day of trial. On the second and third day of trial, the plaintiff, Mr. Laponder, with his counsel and Mr. Johnson attended court so as to continue with this trial. For days two and three, I award special costs. In addition, the plaintiffs will have their reasonable disbursements which shall include the cost of Mr. Johnson's survey and for Mr. Johnson's three-day attendance 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Li v. John Doe 1, [2015] B.C.J. No. 1237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19-20,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M139442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2015 BCSC 1010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[2015] I.L.R. I-5756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2015 CarswellBC 1634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255 A.C.W.S. (3d) 193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51 C.C.L.I. (5th) 79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Hui Chao (Cindy) Li, Plaintiff, and John Doe 1, John Doe 2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10"/>
      <w:bookmarkEnd w:id="143"/>
      <w:r>
        <w:rPr>
          <w:rFonts w:ascii="arial" w:eastAsia="arial" w:hAnsi="arial" w:cs="arial"/>
          <w:b/>
          <w:color w:val="000000"/>
          <w:sz w:val="20"/>
          <w:lang w:val="en-US" w:eastAsia="en-US" w:bidi="ar-SA"/>
        </w:rPr>
        <w:t>Insurance law — Automobile insurance — Compulsory government schemes — Claims against parties unknown — Action by plaintiff for personal injuries sustained in accident with unknown driver dismissed — Plaintiff slowed for approaching fire truck and was rear-ended — Driver left scene without providing information — ICBC established plaintiff failed to take appropriate steps to ascertain driver's identity — Plaintiff never reported accident to police, did not canvass area or post notices, failed to contact fire crew member who witnessed accident, and did not determine whether accident was caught by security cameras — Advising ICBC of make of vehicle was insufficient — ICBC had no legal or equitable obligation to advise plaintiff of statutory requirements — Insurance Act, ss. 24, 24(5).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9"/>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Li, against the defendants, the ICBC and John Doe driver, for damages for personal injuries. In January 2010, the plaintiff was driving and slowed after hearing the siren of an approaching fire truck. Prior to stopping, the plaintiff's vehicle was struck from behind. The driver that struck the plaintiff left the area without providing his licence or registration information. The plaintiff sought damages from the ICBC pursuant to s. 24 of the Insurance Act. The ICBC took the position that the plaintiff failed to take all reasonable available steps to learn the identity of the driver. In response, the plaintiff submitted that the ICBC failed to advise her of the requirements to take steps to ascertain the driver's identity and therefore had waived or was estopped from relying on s. 24(5) as a defence to her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7"/>
            <w:bookmarkEnd w:id="14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conduct at the time of the accident was reasonable. Thereafter, the plaintiff's efforts to identify the other driver were comprised of contacting the fire department captain who witnessed the other motorist drive away, and conveying the make of the vehicle and description of the driver to the ICBC. The plaintiff did not contact another fire crew member who witnessed the accident, did not canvass homes in the area, and did not post signs in the vicinity of the accident. The plaintiff never reported the accident to police and failed to determine whether the accident was caught by nearby security cameras. The plaintiff failed to establish that she made all reasonable efforts to ascertain the identity of the unknown owner and driver of the vehicle that struck her or that the identity of that person was not ascertainable. The ICBC had no statutory or equitable obligation to advise the plaintiff of the risks of failing to meet the technical requirements under s. 24(5) of the Act. The imposition of any such obligation was a matter for the legislature to address. There was no conduct by the ICBC supporting the plaintiff's claims of waiver or estoppel.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Legislation Cited_9"/>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264" w:history="1">
        <w:r>
          <w:rPr>
            <w:rFonts w:ascii="arial" w:eastAsia="arial" w:hAnsi="arial" w:cs="arial"/>
            <w:i/>
            <w:color w:val="0077CC"/>
            <w:sz w:val="20"/>
            <w:u w:val="single"/>
            <w:shd w:val="clear" w:color="auto" w:fill="FFFFFF"/>
            <w:lang w:val="en-US" w:eastAsia="en-US" w:bidi="ar-SA"/>
          </w:rPr>
          <w:t>R.S.C. 1985, c. C-46, s. 252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265"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24(2), s. 24(5), s. 24(7)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10"/>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Albertson.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 Amendolagine.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10"/>
      <w:bookmarkEnd w:id="148"/>
      <w:r>
        <w:pict>
          <v:line id="_x0000_s1088"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T.C. ARMSTRONG J."/>
            <w:bookmarkEnd w:id="149"/>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10, 2010 the plaintiff was driving her car in New Westminster, B.C. when she heard the siren of an approaching fire engine. She slowed her vehicle and before she came to a stop her car was car struck from behind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never able to identify the driver of the car that struck her vehicle because he left the area without providing his driver's licence or vehicle registration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has suffered injuries and seeks damages against ICBC as the nominal defendant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ICBC rejects the claim and takes the position that the plaintiff failed to take all reasonable steps available to her to learn the identity of the driver and/or owner of the vehicle that struck her, as required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argues s. 24(5) bars the Court from granting judgment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trial proceeded on an agreed statement of facts. Liability for the collision is not in issue and these reasons will address the question of the sufficiency of the plaintiff's efforts to identify the owner or driver of the car that hit her as required under the provisions of s. 24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raises two issues in her submissions. First, I must decide whether the plaintiff took all reasonable steps to identify the motorist who caused this accident. If I conclude that she did not take all reasonable steps, then I am asked to consider if because of ICBC's conduct, including its failure to advise the plaintiff of the requirements under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waived its rights to rely on ss. (5) as a defence,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is estopped from relying on ss. (5)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a 44-year-old certified general accountant. She immigrated to Canada and speaks English but not fluently.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Immediately before to the collision, the plaintiff was returning to her home in Burnaby and was driving in the centre northbound lane of McBride Blvd. She was approaching the intersection with Sixth Avenue ("the intersection") when she heard a fire engine siren coming toward her. It was between 5:00 and 6:00 p.m. and she was several car lengths south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slowed her vehicle but had not stopped when her car was struck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the impact occurred there were no vehicles between the plaintiff's car and the intersection. It is agreed that the intersection was/is busy for vehicles, especially during rush hour, and there were other cars to her right that had stopped due to the fire siren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exited her vehicle and walked back to speak with the driver of the car behind her. She had a hurried view of the driver and described him as a young man driving a small black sports car. The driver appeared frustrated and told the plaintiff to pull over. The plaintiff returned to her car and was preparing to lead the other vehicle to a safe place to exchange information when he pulled out and drove past her, turning right onto Sixth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followed the vehicle around the corner but before she made her turn, the other vehicle had disappeared. She continued along Sixth Avenue for approximately one block but was not able to locate the sports car that had collided with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then returned to the fire hall located on the north side of Sixth Avenue several yards away from the intersection at McBride Blvd. where she met the fire hall captain, Captain Price. He told her he had contacted a crew member of the fire truck that had passed by going southbound on McBride Blvd. at the time of the accident. The captain was informed by a crew member that he had seen the accident and observed that the other vehicle was a "black Alfa Romeo". The plaintiff was not informed of the name of the crew member who had witnessed the accident but she obtained Captain Price's name, telephone number and file number which she subsequently provided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the plaintiff made no further attempt to contact Captain Price nor did she make any other inquiry to obtain the name of his crew member who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did not report the incident to the police and did not obtain information from any other motorists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area close to the intersection of McBride Blvd. and Sixth Avenue there are three large townhome/condominium complexes on the southwest and northeast corners of the intersection. There is a portion of Queen's Park, with walking trails and a bus stop, on the southeast corner of the intersection. On the north east corner of the intersection there is a park area adjacent to the fire hall located on Sixth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were a number of businesses close to the scene of the accident including a McDonald's restaurant and gas station at the northwest corner of McBride Blvd. and Eighth Avenue. This is approximately 500 meters from the intersection with Sixth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also a shopping centre at the southwest corner of McBride Blvd. and Eighth Avenue which is composed of a Safeway store, BC Liquor Store, Starbucks coffee store and a Dollar Store. These businesses are all 500 meters from the intersection at Sixth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 Canada Games Pool and parking lot located on Sixth Avenue approximately 200 meters from the intersection with Sixth Avenue. The parking lot is adjacent to the fire hall located at Sixth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Justice Institute of BC is located on the north side of McBride Blvd. between Seventh Avenue and Eighth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did not attend any nearby businesses or residences to inquire whether anyone had witnessed the accident. She did not post signs at the accident scene or place any advertisements in the newspaper asking for witnesses to the accident or with information about the accident to contact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day following the collision, the plaintiff reported the accident to ICBC by telephone. The report form indicates that she reported "H and R?" she was asked for the licence plate number of the other car; she said she had been unable to obtain the suspect vehicle's licence number. She did not provide a police file number nor did ICBC ask her to provide a police number to ICBC. The ICBC Claim File Report does not address the plaintiff's obligations under s. 24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was no communication between the plaintiff and ICBC between January 11, 2010 and January 19, 2010. On the latter date, the plaintiff met with Jane Potter, an adjuster, and provided a statement which included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car was a small, black convertible; after the impact she got out and went back to the other vehicle; the driver was in his 20s, Caucasian and had dark curly hair; there were no passengers in the other vehicle; she had some pain in her back a bit but did not think it was from the accident. She was there to claim for damage to the rear bumper of her car.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tried to exchange information with the other driver who told her to pull over. She did not get the licence plate number of the car that hit her because they were going to exchange information when they pulled over and then he drove away. When she got out of her car, officers came out of the fire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Potter attempted to contact Capt. Price on January 22, 2010. She had some difficulty contacting Capt. Price. She did not advise the plaintiff to contact Capt. Price directly or to contact the crew member who witnessed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Potter also issued a look-out to ICBC generally with respect to "black sports car -- Caucasian driver -- young curly hair... -- Alfa Romeo? Convertible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no response and no evidence of any search for ICBC intakes to confirm whether or not the black Alfa Romeo was ever presented to ICBC for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February 9, 2010 the plaintiff asked the adjuster if there were cameras at the accident scene; the plaintiff was advised that it was possible there were red light cameras at the next intersection but they would only pick up images of red light runners. Neither the plaintiff nor ICBC made any effort to find film footage of the intersection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went to a physiotherapist on or about February 5, 2010 and the therapist contacted Ms. Potter to obtain approval to treat the plaintiff. On February 14, 2010 the plaintiff completed eight "CL -- 22" forms confirming that she had injuries from the accident and had lost time from work. The plaintiff was approved for 10 further physiotherapy treatments beginning April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Naidu, Ms. Potter's successor on the file, eventually received a message from Capt. Price that none of his staff obtained the licence plate number of the unidentified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Between February and October 2010, four different ICBC staff were adjusting the plaintiff's claim. In the spring the plaintiff continued to receive physiotherapy treatments paid for by ICBC. In mid-April 2010 the plaintiff was informed that the other driver's licence plate number had not been obtained and the value of damage to her car was less than her personal deductible. She was told that her bodily injury claim would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October 28, Ramona Bieir, Ms. Naidu's successor to the plaintiff's file at ICBC, informed the plaintiff that, although she had time, she had failed to obtain the unidentified driver's licence plate at the scene of the accident and had lost her right to claim under the" hit and run"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Her claim would continue as a collision claim but because she had no collision coverage she would be required to pay for her own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no time prior to October 28, 2010 was the plaintiff told that she had obligations under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her tort claim was not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position was repeated by the ICBC adjuster on January 31, 2011. ICBC confirmed that her claim was to be processed as a collision claim. On April 4, 2011 the plaintiff advised the ICBC adjuster she wanted compensation for losing her job; she was told that ICBC "does not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Nothing in the telephone or personal exchanges between the plaintiff and ICBC informed the plaintiff of her obligations under s. 24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contends that she took all reasonable efforts to ascertain the identity of the other driver. The test for determining "reasonable" does not demand perfection and the analysis should weigh the probable benefit of any particular course of action which is measured by the likelihood of some benefit being gained and the size of the benefit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contends that rational people, considering the severity of her injuries, would not have taken any steps other than reporting the claim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claims that there would have been no reasonable benefit in canvassing the neighbourhood because the accident was minor and it was unlikely witnesses would have seen the incident. She claims it is unlikely that any witness would have had a reason to record the licence plate of the unidentified driver. She suggests that the nearby residences would not have been visible from the scene of the accident and lighting would have made observation unlikely. Finally she says that the closest businesses were 200 meters away and the Justice Institute and McDonald's were even further from the intersection, so it is unlikely witnesses would be found at those locations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also says that there was no likely benefit in posting signs. She contends it is unlikely that a sign would have prompted any witness to come forward, in part because it is unlikely that any witnesses would have taken the other vehicle's licence number. She also contends that advertising would have been of no benefit for the same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She argues that the description of reasonable measures mentioned by Smith J.A. in </w:t>
      </w:r>
      <w:r>
        <w:rPr>
          <w:rFonts w:ascii="arial" w:eastAsia="arial" w:hAnsi="arial" w:cs="arial"/>
          <w:i/>
          <w:color w:val="000000"/>
          <w:sz w:val="20"/>
          <w:lang w:val="en-US" w:eastAsia="en-US" w:bidi="ar-SA"/>
        </w:rPr>
        <w:t>Nicholls v. Insurance Corporation of British Columbia,</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2011 BCCA 422</w:t>
        </w:r>
      </w:hyperlink>
      <w:r>
        <w:rPr>
          <w:rFonts w:ascii="arial" w:eastAsia="arial" w:hAnsi="arial" w:cs="arial"/>
          <w:color w:val="000000"/>
          <w:sz w:val="20"/>
          <w:lang w:val="en-US" w:eastAsia="en-US" w:bidi="ar-SA"/>
        </w:rPr>
        <w:t xml:space="preserve"> includes consideration of the subjective confusion created by ICBC's involvement. She contends that her subjective circumstances include the element of confusion created by ICBC's involvement in the investigatory process. She contends that once ICBC took steps toward investigating the identity of the other driver, it was not unreasonable for her to stay away from that part of the investigation. Similarly, ICBC contacted the fire department and there was no probable benefit in her duplicating their effort. She argues that her report to ICBC would logically have resulted in ICBC contacting the police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recognizes that ICBC has no legal duty to explain her responsibilities under s. 24(5), however she contends that ICBC has an equitable duty to inform claimants of their obligations under s. 24(5). ICBC is in the best position to inform claimants of the rather obscure provision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citizens likely rely on ICBC to assist them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argues that ICBC's words or conduct led the plaintiff to believe that ICBC was not going to insist on strict application of the requirements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Thus she argues an equity was raised with respect to the exercise of rights. She argues "one would expect, given the purported importance of reports to police, that ICBC would make the best use of that first call and take steps to ensure the claimant knows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all of her dealings with ICBC up until October 28, 2010 when her claim under s. 24 was denied she was not advised that if she had failed to get the other driver's licence number or take steps to identify as described s. 24(5) that she would lose her right to claim a hit-and-run. The plaintiff relied on </w:t>
      </w:r>
      <w:r>
        <w:rPr>
          <w:rFonts w:ascii="arial" w:eastAsia="arial" w:hAnsi="arial" w:cs="arial"/>
          <w:i/>
          <w:color w:val="000000"/>
          <w:sz w:val="20"/>
          <w:lang w:val="en-US" w:eastAsia="en-US" w:bidi="ar-SA"/>
        </w:rPr>
        <w:t>Dunn v. Vicars,</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2009 BCCA 477</w:t>
        </w:r>
      </w:hyperlink>
      <w:r>
        <w:rPr>
          <w:rFonts w:ascii="arial" w:eastAsia="arial" w:hAnsi="arial" w:cs="arial"/>
          <w:color w:val="000000"/>
          <w:sz w:val="20"/>
          <w:lang w:val="en-US" w:eastAsia="en-US" w:bidi="ar-SA"/>
        </w:rPr>
        <w:t xml:space="preserve"> for the proposition that ICBC is estopped from raising ss. (5)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She also contends that Barrow J.'s comments in </w:t>
      </w:r>
      <w:r>
        <w:rPr>
          <w:rFonts w:ascii="arial" w:eastAsia="arial" w:hAnsi="arial" w:cs="arial"/>
          <w:i/>
          <w:color w:val="000000"/>
          <w:sz w:val="20"/>
          <w:lang w:val="en-US" w:eastAsia="en-US" w:bidi="ar-SA"/>
        </w:rPr>
        <w:t>Tessier v. Vancouver (City),</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2002, 48 C.C.L.I. (2d) 273</w:t>
        </w:r>
      </w:hyperlink>
      <w:r>
        <w:rPr>
          <w:rFonts w:ascii="arial" w:eastAsia="arial" w:hAnsi="arial" w:cs="arial"/>
          <w:color w:val="000000"/>
          <w:sz w:val="20"/>
          <w:lang w:val="en-US" w:eastAsia="en-US" w:bidi="ar-SA"/>
        </w:rPr>
        <w:t xml:space="preserve"> (B.C.S.C.) underscore a serious policy consideration that should be addressed by ICBC. In obiter,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am troubled by the issue of costs. </w:t>
      </w:r>
      <w:r>
        <w:rPr>
          <w:rFonts w:ascii="arial" w:eastAsia="arial" w:hAnsi="arial" w:cs="arial"/>
          <w:color w:val="000000"/>
          <w:sz w:val="20"/>
          <w:u w:val="single"/>
          <w:lang w:val="en-US" w:eastAsia="en-US" w:bidi="ar-SA"/>
        </w:rPr>
        <w:t>If it had been established that the plaintiff had attended at the Insurance Corporation of British Columbia and dealt with its agents and that she, as an elderly woman, had not been advised of the requirements of section 24(5), an award of costs may well not have been made. In saying that I would not for a moment impose an obligation on the Insurance Corporation of British Columbia to advise someone as to how they might discharge the obligation of section 24(5)</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It does not, however, seem to me to be overreaching to simply point out the provisions to an unrepresented elderly claimant who to any reasonable observer may well be relying prudently or otherwise on the representations of the Insurance Company's employees</w:t>
      </w:r>
      <w:r>
        <w:rPr>
          <w:rFonts w:ascii="arial" w:eastAsia="arial" w:hAnsi="arial" w:cs="arial"/>
          <w:color w:val="000000"/>
          <w:sz w:val="20"/>
          <w:lang w:val="en-US" w:eastAsia="en-US" w:bidi="ar-SA"/>
        </w:rPr>
        <w:t>. Counsel for the Insurance Corporation quite rightly points out that there is no obligation on the Insurance Company's employees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On the other hand, if that step is not taken, and I pause to note it does not appear to me to be a particularly onerous requirement, to remain silent and thereafter rely on the plaintiff's failure when seeking to be removed as a defendant in a subsequent lawsuit is not a circumstance</w:t>
      </w:r>
      <w:r>
        <w:rPr>
          <w:rFonts w:ascii="arial" w:eastAsia="arial" w:hAnsi="arial" w:cs="arial"/>
          <w:color w:val="000000"/>
          <w:sz w:val="20"/>
          <w:lang w:val="en-US" w:eastAsia="en-US" w:bidi="ar-SA"/>
        </w:rPr>
        <w:t>, in my view, which would render an award of costs appropriate. I am unable to conclude on the circumstances before me that that is what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also relied on </w:t>
      </w:r>
      <w:r>
        <w:rPr>
          <w:rFonts w:ascii="arial" w:eastAsia="arial" w:hAnsi="arial" w:cs="arial"/>
          <w:i/>
          <w:color w:val="000000"/>
          <w:sz w:val="20"/>
          <w:lang w:val="en-US" w:eastAsia="en-US" w:bidi="ar-SA"/>
        </w:rPr>
        <w:t>Springer v. Kee,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2012 BCSC 1210</w:t>
        </w:r>
      </w:hyperlink>
      <w:r>
        <w:rPr>
          <w:rFonts w:ascii="arial" w:eastAsia="arial" w:hAnsi="arial" w:cs="arial"/>
          <w:color w:val="000000"/>
          <w:sz w:val="20"/>
          <w:lang w:val="en-US" w:eastAsia="en-US" w:bidi="ar-SA"/>
        </w:rPr>
        <w:t xml:space="preserve"> to the effect that, although ICBC is not obliged to warn claimants how to discharge their ongoing obligations under s. 24, as the public insurer their communications should at least include a warning about the prerequisites that a claimant must meet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argues that under s. 24 plaintiffs are obliged to make all reasonable efforts to establish the identity of the driver at the scene of the accident and in the days or weeks following the accident. The plaintiff failed to make any efforts at either time. One of the plaintiff's most serious errors was failing to inform the police of the accident. If she had notified the police, it is not unreasonable to think that their investigatory resources may have located the driver of the unidentified vehicle soon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contends that the plaintiff was obliged to:</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the incident to the police and ICBC and follow up on inquiries with those organizations;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signs at the busy intersection close by the scene of the incident;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canvass regular patrons of the businesses, residences and institutions in the vicinity.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for the helpful discussion concerning reasonable steps necessary to perfect a claim for damages caused by an unidentified motorist. The defendant argues that some or all of the steps referred to above represented the logical, sensible and fair efforts that should have been expended by her to obtain the identity of the owner or driver of the vehicle. The defence says that none of the steps were whimsical, frivolous or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concedes that, in some circumstances, posting signs or placing ads is a fruitless exercise. The cases in which that conclusion was reached, however, are factually limited to accidents occurring on freeways or other places, where vehicles are travelling at high rates of speed or in remote locations where there is no practical or reasonable chance of identifying a witness. The defendant contends this was neither an isolated area nor a place where there was fast-moving traffic. The argument is that during busy rush-hour periods it would be reasonable to expect that vehicles would stop at or near the stop light at the intersection and if signs were posted, an observant motorist might have responded to such an inquiry. Further it is reasonable to conclude that during rush hour motorists and others would use that part of the road repeatedly during commutes to and from work and would be more likely to see and respond to a notice looking for witnesses. The defendant concludes that posting signs would have been a reasonable measure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also contends that the plaintiff's failure to report the accident to the police on January 10 or at any time shortly after deprived the police of an opportunity to locate the unidentified driver in the minutes or hours shortly after the collision. As noted in </w:t>
      </w:r>
      <w:r>
        <w:rPr>
          <w:rFonts w:ascii="arial" w:eastAsia="arial" w:hAnsi="arial" w:cs="arial"/>
          <w:i/>
          <w:color w:val="000000"/>
          <w:sz w:val="20"/>
          <w:lang w:val="en-US" w:eastAsia="en-US" w:bidi="ar-SA"/>
        </w:rPr>
        <w:t>Becker v. v. Insurance Corp. of British Columbia</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claimants are obliged to follow up with police investigations before abandoning efforts to identify the driver. That did not occur in this case because no report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argues that ICBC has no obligation to inform potential claimants of the requirements of s. 24(5) and there is no basis to invoke the principles of waiver or estoppel. The defendant says that the plaintiff cannot rely on the comments or inquiries of the ICBC adjuster as excusing her failure to take all reasonable steps for the reasons set out in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Meghi v.Insruance Corp. of Brisitsh Columbia,</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[1998] B.C.J. No. 3107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Moreover, the defendant argues that potential claimants cannot rely on the failure of ICBC to assist in the inquiry as to the identity of the other motorist. Thus, when ICBC reported on the results of their inquiry with Captain Price, it was not reasonable for the claimant to abandon any other efforts in some mistaken belief that ICBC was protecting her interests. For example, ICBC may have been pursuing efforts to settle the claim under the statutory authority of s. 24(7)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independent of any consideration of the claimant's obligations: see: </w:t>
      </w:r>
      <w:r>
        <w:rPr>
          <w:rFonts w:ascii="arial" w:eastAsia="arial" w:hAnsi="arial" w:cs="arial"/>
          <w:i/>
          <w:color w:val="000000"/>
          <w:sz w:val="20"/>
          <w:lang w:val="en-US" w:eastAsia="en-US" w:bidi="ar-SA"/>
        </w:rPr>
        <w:t>Grant v. Slater,</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2001 BCSC 1409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benefits available to an accident victim unable to identify the negligent driver are part of the overall public automobile insurance scheme available in British Columbia. The provisions in s. 24(5) that prevent the court granting judgment unless the identity of the negligent driver is not ascertainable and the plaintiff has made all reasonable efforts to discover the identity are an important feature of the system.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vehicle on a highway in British Columbia and</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vehicle are not known or ascertainable, recovery for property damage is limited to the amount by which the damages exceed the prescribed amount.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vehicle, but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the corporation may deny generally the allegations in respect of the unidentified vehicle and its owner and driver, and need not set out the facts on which it relies.</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1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identity of the unknown owner or driver is ascertained before judgment is granted in an action against the insurer as nominal defendant, then, despite the limitation period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that owner or driver must be added as a defendant in the action in substitution for the corporation, subject to the conditions the court may specify.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at any stage, compromise and settle the claim of a person entitled to commence an action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is helpful to recognize that ss. 24(2) and 24(7)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highlight different features of s. 24. Section 24(2) prescribes a six month notice be given as a condition precedent to the commencement of proceedings against ICBC. Section 24(7)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permits ICBC to settle a plaintiff's claim at any stage before judgment is given by the court. If a trial proceeds, then the plaintiff is obliged to prove that damages were suffered 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motorist and, under ss. (5), if those facts are proven, there can be no judgment against ICBC as the nominal defendant unless the court reaches the further conclusion that the plaintiff took all reasonable steps to ascertain the identity of the negligent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 have been a plethora of decisions concerning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including the Court of Appeal decisions in </w:t>
      </w:r>
      <w:r>
        <w:rPr>
          <w:rFonts w:ascii="arial" w:eastAsia="arial" w:hAnsi="arial" w:cs="arial"/>
          <w:i/>
          <w:color w:val="000000"/>
          <w:sz w:val="20"/>
          <w:lang w:val="en-US" w:eastAsia="en-US" w:bidi="ar-SA"/>
        </w:rPr>
        <w:t>Nicholls v. Insurance Corporation of British Columbia,</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2011 BCCA 422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 v. Doe,</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BCSC 253</w:t>
        </w:r>
      </w:hyperlink>
      <w:r>
        <w:rPr>
          <w:rFonts w:ascii="arial" w:eastAsia="arial" w:hAnsi="arial" w:cs="arial"/>
          <w:color w:val="000000"/>
          <w:sz w:val="20"/>
          <w:lang w:val="en-US" w:eastAsia="en-US" w:bidi="ar-SA"/>
        </w:rPr>
        <w:t>. An important feature of many of these cases is the absence of awareness by the injured claimant of their obligations under s. 24(5) to take steps to identify the unidentified negligent driver or owner of the vehicle that caused an accident. Often, claimants have reported their accidents to ICBC and the police but failed to take other steps typically deemed reasonable to identify the tortfeasor. On some occasions ICBC might have lulled the plaintiff into inactivity and in other case adjusters simply avoid any discussion of a plaintiff's obligation under s. 24. The results of either approach seem to work considerable hardship on the uninformed motorist because delay in taking steps can be fatal to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analysis of this claim is informed by the Court of Appeal decision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[1992] B.C.J. No. 2048</w:t>
        </w:r>
      </w:hyperlink>
      <w:r>
        <w:rPr>
          <w:rFonts w:ascii="arial" w:eastAsia="arial" w:hAnsi="arial" w:cs="arial"/>
          <w:color w:val="000000"/>
          <w:sz w:val="20"/>
          <w:lang w:val="en-US" w:eastAsia="en-US" w:bidi="ar-SA"/>
        </w:rPr>
        <w:t xml:space="preserve"> which sets out the policy and purpose behind s.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section provides a means by which a person who has suffered injury or property damage in a motor vehicle accident may obtain compensation from the government insurer even though the driver said to be at fault, and the owner of the vehicle which was being driven by that person, are insured in another jurisdiction or not insured at all, even though the corporation will, in any event, be unable to look to the other driver for assistance in resisting the claim, and even though the corporation will be unable to obtain reimbursement in the event the other driver is uninsured or there has been a policy breach, or to obtain contribution by way of increased premiums through forfeiture of the other party's "safe driving" discount. </w:t>
      </w:r>
      <w:r>
        <w:rPr>
          <w:rFonts w:ascii="arial" w:eastAsia="arial" w:hAnsi="arial" w:cs="arial"/>
          <w:color w:val="000000"/>
          <w:sz w:val="20"/>
          <w:u w:val="single"/>
          <w:lang w:val="en-US" w:eastAsia="en-US" w:bidi="ar-SA"/>
        </w:rPr>
        <w:t>As the trial judge recognized, protection against fraudulent claims is only one of the purposes of the requirement that the claimant show inability to identify the other driver and owner as a condition of being able to claim under the section. In my view the overall purpose of the section is to limit the exposure of the corporation to claims brought by persons who, in the matter of seeking to identify those responsible for the accident, have done everything they reasonably could to protect what ordinarily would be their own interests, and which, by virtue of the section, become the interests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 do not think the words "not ascertainable" should be strictly interpreted, so as to mean "could not possibly have been ascertained". I think they are to be interpreted with reference to subs. (5) so as to mean "could not have been ascertained had the claimant made all reasonable efforts, having regard to the claimant's position, to discover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plaintiff's obligation was described by Goepel J. (as he then was) in </w:t>
      </w:r>
      <w:r>
        <w:rPr>
          <w:rFonts w:ascii="arial" w:eastAsia="arial" w:hAnsi="arial" w:cs="arial"/>
          <w:i/>
          <w:color w:val="000000"/>
          <w:sz w:val="20"/>
          <w:lang w:val="en-US" w:eastAsia="en-US" w:bidi="ar-SA"/>
        </w:rPr>
        <w:t>Nelson v. Insurance Corp. of British Columbia</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2003 BCSC 121</w:t>
        </w:r>
      </w:hyperlink>
      <w:r>
        <w:rPr>
          <w:rFonts w:ascii="arial" w:eastAsia="arial" w:hAnsi="arial" w:cs="arial"/>
          <w:color w:val="000000"/>
          <w:sz w:val="20"/>
          <w:lang w:val="en-US" w:eastAsia="en-US" w:bidi="ar-SA"/>
        </w:rPr>
        <w:t>, where 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onus is on the plaintiff to establish that she made all reasonable efforts to establish the identity of the driver. Although each case must be decided on its own facts, the authorities indicate that the onus is not one easily displaced, even in circumstances in which the unidentified vehicle has fled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Goepel J. also notes, at para. 18, that the plaintiff's obligation following an accident to use all reasonable efforts to ascertain the identity of the driver is a continuing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the Court similarly pointed out that the duty to make reasonable efforts is ongoing: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plaintiff's duty is to make all reasonable efforts to identify the other party involved in the collision. This is a continuing obligation that first arises at the scene of the collision and continues for a reasonable time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Slezak v. ICBC,</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2003 BCSC 1679</w:t>
        </w:r>
      </w:hyperlink>
      <w:r>
        <w:rPr>
          <w:rFonts w:ascii="arial" w:eastAsia="arial" w:hAnsi="arial" w:cs="arial"/>
          <w:color w:val="000000"/>
          <w:sz w:val="20"/>
          <w:lang w:val="en-US" w:eastAsia="en-US" w:bidi="ar-SA"/>
        </w:rPr>
        <w:t xml:space="preserve"> also noted at para. 42 that the obligation to make reasonable efforts extends beyond the time of the accident and its immediate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Ker J. provided a thorough summary of the authorities on the assessment of reasonable efforts contemplated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at para. 55:</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depending on the plaintiff's condition at the scene of the accident, it may not be realistic to expect the plaintiff to obtain particulars as to the identity of the offending driver particularly where the plaintiff is in shock or confused or injured: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Hocaluk</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[2007] B.C.J. No. 227</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Ingram v. ICBC</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(1994), 45 B.C.A.C. 218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Ingram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Holloway v. ICBC</w:t>
      </w:r>
      <w:r>
        <w:rPr>
          <w:rFonts w:ascii="arial" w:eastAsia="arial" w:hAnsi="arial" w:cs="arial"/>
          <w:color w:val="000000"/>
          <w:sz w:val="20"/>
          <w:lang w:val="en-US" w:eastAsia="en-US" w:bidi="ar-SA"/>
        </w:rPr>
        <w:t xml:space="preserve">,2007 BCCA 175 (CanLII), at para. 14; </w:t>
      </w:r>
      <w:r>
        <w:rPr>
          <w:rFonts w:ascii="arial" w:eastAsia="arial" w:hAnsi="arial" w:cs="arial"/>
          <w:i/>
          <w:color w:val="000000"/>
          <w:sz w:val="20"/>
          <w:lang w:val="en-US" w:eastAsia="en-US" w:bidi="ar-SA"/>
        </w:rPr>
        <w:t>Larsen v. Doe</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2010 BCSC 333</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Larsen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Becker v. ICBC</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19-20.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record a licence plate number at the time of the accident when the plaintiff has the opportunity to do so or obtain information as to the driver's identity, either personally or through the assistance of others, but does not take advantage of the opportunity amounts to a failure to take reasonable steps at the time of the accident: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[2003] B.C.J. No. 2766</w:t>
        </w:r>
      </w:hyperlink>
      <w:r>
        <w:rPr>
          <w:rFonts w:ascii="arial" w:eastAsia="arial" w:hAnsi="arial" w:cs="arial"/>
          <w:color w:val="000000"/>
          <w:sz w:val="20"/>
          <w:lang w:val="en-US" w:eastAsia="en-US" w:bidi="ar-SA"/>
        </w:rPr>
        <w:t xml:space="preserve"> at paras. 23-24; </w:t>
      </w:r>
      <w:r>
        <w:rPr>
          <w:rFonts w:ascii="arial" w:eastAsia="arial" w:hAnsi="arial" w:cs="arial"/>
          <w:i/>
          <w:color w:val="000000"/>
          <w:sz w:val="20"/>
          <w:lang w:val="en-US" w:eastAsia="en-US" w:bidi="ar-SA"/>
        </w:rPr>
        <w:t>Watson v. Insurance Corporation of British Columbia</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2004 BCSC 1695</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Cannon v. ICBC,</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2005 BCSC 602</w:t>
        </w:r>
      </w:hyperlink>
      <w:r>
        <w:rPr>
          <w:rFonts w:ascii="arial" w:eastAsia="arial" w:hAnsi="arial" w:cs="arial"/>
          <w:color w:val="000000"/>
          <w:sz w:val="20"/>
          <w:lang w:val="en-US" w:eastAsia="en-US" w:bidi="ar-SA"/>
        </w:rPr>
        <w:t xml:space="preserve"> (CanLII);</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notifying the police of the accident may not be sufficient to satisfy the requirements of s. 24(5):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18;</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 does not put the responsibility to find the unidentified driver on the police; rather the responsibility lies with the plaintiff: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17;</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does notify the police of the accident, it is not reasonable for them to simply assume the police will make the necessary inquiries without following up with the police and checking to see if there was an investigation and if so what progress was being made in it: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at paras. 17-18;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at para 23;</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reporting the matter to the police and ICBC, without more, has led to the dismissal of a plaintiff's action for failure to comply with the requirement of taking all reasonable steps to ascertain the identity of the driver: </w:t>
      </w:r>
      <w:r>
        <w:rPr>
          <w:rFonts w:ascii="arial" w:eastAsia="arial" w:hAnsi="arial" w:cs="arial"/>
          <w:i/>
          <w:color w:val="000000"/>
          <w:sz w:val="20"/>
          <w:lang w:val="en-US" w:eastAsia="en-US" w:bidi="ar-SA"/>
        </w:rPr>
        <w:t>Meghji v. ICBC,</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[1998] B.C.J. No. 3107</w:t>
        </w:r>
      </w:hyperlink>
      <w:r>
        <w:rPr>
          <w:rFonts w:ascii="arial" w:eastAsia="arial" w:hAnsi="arial" w:cs="arial"/>
          <w:color w:val="000000"/>
          <w:sz w:val="20"/>
          <w:lang w:val="en-US" w:eastAsia="en-US" w:bidi="ar-SA"/>
        </w:rPr>
        <w:t xml:space="preserve"> (P.C.) (QL);</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police attend the scene of the accident and take witness statements and indicate they are investigating the hit and run accident, it may not be necessary for the plaintiff to take any additional steps, depending on the circumstances: </w:t>
      </w:r>
      <w:r>
        <w:rPr>
          <w:rFonts w:ascii="arial" w:eastAsia="arial" w:hAnsi="arial" w:cs="arial"/>
          <w:i/>
          <w:color w:val="000000"/>
          <w:sz w:val="20"/>
          <w:lang w:val="en-US" w:eastAsia="en-US" w:bidi="ar-SA"/>
        </w:rPr>
        <w:t>Hough v. Doe</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at paras. 16-17 &amp; 21; </w:t>
      </w:r>
      <w:r>
        <w:rPr>
          <w:rFonts w:ascii="arial" w:eastAsia="arial" w:hAnsi="arial" w:cs="arial"/>
          <w:i/>
          <w:color w:val="000000"/>
          <w:sz w:val="20"/>
          <w:lang w:val="en-US" w:eastAsia="en-US" w:bidi="ar-SA"/>
        </w:rPr>
        <w:t>Ingram</w:t>
      </w:r>
      <w:r>
        <w:rPr>
          <w:rFonts w:ascii="arial" w:eastAsia="arial" w:hAnsi="arial" w:cs="arial"/>
          <w:color w:val="000000"/>
          <w:sz w:val="20"/>
          <w:lang w:val="en-US" w:eastAsia="en-US" w:bidi="ar-SA"/>
        </w:rPr>
        <w:t xml:space="preserve"> at para. 13;</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placed in a position of danger at the time of the accident cannot be expected to remain in that position to obtain details of a licence plate and movement to a position of safety before trying to obtain any licence information does not constitute a failure to take reasonable steps at the scene of the accident: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19-20;</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posting signs in the area of the accident and/or advertising in local newspapers in an effort to find witnesses within a reasonable time after the accident where the accident occurs at a busy intersection is a reasonable and expected step as it is possible that someone present at the time of the accident could be of assistance in ascertaining the identity of the driver of the vehicle that left the scene: </w:t>
      </w:r>
      <w:r>
        <w:rPr>
          <w:rFonts w:ascii="arial" w:eastAsia="arial" w:hAnsi="arial" w:cs="arial"/>
          <w:i/>
          <w:color w:val="000000"/>
          <w:sz w:val="20"/>
          <w:lang w:val="en-US" w:eastAsia="en-US" w:bidi="ar-SA"/>
        </w:rPr>
        <w:t>Johal v. ICBC</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(1992), 9 C.C.L.I. (2d) 172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 v. Doe,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2009 BCSC 568</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[2008] B.C.J. No. 238</w:t>
        </w:r>
      </w:hyperlink>
      <w:r>
        <w:rPr>
          <w:rFonts w:ascii="arial" w:eastAsia="arial" w:hAnsi="arial" w:cs="arial"/>
          <w:color w:val="000000"/>
          <w:sz w:val="20"/>
          <w:lang w:val="en-US" w:eastAsia="en-US" w:bidi="ar-SA"/>
        </w:rPr>
        <w:t xml:space="preserve"> at paras. 51-54;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Halfyard v. ICBC (</w:t>
      </w:r>
      <w:r>
        <w:rPr>
          <w:rFonts w:ascii="arial" w:eastAsia="arial" w:hAnsi="arial" w:cs="arial"/>
          <w:color w:val="000000"/>
          <w:sz w:val="20"/>
          <w:lang w:val="en-US" w:eastAsia="en-US" w:bidi="ar-SA"/>
        </w:rPr>
        <w:t xml:space="preserve"> 1993), </w:t>
      </w:r>
      <w:hyperlink r:id="rId287" w:history="1">
        <w:r>
          <w:rPr>
            <w:rFonts w:ascii="arial" w:eastAsia="arial" w:hAnsi="arial" w:cs="arial"/>
            <w:i/>
            <w:color w:val="0077CC"/>
            <w:sz w:val="20"/>
            <w:u w:val="single"/>
            <w:shd w:val="clear" w:color="auto" w:fill="FFFFFF"/>
            <w:lang w:val="en-US" w:eastAsia="en-US" w:bidi="ar-SA"/>
          </w:rPr>
          <w:t>26 C.C.L.I. (2d)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Halfyard</w:t>
      </w:r>
      <w:r>
        <w:rPr>
          <w:rFonts w:ascii="arial" w:eastAsia="arial" w:hAnsi="arial" w:cs="arial"/>
          <w:color w:val="000000"/>
          <w:sz w:val="20"/>
          <w:lang w:val="en-US" w:eastAsia="en-US" w:bidi="ar-SA"/>
        </w:rPr>
        <w: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post signs at the scene of the accident or place advertisements in the newspaper in a timely manner or in a manner that provides insufficient detail where it is possible that there were potential witnesses who may have information about the accident will result in a denial of coverage under s. 24 of the Act: </w:t>
      </w:r>
      <w:r>
        <w:rPr>
          <w:rFonts w:ascii="arial" w:eastAsia="arial" w:hAnsi="arial" w:cs="arial"/>
          <w:i/>
          <w:color w:val="000000"/>
          <w:sz w:val="20"/>
          <w:lang w:val="en-US" w:eastAsia="en-US" w:bidi="ar-SA"/>
        </w:rPr>
        <w:t>Johal; Fan; Burley; Becker; Nelson</w:t>
      </w:r>
      <w:r>
        <w:rPr>
          <w:rFonts w:ascii="arial" w:eastAsia="arial" w:hAnsi="arial" w:cs="arial"/>
          <w:color w:val="000000"/>
          <w:sz w:val="20"/>
          <w:lang w:val="en-US" w:eastAsia="en-US" w:bidi="ar-SA"/>
        </w:rPr>
        <w:t xml:space="preserve"> at paras. 21-22</w:t>
      </w:r>
      <w:r>
        <w:rPr>
          <w:rFonts w:ascii="arial" w:eastAsia="arial" w:hAnsi="arial" w:cs="arial"/>
          <w:i/>
          <w:color w:val="000000"/>
          <w:sz w:val="20"/>
          <w:lang w:val="en-US" w:eastAsia="en-US" w:bidi="ar-SA"/>
        </w:rPr>
        <w:t>; Jennings v. ICBC</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2002 BCSC 341</w:t>
        </w:r>
      </w:hyperlink>
      <w:r>
        <w:rPr>
          <w:rFonts w:ascii="arial" w:eastAsia="arial" w:hAnsi="arial" w:cs="arial"/>
          <w:color w:val="000000"/>
          <w:sz w:val="20"/>
          <w:lang w:val="en-US" w:eastAsia="en-US" w:bidi="ar-SA"/>
        </w:rPr>
        <w:t xml:space="preserve"> (CanLII);</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repeatedly canvassing regular patrons of the business where the plaintiff's vehicle was damaged in the parking lot of the business may constitute reasonable steps to ascertain the identity of the driver: </w:t>
      </w:r>
      <w:r>
        <w:rPr>
          <w:rFonts w:ascii="arial" w:eastAsia="arial" w:hAnsi="arial" w:cs="arial"/>
          <w:i/>
          <w:color w:val="000000"/>
          <w:sz w:val="20"/>
          <w:lang w:val="en-US" w:eastAsia="en-US" w:bidi="ar-SA"/>
        </w:rPr>
        <w:t>Janzen v. Insurance Corporation of British Columbia</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2004 BCPC 437</w:t>
        </w:r>
      </w:hyperlink>
      <w:r>
        <w:rPr>
          <w:rFonts w:ascii="arial" w:eastAsia="arial" w:hAnsi="arial" w:cs="arial"/>
          <w:color w:val="000000"/>
          <w:sz w:val="20"/>
          <w:lang w:val="en-US" w:eastAsia="en-US" w:bidi="ar-SA"/>
        </w:rPr>
        <w:t xml:space="preserve"> (CanLII);</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posting signs and advertising in local newspapers may not be a reasonable step where the accident occurs on a high speed area of highway or a on highway in an area that is undeveloped and sparsely populated: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at para. 24;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at para. 16-21;</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is found that a plaintiff acted reasonably in believing they had the information that would be required, such as a licence plate number, there is no onus cast upon them to undertake a highly speculative further investigation upon being advised they have the wrong license plate number: </w:t>
      </w:r>
      <w:r>
        <w:rPr>
          <w:rFonts w:ascii="arial" w:eastAsia="arial" w:hAnsi="arial" w:cs="arial"/>
          <w:i/>
          <w:color w:val="000000"/>
          <w:sz w:val="20"/>
          <w:lang w:val="en-US" w:eastAsia="en-US" w:bidi="ar-SA"/>
        </w:rPr>
        <w:t>Smoluk v. ICBC</w:t>
      </w:r>
      <w:r>
        <w:rPr>
          <w:rFonts w:ascii="arial" w:eastAsia="arial" w:hAnsi="arial" w:cs="arial"/>
          <w:color w:val="000000"/>
          <w:sz w:val="20"/>
          <w:lang w:val="en-US" w:eastAsia="en-US" w:bidi="ar-SA"/>
        </w:rPr>
        <w:t xml:space="preserve"> (1993), </w:t>
      </w:r>
      <w:hyperlink r:id="rId290" w:history="1">
        <w:r>
          <w:rPr>
            <w:rFonts w:ascii="arial" w:eastAsia="arial" w:hAnsi="arial" w:cs="arial"/>
            <w:i/>
            <w:color w:val="0077CC"/>
            <w:sz w:val="20"/>
            <w:u w:val="single"/>
            <w:shd w:val="clear" w:color="auto" w:fill="FFFFFF"/>
            <w:lang w:val="en-US" w:eastAsia="en-US" w:bidi="ar-SA"/>
          </w:rPr>
          <w:t>1993 CanLII 2167</w:t>
        </w:r>
      </w:hyperlink>
      <w:r>
        <w:rPr>
          <w:rFonts w:ascii="arial" w:eastAsia="arial" w:hAnsi="arial" w:cs="arial"/>
          <w:color w:val="000000"/>
          <w:sz w:val="20"/>
          <w:lang w:val="en-US" w:eastAsia="en-US" w:bidi="ar-SA"/>
        </w:rPr>
        <w:t xml:space="preserve"> (BC CA), </w:t>
      </w:r>
      <w:hyperlink r:id="rId290" w:history="1">
        <w:r>
          <w:rPr>
            <w:rFonts w:ascii="arial" w:eastAsia="arial" w:hAnsi="arial" w:cs="arial"/>
            <w:i/>
            <w:color w:val="0077CC"/>
            <w:sz w:val="20"/>
            <w:u w:val="single"/>
            <w:shd w:val="clear" w:color="auto" w:fill="FFFFFF"/>
            <w:lang w:val="en-US" w:eastAsia="en-US" w:bidi="ar-SA"/>
          </w:rPr>
          <w:t>26 B.C.A.C.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[Smoluk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Walker v. Farnel</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(1995), 36 C.C.L.I. (2d) 312</w:t>
        </w:r>
      </w:hyperlink>
      <w:r>
        <w:rPr>
          <w:rFonts w:ascii="arial" w:eastAsia="arial" w:hAnsi="arial" w:cs="arial"/>
          <w:color w:val="000000"/>
          <w:sz w:val="20"/>
          <w:lang w:val="en-US" w:eastAsia="en-US" w:bidi="ar-SA"/>
        </w:rPr>
        <w:t>, at para. 24;</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will not be foreclosed from pursuing ICBC as the nominal defendant in a hit and run case where they rely upon information provided by the offending driver that subsequently turns out to be untruthful: </w:t>
      </w:r>
      <w:r>
        <w:rPr>
          <w:rFonts w:ascii="arial" w:eastAsia="arial" w:hAnsi="arial" w:cs="arial"/>
          <w:i/>
          <w:color w:val="000000"/>
          <w:sz w:val="20"/>
          <w:lang w:val="en-US" w:eastAsia="en-US" w:bidi="ar-SA"/>
        </w:rPr>
        <w:t>Mudrie v. Grove</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2010 BCSC 1113</w:t>
        </w:r>
      </w:hyperlink>
      <w:r>
        <w:rPr>
          <w:rFonts w:ascii="arial" w:eastAsia="arial" w:hAnsi="arial" w:cs="arial"/>
          <w:color w:val="000000"/>
          <w:sz w:val="20"/>
          <w:lang w:val="en-US" w:eastAsia="en-US" w:bidi="ar-SA"/>
        </w:rPr>
        <w:t xml:space="preserve"> (CanLII), at paras. 33-36;</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follow up on directions to take additional steps such as posting signs for witnesses or advertising, once advised the recorded licence plate number is incorrect will result in a denial of coverage under s. 24 of the Act: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make a timely report to the police and failing to follow up on available information from the scene of the accident such as information in the possession of ambulance personnel who attended the scene will result in a denial of coverage under s. 24 of the Act: </w:t>
      </w:r>
      <w:r>
        <w:rPr>
          <w:rFonts w:ascii="arial" w:eastAsia="arial" w:hAnsi="arial" w:cs="arial"/>
          <w:i/>
          <w:color w:val="000000"/>
          <w:sz w:val="20"/>
          <w:lang w:val="en-US" w:eastAsia="en-US" w:bidi="ar-SA"/>
        </w:rPr>
        <w:t>Johal;</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of ICBC adjusters to advise the plaintiff that other steps to try and ascertain the identity of the driver should be undertaken does not relieve a plaintiff of the obligation to take all reasonable steps to ascertain the unknown driver's identity: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Ker J.'s conclusion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is apposite to the facts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Counsel for the plaintiff argues that the failure to post signs or advertisements is not fatal as in this case there were no such witnesses who reasonably existed who could have provided the information and no target audience who could contribute anything more than that offered by Mr. Gordon. This argument, however, is entirely speculative. While signage or advertising might possibly not have produced any further information, it is equally likely that such steps may well have elicited some helpful information. Mr. and Mrs. Morris and Mr. Gordon all acknowledged that there was traffic in the area at the time of the accident and so there was a potential source of witnesses. There is nothing to suggest that efforts to seek out witnesses around the time of the accident would have been fruitless. It is this failure to take the steps to try and obtain the information in the days and weeks after the accident that is fatal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case was decided several months after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The plaintiff argues that the principles set out in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relax the strictness of the requirements on a claimant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described the "classic test" for determining reasonableness of a plaintiff's conduct as weighing the cost of a proposed action against the probable benefit of pursuing that course of action. The probable benefit is determined with regard to both to the likelihood of some benefit being gained and the size of the benefit to be gained (at para. 8). The Court then described the standard created by the section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applying this test, I must look at the objective rationality of the steps which ICBC says ought to have been taken, which will in part be a function of the time and effort required. I must also consider the claimant's conduct without regard to the availability of insurance for the unidentified driver claim. That is to say, </w:t>
      </w:r>
      <w:r>
        <w:rPr>
          <w:rFonts w:ascii="arial" w:eastAsia="arial" w:hAnsi="arial" w:cs="arial"/>
          <w:color w:val="000000"/>
          <w:sz w:val="20"/>
          <w:u w:val="single"/>
          <w:lang w:val="en-US" w:eastAsia="en-US" w:bidi="ar-SA"/>
        </w:rPr>
        <w:t>I need to consider whether the claimant acted as a rational person would have done given his subjective circumstances, including the severity of his injuries if his only recourse was against the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Thus, the only qualification on the requirement of "all reasonable efforts" in s. 24(5), is the subjective aspect of the test that requires the "position and condition" of the plaintiff to be considered in determining what efforts are reasonable in the circumstances. In all cases, the single standard to be met is one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the Court distinguished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on the basis that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the accident had occurred on a busy street corner, giving rise to a high probability there would have been witnesses to the accident whereas in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the trial judge found that it was unlikely there were any witnesses to be found who could offer information. This was a finding of fact made by the trial judge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have been other cases with factual findings apposite to this case. In </w:t>
      </w:r>
      <w:r>
        <w:rPr>
          <w:rFonts w:ascii="arial" w:eastAsia="arial" w:hAnsi="arial" w:cs="arial"/>
          <w:i/>
          <w:color w:val="000000"/>
          <w:sz w:val="20"/>
          <w:lang w:val="en-US" w:eastAsia="en-US" w:bidi="ar-SA"/>
        </w:rPr>
        <w:t>Podowski v. Insurance Corp. of British Columbia</w:t>
      </w:r>
      <w:r>
        <w:rPr>
          <w:rFonts w:ascii="arial" w:eastAsia="arial" w:hAnsi="arial" w:cs="arial"/>
          <w:color w:val="000000"/>
          <w:sz w:val="20"/>
          <w:lang w:val="en-US" w:eastAsia="en-US" w:bidi="ar-SA"/>
        </w:rPr>
        <w:t xml:space="preserve"> (26 October 1993), Vancouver B906267 (B.C.S.C.), the plaintiff's vehicle was struck on the right front corner while driving on the Georgia Viaduct. The plaintiff's vehicle struck a wall. There were vehicles waiting behind her when she got out of her car; she did not speak to any of those motorists and explained that omission due to being flustered and upset. She attended ICBC and reported the claim as a hit-and-run accident. ICBC did not believe that the collision had been caused by an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Smith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Mr. Johal, the plaintiff here made no efforts to find witnesses at the scene of the incident. Unlike Mr. Johal, she put no advertisement in any newspaper to attempt to locate witnesses. It is true that the Chief Justice placed some weight on Mr. Johal's delay in reporting the matter to the police, while here the plaintiff reported the matter to the police the next day. However, she was told by the police that she should place notices near the scene and should advertise to try to find witnesses, but failed to do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the plaintiff left the investigation of an accident with the police without ascertaining if they were in fact investigating the matter. The police had abandoned the investigation. The court concluded that the plaintiff had chosen not to attempt to ascertain the identity of the driver by placing all his reliance on the RCMP to locate the unidentified motorist. Burnyeat J. discussed other authorities that had concluded it was reasonable for the plaintiffs to have relied on the efforts of the police to obtain the information which was required; but in the case before him, the plaintiff had made no attempts to ascertain whether the police were undertaking any investigation at all. He concluded it was not reasonable for Mr. Becker to have no contact with the police for almost 14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Justice Burnyeat accepted that Mr. Becker could not be faulted for failing to obtain details at the scene from people who witnessed the accident but, in the end, concluded that his failure to promptly contact witnesses known to the police and leaving the matter entirely in the hands of the police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Buryneat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Act does not put the responsibility to find the driver on the police. Rather, the responsibility is on Mr. Becker.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It was not reasonable for Mr. Becker to have no contact with the R.C.M.P. until almost 14 months after the accident. Without the knowledge that the police were actually attempting to locate the driver, it cannot be said that there was reliance on the police. If a party wishes to rely on the police to undertake the investigations which are his or her responsibility, it is incumbent upon a plaintiff to monitor the efforts that are being made so that their own efforts can come into play if the police have been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 v. Doe</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Bernard J. discussed what might constitute reasonable efforts in relation to an accident at a busy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my view a proper determination of the efforts which might reasonably lead to discovering the identity of the unknown driver or owner must be made with due regard for the location where the collision occurred and the circumstances in which the collision occurred. For example, a collision which occurs at busy community intersection of a well-populated area on a weekday at 8:30 a.m., in relatively slow-moving traffic, might be witnessed by many people who: (1) pass by that intersection at a similar time daily by vehicle or on foot; (2) might have recognized the car or driver in question, or noted the licence plate number; and (3) who might respond to a canvass, posting, or advertisement with information leading to the identity of the owner or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also clear that there appears to be no duty on ICBC to inform potential claimants as to the requirements of s. 24(5). In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the court concluded that the failure of the ICBC adjuster to advise the plaintiff that other steps were necessary to ascertain the identity of a driver did not relieve the plaintiff of the obligation to take all reasonable steps. The court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saying that I would not for a moment impose an obligation on the Insurance Corporation of British Columbia to advise someone as to how they might discharge the obligation of section 24(5). ... Counsel for the Insurance Corporation quite rightly points out that there is no obligation on the Insurance Company's employees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If I find Ms. Li failed to take steps to identify the unknown driver at the scene, this finding is an impediment to the Court granting judgment for the statutory benefits otherwise recoverable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question is therefore whether Ms. Li's efforts can be construed as doing everything reasonable to protect what ordinarily would be her own interest in identifying the unidentified owner/driver. The interpretation of "reasonableness" in the context of this section is measured by whether Ms. Li did everything she reasonably could have done to protect what would ordinarily be her interest if ICBC was not involved in funding the claim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at paras. 9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am satisfied that this is not a case in which there is a risk of fraud. In </w:t>
      </w:r>
      <w:r>
        <w:rPr>
          <w:rFonts w:ascii="arial" w:eastAsia="arial" w:hAnsi="arial" w:cs="arial"/>
          <w:i/>
          <w:color w:val="000000"/>
          <w:sz w:val="20"/>
          <w:lang w:val="en-US" w:eastAsia="en-US" w:bidi="ar-SA"/>
        </w:rPr>
        <w:t>Johal v. Insurance Corporation of British Columbia</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[1992] B.C.J. No. 1169</w:t>
        </w:r>
      </w:hyperlink>
      <w:r>
        <w:rPr>
          <w:rFonts w:ascii="arial" w:eastAsia="arial" w:hAnsi="arial" w:cs="arial"/>
          <w:color w:val="000000"/>
          <w:sz w:val="20"/>
          <w:lang w:val="en-US" w:eastAsia="en-US" w:bidi="ar-SA"/>
        </w:rPr>
        <w:t>, the court suggested that the approach to "all reasonable efforts" might be relaxed when fraud is not suspected; that is to say, when the risk of fraud is not present. Esson C.J.S.C., as he then was, noted the test "should not be made so exacting that it cannot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Similar to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the case at bar does not seem to involve a risk of fraud and, therefore, the approach to "all reasonable efforts", as demanded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might be relaxed.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focal point of this assessment of Ms. Li's claim is whether her failure to do more than contact the fire captain and ICBC to ascertain the identity of the other driver was reasonable in that they were the only "logical, sensible, and fair" steps she could have taken. The test does not require the claimant to take steps that are considered "absurd, whimsical or unwarranted" (see </w:t>
      </w:r>
      <w:r>
        <w:rPr>
          <w:rFonts w:ascii="arial" w:eastAsia="arial" w:hAnsi="arial" w:cs="arial"/>
          <w:i/>
          <w:color w:val="000000"/>
          <w:sz w:val="20"/>
          <w:lang w:val="en-US" w:eastAsia="en-US" w:bidi="ar-SA"/>
        </w:rPr>
        <w:t>Sleazy v. ICBC</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2003 BCSC 1679</w:t>
        </w:r>
      </w:hyperlink>
      <w:r>
        <w:rPr>
          <w:rFonts w:ascii="arial" w:eastAsia="arial" w:hAnsi="arial" w:cs="arial"/>
          <w:color w:val="000000"/>
          <w:sz w:val="20"/>
          <w:lang w:val="en-US" w:eastAsia="en-US" w:bidi="ar-SA"/>
        </w:rPr>
        <w:t xml:space="preserve"> at para. 40). The plaintiff is not required to take steps that are "highly unlikely" to produce any result (</w:t>
      </w:r>
      <w:r>
        <w:rPr>
          <w:rFonts w:ascii="arial" w:eastAsia="arial" w:hAnsi="arial" w:cs="arial"/>
          <w:i/>
          <w:color w:val="000000"/>
          <w:sz w:val="20"/>
          <w:lang w:val="en-US" w:eastAsia="en-US" w:bidi="ar-SA"/>
        </w:rPr>
        <w:t>Liao v. Doe</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2005 BCSC 431</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Goncalves v. Doe</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2010 BCSC 1241</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uncontroverted that the plaintiff:</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contact the fire crew member who witnessed the accident;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canvass any homes in the area adjacent to the accident scene;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post any signs on the corners of the intersection of McBride Blvd. and Sixth Avenue or along the pathways in Queen's Park;</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post signs at the bus stop directly across the street from the accident scene;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canvass or post signs at the Canada Games Pool approximately 200 meters away;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canvass or post signs at the Justice Institute approximately one and a half blocks away;</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canvass any of the commercial establishments at Eighth Avenue and McBride Blvd.;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report the accident to the police on the day of the accident or at any time after; and,</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ascertain if there was closed circuit cameras that might have been in place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are two specific time periods relevant under the s. 24(5) inquiry: the time of the accident and the days or weeks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First, based on the evidence tendered, it seems that the plaintiff did not make all reasonable efforts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Li was rear-ended by a car with minimal damage to her car. After impact, the plaintiff got out of the car to speak to the driver directly behind her, and it was her impression that he would meet her on Sixth Avenue and exchange information. By the time the plaintiff travelled onto Sixth Avenue the driver behind her had passed her, turned right and driven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was heavy traffic on McBride Blvd. at the time of the accident. The visibility in the area of the collision was not bad and there were streetlights. The road was dry and there was no rain. I infer from the estimated time of the accident, it happened during rush hour. McBride Blvd. is not a divided highway or fast-moving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clear to me from the evidence that it was completely impractical in the circumstances, including the weather, lighting conditions, traffic and location of the accident, for Ms. Li to do anything other than invite the other driver to move onto Sixth Avenue where they could exchange information. Ms. Li did not record the licence plate number of this other driver before he moved from the point of impact. As the events transpired, the plaintiff did not act unreasonably in failing to record his licence plate before they moved to Sixth Avenue from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Li acted reasonably in parking at the fire station and speaking with the fire captain. She acted reasonably in seeking his assistance in obtaining information from the fire engine that had passed by at the time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did not act reasonably in failing to contact the police and report the incident immediately. It surely must have been possible that a report to the police might have generated an investigation, particularly in the time shortly after the accident, that might have led to the identification of the owner or driver of the black Alfa Romeo on the streets in New Westminster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unidentified driver committed an offence under s. 252(1)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which, in spite of the minimal damage, is a significant offence. There is a paucity of evidence about what procedures the police might have followed if they had received a report but I cannot accept that it would have been absurd or whimsical for her to have made that report. Applying a cost/benefit analysis to that act alone satisfies me that reporting the incident to the police would have been reasonable; common sense calls for the victim in Ms. Li's circumstances to call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Next, I must examine the plaintiff's actions in the days and weeks following the accident. Again, I cannot conclude that she discharged her obligations under s. 24(5) in the immediate aftermath of the accident or at any time in the following weeks or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contacted ICBC the day after the event to report the accident and make a claim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did not make a late report to the police nor did she contact the fire department to make any further inquiries of the member who had seen the accident. It is unknown whether that person may have made any other observations about the car, excluding the licence plate, that might have assisted in the further investigation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was informed on January 31, 2011 that ICBC was rejecting her hit and run claim because she had failed to obtain the licence plate number of the negligent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Li argued that in the days after the accident it would not have been reasonable for her to take steps other than reporting the claim to ICBC. She argued that the circumstances in and about the area of the collision made it unreasonable for her to post signs, advertise in newspapers, or revisit the area to search for potential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assessment of reasonableness of whether the act of notifying the police and ICBC, without more, meets the requirements of s. 24 is a factual determination based on the circumstances of the case: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Smith J.A. in </w:t>
      </w:r>
      <w:r>
        <w:rPr>
          <w:rFonts w:ascii="arial" w:eastAsia="arial" w:hAnsi="arial" w:cs="arial"/>
          <w:i/>
          <w:color w:val="000000"/>
          <w:sz w:val="20"/>
          <w:lang w:val="en-US" w:eastAsia="en-US" w:bidi="ar-SA"/>
        </w:rPr>
        <w:t>Nicholls</w:t>
      </w:r>
      <w:r>
        <w:rPr>
          <w:rFonts w:ascii="arial" w:eastAsia="arial" w:hAnsi="arial" w:cs="arial"/>
          <w:color w:val="000000"/>
          <w:sz w:val="20"/>
          <w:lang w:val="en-US" w:eastAsia="en-US" w:bidi="ar-SA"/>
        </w:rPr>
        <w:t xml:space="preserve"> reiterated that reasonable is synonymous with "logical, sensible and fair" but does not include "absurd, whimsical or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accept that there was little benefit in contacting businesses at the intersection of Eighth Avenue and McBride Blvd. or at the Justice Institute given their distance from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Li invited the court to consider her "subjective circumstances" and the confusion created by ICBC's involvement in the investigation. Regrettably, there is no evidence of Ms. Li's confusion or uncertainty regarding ICBC's involvement. There is no evidence about Ms. Li's subjective view of the circumstances at any point, including the severity of her injuries or of the collision, available for consideration. The plaintiff contends that it would have been unreasonable for Ms. Li to do any further investigation because she believed that ICBC was contacting the police as well as the fire department. That assertion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Li gave no explanation as to why signs could not have been posted on the side of the road or at the intersection, or why such signs would have been unlikely to attract attention. There was no evidence concerning the cost of advertising as a reason why the plaintiff did not advertise or post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analysis of circumstances by Bernard J. in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is helpful in the context of Ms. Li's submissions. This accident was on a similar route traveled regularly by her and many others and likely at the same time in the evening. In relatively slow-moving rush hour traffic, it is not unreasonable that there were witnesses to the accident who might respond to a posted sign or an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facts of this case are from those in </w:t>
      </w:r>
      <w:r>
        <w:rPr>
          <w:rFonts w:ascii="arial" w:eastAsia="arial" w:hAnsi="arial" w:cs="arial"/>
          <w:i/>
          <w:color w:val="000000"/>
          <w:sz w:val="20"/>
          <w:lang w:val="en-US" w:eastAsia="en-US" w:bidi="ar-SA"/>
        </w:rPr>
        <w:t>Slezak</w:t>
      </w:r>
      <w:r>
        <w:rPr>
          <w:rFonts w:ascii="arial" w:eastAsia="arial" w:hAnsi="arial" w:cs="arial"/>
          <w:color w:val="000000"/>
          <w:sz w:val="20"/>
          <w:lang w:val="en-US" w:eastAsia="en-US" w:bidi="ar-SA"/>
        </w:rPr>
        <w:t xml:space="preserve">, where the accident occurred on a high-speed, divided highway in a location where pedestrians or motorists would not likely read or act on the notice. In any event the plaintiff in </w:t>
      </w:r>
      <w:r>
        <w:rPr>
          <w:rFonts w:ascii="arial" w:eastAsia="arial" w:hAnsi="arial" w:cs="arial"/>
          <w:i/>
          <w:color w:val="000000"/>
          <w:sz w:val="20"/>
          <w:lang w:val="en-US" w:eastAsia="en-US" w:bidi="ar-SA"/>
        </w:rPr>
        <w:t>Slezak,</w:t>
      </w:r>
      <w:r>
        <w:rPr>
          <w:rFonts w:ascii="arial" w:eastAsia="arial" w:hAnsi="arial" w:cs="arial"/>
          <w:color w:val="000000"/>
          <w:sz w:val="20"/>
          <w:lang w:val="en-US" w:eastAsia="en-US" w:bidi="ar-SA"/>
        </w:rPr>
        <w:t xml:space="preserve"> posted an ad in the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was a paucity of evidence about the availability of advertising options or newspapers circulating in the area. Ms. Li attempted to diminish the prospects of finding witnesses in the area; however on the evidence I am not satisfied that it would have been unreasonable, whimsical, absurd or unwarranted to post a sign on the side of the road or to advertise in a local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next issue is whether it was reasonable for the plaintiff to rely on ICBC's investigation of the incident as a justification for not taking further steps. Ms. Li argued that, in the post-accident weeks, she was in some state of confusion because ICBC had said they were making inquiries of the fire captain.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agreed statement of facts does not address the plaintiff's state of mind with regard to the investigation by ICBC or her role in advancing a hit and run claim, which creates some difficulties with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I have observed, there is no evidence of the claim being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Li reported the accident to ICBC on January 11, 2010; as discussed the plaintiff took no further measures to locate the driver of the unknown vehicle. She gave a statement to ICBC on January 19. Ms. Li asked her adjuster if there were any cameras at the intersection; she was told that any cameras, if they existed were only for red light infractions and thus would not likely pick up the unidentified motorist. The plaintiff did not make any enquiries of the City of New Westminster concerning the existence of cameras at the intersection and whether they might have been activated at the time. ICBC did not discuss with Ms. Li the possibility of posting advertisements in newspapers or placing signs at or near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Li remained in contact with the ICBC adjuster over the next 15 months after the accident. She spoke to ICBC several times inquiring about benefits and latterly about compensation for her job loss. It would have been clear her symptoms were not resolving and she was following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ICBC contacted Ms. Li on April 14, 2010 to tell her they were treating her claim as a hit and run. She would be required to pay any deductible for her damage but she would retain a bodily injury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It is argued that the reasons in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suggest there is no obligation for ICBC to remind a plaintiff of the requirements of s. 24(5):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addresses a different issue than was argued in this case. In Tessier, the court observed that the claimant was not advised of the requirements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Barrow J. said he would not impose an obligation on ICBC to advise someone "as to how they might discharge the obligation" under the section. He did not preclude a finding that ICBC might be obliged to inform an insured that they have an obligation without advising the person as to how they might discharge the obligation. There is a difference between knowing about the obligation and knowing how to discharge the obligation. The court concluded that costs should not be awarded against the unsuccessful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However, it seems to me that most unsophisticated people are not well-informed concerning many provincial statutes and in particular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seems unfair and against the public's expectations that ICBC neglects their general responsibility to inform prospective claimants of the importance of the unique requirement to take steps to comply with s. 24(5) to identify a negligent motorist. It is clear that the court is not permitted to grant judgment in a plaintiff's favour but there is no statutory obligation to mentioning the risks of failing to meet the technical requirements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deprives claimants of a judgment for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It seems to me ICBC fulfills a public duty in its role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is responsible for administration of the public automobile insurance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ICBC could easily have told the plaintiff plainly that they were unable to give any information concerning the claims process and warn her to pay attention to the requirements of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seems to me that ICBC's role in communicating with the plaintiff establishes a relationship of mutual expectations that they will deal fairly with each other. The plaintiff is insured by ICBC and the corporation is obliged to adjust the claim in the context of their continuing relationship. If the policy required ICBC to make efforts to inform their insured about the necessity of efforts as a precondition to judgment, then words spoken by the adjuster to the plaintiff could alert the claimant to the impending risks of compromising the claim by failing to address s. 24(5) when making their claims; this is even more important because ICBC is aware that the claim may be denied early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To establish a public policy placing ICBC under an obligation to inform victims of hit-and-run accidents that there is a requirement to take steps beyond simply reporting their claim to ICBC would be a substantial departure from the current jurisprudence concerning that type of claim; it would require a change to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the past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has been relied on for the proposition that ICBC is not required to notify or inform their insureds about their obligations under s. 24(5). As I have observed, in my view,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did not conclude that ICBC was not required to inform claimants that there was an obligation under ss. (5); it concluded that they were not obliged to inform the claimant about which steps would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Unfortunately, that does not answer the policy question regarding ICBC's responsibility to victims of hit-and-run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ICBC has policy obligations that extend beyond their mere role as an adversary in processing "hit and run" claims. ICBC operates in the public interest and it would be contrary to public policy and to a harmonious contextual interpretation of the legislation to allow it to escape claims that could be properly advanced if they were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Niedermeyer v. Charlton</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2014 BCCA 165</w:t>
        </w:r>
      </w:hyperlink>
      <w:r>
        <w:rPr>
          <w:rFonts w:ascii="arial" w:eastAsia="arial" w:hAnsi="arial" w:cs="arial"/>
          <w:color w:val="000000"/>
          <w:sz w:val="20"/>
          <w:lang w:val="en-US" w:eastAsia="en-US" w:bidi="ar-SA"/>
        </w:rPr>
        <w:t xml:space="preserve"> the Court of Appeal addressed the public policy aspect of releases designed to shield the negligent driver of a motor vehicle from liability for an auto accident. Although the issue was different, Garson J.A. addressed the role of ICBC in administering the universal automobile insurance scheme designed to provide coverage for injuries sustained in car accidents.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ICBC regime is intended as a benefit for the public interest just as is human rights legislation. It would be contrary to public policy and to a harmonious contextual interpretation of the legislation to allow private parties to contract out of this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the public policy issue on this point should be addressed by the legislature; it can impose on ICBC an obligation to inform its insureds of the more obscure aspect of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principle was more clearly articulated in </w:t>
      </w:r>
      <w:r>
        <w:rPr>
          <w:rFonts w:ascii="arial" w:eastAsia="arial" w:hAnsi="arial" w:cs="arial"/>
          <w:i/>
          <w:color w:val="000000"/>
          <w:sz w:val="20"/>
          <w:lang w:val="en-US" w:eastAsia="en-US" w:bidi="ar-SA"/>
        </w:rPr>
        <w:t>Esau v. Co-operators Life Insurance Company,</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2006 BCCA 249</w:t>
        </w:r>
      </w:hyperlink>
      <w:r>
        <w:rPr>
          <w:rFonts w:ascii="arial" w:eastAsia="arial" w:hAnsi="arial" w:cs="arial"/>
          <w:color w:val="000000"/>
          <w:sz w:val="20"/>
          <w:lang w:val="en-US" w:eastAsia="en-US" w:bidi="ar-SA"/>
        </w:rPr>
        <w:t xml:space="preserve"> where Levine J.A. discussed the problems that had arisen in the imposition of limitation periods on disability insurance claims where unsophisticated claimants inadvertently miss limitation periods because of difficulties around the legislation.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The confusion that results from the"labyrinthine" statutory scheme and the lack of information about limitation periods is compounded by the insurers' ongoing references in their correspondence to appeals and time limits to submit additional information. Lawyers know the difference between an appeal and an action for breach of contract, but in the absence of any clear information about the process for disputing a denial of a claim, including information regarding the relevant limitation period, a layperson, and especially a layperson suffering from a mental disability, is at a serious disadvantage.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It is clear that insurers have no intention of voluntarily following judicial recommendations that they provide clear information about the effect of their denial of coverage. As my colleague points out, that is understandable, given the confusion arising from inconsistencies between statutory and contractual limitation periods and from the statutory scheme.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So I make yet another judicial plea for the Legislature to act to relieve consumers, insurers, and the courts from this untenable situation in which disabled persons are experiencing the stress of technical legal battles rather than the peace of mind their disability insurance is intended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Levine J.A.'s remarks are apposite to the circumstances of this case. Motor vehicle accident victims need and expect peace of mind when dealing with ICBC in regard to hit-and-run claims. There is no current obligation to compel the corporation to inform claimants of the existence of s. 24(5) so as to alert those people of the risks and pitfalls that arise if they fail to take necessary steps to identify the other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have concluded that the plaintiff's failure to take any steps to identify the owner or driver of the vehicle that collided with her, except for reporting to ICBC and speaking to the local fire captain, were insufficient to meet the conditions necessary to obtain a judgment as prescribed in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section precludes me from considering the actions of ICBC in the assessment of the plaintiff's obligations;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question is whether the court can grant judgment when the claimant has failed to meet the test. On the basis of the evidence and the authorities, I am not able to grant judgment to the plaintiff despite the above policy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remaining question is whether ICBC has waived its right to rely on s. 24(5) to deny the claim or if it is a stopped from relying on that section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contends that ICBC's failure to notify the plaintiff of her obligations to take steps to identify the owner/driver as a precondition to obtaining judgment should be interpreted as waiving their right to rely on that defence. The claimant relied on </w:t>
      </w:r>
      <w:r>
        <w:rPr>
          <w:rFonts w:ascii="arial" w:eastAsia="arial" w:hAnsi="arial" w:cs="arial"/>
          <w:i/>
          <w:color w:val="000000"/>
          <w:sz w:val="20"/>
          <w:lang w:val="en-US" w:eastAsia="en-US" w:bidi="ar-SA"/>
        </w:rPr>
        <w:t>Dunn</w:t>
      </w:r>
      <w:r>
        <w:rPr>
          <w:rFonts w:ascii="arial" w:eastAsia="arial" w:hAnsi="arial" w:cs="arial"/>
          <w:color w:val="000000"/>
          <w:sz w:val="20"/>
          <w:lang w:val="en-US" w:eastAsia="en-US" w:bidi="ar-SA"/>
        </w:rPr>
        <w:t xml:space="preserve"> where Chiasson J.A. described the two elements of a waiver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As the trial judge recognized, the elements of waiver are "that the party waiving had (1) a full knowledge of rights; and (2) an unequivocal and conscious intention to abandon them":</w:t>
      </w:r>
      <w:r>
        <w:rPr>
          <w:rFonts w:ascii="arial" w:eastAsia="arial" w:hAnsi="arial" w:cs="arial"/>
          <w:i/>
          <w:color w:val="000000"/>
          <w:sz w:val="20"/>
          <w:lang w:val="en-US" w:eastAsia="en-US" w:bidi="ar-SA"/>
        </w:rPr>
        <w:t>Saskatchewan River Bungalows</w:t>
      </w:r>
      <w:r>
        <w:rPr>
          <w:rFonts w:ascii="arial" w:eastAsia="arial" w:hAnsi="arial" w:cs="arial"/>
          <w:color w:val="000000"/>
          <w:sz w:val="20"/>
          <w:lang w:val="en-US" w:eastAsia="en-US" w:bidi="ar-SA"/>
        </w:rPr>
        <w:t xml:space="preserve"> at 499.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argues that while ICBC does not have a legal or statutory obligation, it has an equitable obligation to inform its insureds of their obligations and consequences following an accident caused by an unidentified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to obviate the possibility of the claimant assuming that ICBC has accepted the claim without the need to take further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Victims of unidentified motorists who do not take steps required under s. 24(5) lose access to the $200,000 fund designed to compensate the innocent victim. The plaintiff contends that claimants face serious losses when claims are defeated because they failed to take "efforts sufficient to satisfy section 24(5) (that) could have been easily and inexpensively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Typically claimants fail to take steps to identify the negligent driver in the expectation that ICBC is administering and adjusting their claim and will not act to their prejudice. This includes an expectation that ICBC will bring s. 24(5) to their attention. In this case there was no evidence of what expectations the plaintiff held concerning ICBC's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argues that ICBC is overwhelmingly in the best position to inform their insureds on the process, and when they fail to do so they knowingly allow the injured claimant to fall into the trap that is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Nevertheless, the evidence in this case does not satisfy me that in its administrative processing of this hit-and-run claim ICBC consciously abandoned its rights when staff discussed the plaintiff's claim with her. I conclude that ICBC's decision or practice of withholding information concerning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while at the same time addressing Ms. Li's claim could not operate as a waiver of their right to rely on the provisions of s. 24(5) to obtain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Nothing in the evidence satisfied me that ICBC had considered the plaintiff's claim and "unequivocally and consciously" elected to abandon its protection under s. 24(5). Further, if a hit and run claim proceeds to trial, ss. (5) is not a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could be waived by ICBC; the section prevents the court granting judgment unless satisfied that the claimant has met the obligation under ss. (5). Although I do not decide the point, it seems to me nothing would prevent the parties from making admissions of facts necessary to prove compliance with the subsection; judgment could then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plaintiff relied on </w:t>
      </w:r>
      <w:r>
        <w:rPr>
          <w:rFonts w:ascii="arial" w:eastAsia="arial" w:hAnsi="arial" w:cs="arial"/>
          <w:i/>
          <w:color w:val="000000"/>
          <w:sz w:val="20"/>
          <w:lang w:val="en-US" w:eastAsia="en-US" w:bidi="ar-SA"/>
        </w:rPr>
        <w:t>Dunn</w:t>
      </w:r>
      <w:r>
        <w:rPr>
          <w:rFonts w:ascii="arial" w:eastAsia="arial" w:hAnsi="arial" w:cs="arial"/>
          <w:color w:val="000000"/>
          <w:sz w:val="20"/>
          <w:lang w:val="en-US" w:eastAsia="en-US" w:bidi="ar-SA"/>
        </w:rPr>
        <w:t xml:space="preserve"> as authority for the proposition that estoppel should prevent ICBC from relying on s. 24(5) in defending this claim. She contends there can be a bar to a defence if one party has allowed the other to assume that it was not intending to rely on a statutory right which was later asserted to defend the first party's claim. To succeed the plaintiff is required to show that ICBC's conduct was unconscionable in so far as she was allowed to believe that ICBC would not rely on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She argues from </w:t>
      </w:r>
      <w:r>
        <w:rPr>
          <w:rFonts w:ascii="arial" w:eastAsia="arial" w:hAnsi="arial" w:cs="arial"/>
          <w:i/>
          <w:color w:val="000000"/>
          <w:sz w:val="20"/>
          <w:lang w:val="en-US" w:eastAsia="en-US" w:bidi="ar-SA"/>
        </w:rPr>
        <w:t>Dunn</w:t>
      </w:r>
      <w:r>
        <w:rPr>
          <w:rFonts w:ascii="arial" w:eastAsia="arial" w:hAnsi="arial" w:cs="arial"/>
          <w:color w:val="000000"/>
          <w:sz w:val="20"/>
          <w:lang w:val="en-US" w:eastAsia="en-US" w:bidi="ar-SA"/>
        </w:rPr>
        <w:t xml:space="preserve"> that the applicable principles of estoppel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Miracle v. Travellers Indemnity Co. of Canada</w:t>
      </w:r>
      <w:r>
        <w:rPr>
          <w:rFonts w:ascii="arial" w:eastAsia="arial" w:hAnsi="arial" w:cs="arial"/>
          <w:color w:val="000000"/>
          <w:sz w:val="20"/>
          <w:lang w:val="en-US" w:eastAsia="en-US" w:bidi="ar-SA"/>
        </w:rPr>
        <w:t xml:space="preserve">, 1991 CanLII 58 (SCC), </w:t>
      </w:r>
      <w:hyperlink r:id="rId298"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 Sopinka J., for the Court, set out the elements of promissory estoppel: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The principles of promissory estoppel are well settled. The party relying on the doctrine must establish that the other party has, by words or conduct, made a promise or assurance which was intended to affect their legal relationship and to be acted on. Furthermore, the representee must establish that, in reliance on the representation, he acted on it or in some way changed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analysis, Chiasson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w:t>
      </w:r>
      <w:r>
        <w:rPr>
          <w:rFonts w:ascii="arial" w:eastAsia="arial" w:hAnsi="arial" w:cs="arial"/>
          <w:i/>
          <w:color w:val="000000"/>
          <w:sz w:val="20"/>
          <w:lang w:val="en-US" w:eastAsia="en-US" w:bidi="ar-SA"/>
        </w:rPr>
        <w:t>Erickson v. Jones</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2008 BCCA 379</w:t>
        </w:r>
      </w:hyperlink>
      <w:r>
        <w:rPr>
          <w:rFonts w:ascii="arial" w:eastAsia="arial" w:hAnsi="arial" w:cs="arial"/>
          <w:color w:val="000000"/>
          <w:sz w:val="20"/>
          <w:lang w:val="en-US" w:eastAsia="en-US" w:bidi="ar-SA"/>
        </w:rPr>
        <w:t xml:space="preserve"> (CanLII), this Court discussed the so-called modern approach to estoppel. A starting point is </w:t>
      </w:r>
      <w:r>
        <w:rPr>
          <w:rFonts w:ascii="arial" w:eastAsia="arial" w:hAnsi="arial" w:cs="arial"/>
          <w:i/>
          <w:color w:val="000000"/>
          <w:sz w:val="20"/>
          <w:lang w:val="en-US" w:eastAsia="en-US" w:bidi="ar-SA"/>
        </w:rPr>
        <w:t>Trethewey-Edge Dyking District v. Coniagas Ranches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2003 BCCA 197</w:t>
        </w:r>
      </w:hyperlink>
      <w:r>
        <w:rPr>
          <w:rFonts w:ascii="arial" w:eastAsia="arial" w:hAnsi="arial" w:cs="arial"/>
          <w:color w:val="000000"/>
          <w:sz w:val="20"/>
          <w:lang w:val="en-US" w:eastAsia="en-US" w:bidi="ar-SA"/>
        </w:rPr>
        <w:t xml:space="preserve"> (CanLII),12 B.C.L.R. (4th) 46. In that case, Levine J.A., with Prowse J.A. concurring, at para. 40, quoted the following passage from Lord Denning M.R.'s judgment in</w:t>
      </w:r>
      <w:r>
        <w:rPr>
          <w:rFonts w:ascii="arial" w:eastAsia="arial" w:hAnsi="arial" w:cs="arial"/>
          <w:i/>
          <w:color w:val="000000"/>
          <w:sz w:val="20"/>
          <w:lang w:val="en-US" w:eastAsia="en-US" w:bidi="ar-SA"/>
        </w:rPr>
        <w:t>Crabb v. Arun District Council</w:t>
      </w:r>
      <w:r>
        <w:rPr>
          <w:rFonts w:ascii="arial" w:eastAsia="arial" w:hAnsi="arial" w:cs="arial"/>
          <w:color w:val="000000"/>
          <w:sz w:val="20"/>
          <w:lang w:val="en-US" w:eastAsia="en-US" w:bidi="ar-SA"/>
        </w:rPr>
        <w:t>, [1975] 3 All E.R. 865 at 871 (C.A.), as setting out the basis for proprietary estoppel: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basis of this proprietary estoppel - as indeed of promissory estoppel - is the interposition of equity. Equity comes in, true to form, to mitigate the rigours of strict law. The early cases did not speak of it as "estoppel". They spoke of it as "raising an equity". If I may expand that, Lord Cairns said in Hughes v. Metropolitan Railway Co [ (1877) 2 App Cas 439 at 448, [1874-1880] All E.R. Rep 187 at 191]:"... it is the first principle upon which all Courts of Equity proceed..." that it will prevent a person from insisting on his strict legal rights - whether arising under a contract, or on his title deeds, or by statute - when it would be inequitable for him to do so having regard to the dealings which have taken place between the parties. </w:t>
      </w:r>
      <w:r>
        <w:rPr>
          <w:rFonts w:ascii="arial" w:eastAsia="arial" w:hAnsi="arial" w:cs="arial"/>
          <w:color w:val="000000"/>
          <w:sz w:val="20"/>
          <w:u w:val="single"/>
          <w:lang w:val="en-US" w:eastAsia="en-US" w:bidi="ar-SA"/>
        </w:rPr>
        <w:t>What then are the dealings which will preclude him from insisting on his strict legal rights? ... Short of an actual promise, if he, by his words or conduct, so behaves as to lead another to believe that he will not insist on his strict legal rights - knowing or intending that the other will act on that belief - and he does so act, that again will raise an equity in favour of the other</w:t>
      </w:r>
      <w:r>
        <w:rPr>
          <w:rFonts w:ascii="arial" w:eastAsia="arial" w:hAnsi="arial" w:cs="arial"/>
          <w:color w:val="000000"/>
          <w:sz w:val="20"/>
          <w:lang w:val="en-US" w:eastAsia="en-US" w:bidi="ar-SA"/>
        </w:rPr>
        <w:t>, and it is for a court of equity to say in what way the equity may be satisfied. The cases show that this equity does not depend on agreement but on words or conduct.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Levine J.A.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For the plaintiff to succeed on this point, I must be satisfied that ICBC's silence during the first several weeks after the accident about Ms. Li's obligations to identify the other motorist was behaviour that led her to believe they would not insist on compliance with s. 24(5) as necessary for her to obtain a judgment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first factor to be considered is that ICBC does not have any control over the application of s. 24 once a trial has commenced, in the absence of a settlement before judgment, or an agreement on the facts. Section 24(5) is a direction to the court prohibiting the court from giving judgment unless it is satisfied with the plaintiff's efforts to ascertain the identity of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Consequently, it is not open to ICBC to insist on compliance or to waive or abandon a defence under s. 24(5). The legal right does not belong to ICBC except in the context of a settlement. Thus, by failing to inform a claimant of the provisions of s. 24, the defendant has not allowed the plaintiff to make any assumption that engages a reliance on its strict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Second, there was nothing in the statements made by ICBC to the plaintiff that could be construed as inducing her to stop any efforts to identify the unidentified motorist. ICBC's first indication to the plaintiff that her claim would not be accepted as a hit-and-run was October 28, 2010 when she was informed that her failure to obtain the plate number at the accident scene was fatal to her entitlement to damages. Since the plaintiff's first report to ICBC they continued to process her accident benefits claim; these benefits did not depend on the liability of the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no indication in the agreed statement of facts that the plaintiff relied on the absence of information from ICBC in failing to take steps to identify the other driver. I am prepared to infer that the plaintiff was not aware of her obligations under s. 24(5), but there is no evidence about her state of mind or intentions concerning communications with ICBC or the absence of information from them. She might have acted differently had she been better informed about s. 24(5) but the evidence is lacking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Thus, I cannot construe ICBC's actions as making "a promise or risk assurance which was intended to affect their legal relationship and to be acted on". To succeed in establishing estoppel, the plaintiff must have proved that she acted on the representation and in some way changed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evidence does not satisfy me that the plaintiff has met this element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Accordingly, I decline to grant a judgment on the basis that the claimant has failed to establish that she made all reasonable efforts to ascertain the identity of the unknown owner and driver of the vehicle that struck her or that the identity of that person is un-ascertainable.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Loxterkamp v. Cluff, [2005] B.C.J. No. 1399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24,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21, 2005.</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20607/03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1399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937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140 A.C.W.S. (3d) 1053</w:t>
      </w:r>
    </w:p>
    <w:p>
      <w:pPr>
        <w:spacing w:before="120" w:line="260" w:lineRule="atLeast"/>
        <w:rPr>
          <w:lang w:val="en-US" w:eastAsia="en-US" w:bidi="ar-SA"/>
        </w:rPr>
      </w:pPr>
      <w:r>
        <w:rPr>
          <w:rFonts w:ascii="arial" w:eastAsia="arial" w:hAnsi="arial" w:cs="arial"/>
          <w:color w:val="000000"/>
          <w:sz w:val="20"/>
          <w:lang w:val="en-US" w:eastAsia="en-US" w:bidi="ar-SA"/>
        </w:rPr>
        <w:t>Between Wayne Loxterkamp, respondent, and James H. Cluff and James H. Cluff Personal Law Corporation, appellant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0" style="position:absolute;z-index:2516705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0" w:name="Keywords_11"/>
      <w:bookmarkEnd w:id="150"/>
      <w:r>
        <w:rPr>
          <w:rFonts w:ascii="arial" w:eastAsia="arial" w:hAnsi="arial" w:cs="arial"/>
          <w:b/>
          <w:color w:val="000000"/>
          <w:sz w:val="20"/>
          <w:lang w:val="en-US" w:eastAsia="en-US" w:bidi="ar-SA"/>
        </w:rPr>
        <w:t xml:space="preserve">Civil procedure — Appeals — Legal profession — Barristers and solicitors — Compensation — Taxation or assessment of accounts — Measure of compensation — Reasonable charges, reasonably performed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1" w:name="Case Summary_10"/>
            <w:bookmarkEnd w:id="15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the lawyer, Cluff, from a registrar's review of legal services provided to the client, Loxterkamp. After initially being unrepresented, the client retained the lawyer to assist him in matrimonial proceedings. During the proceedings, the client incorporated a company. The lawyer did not caution the client about use of the company. When the wife found out, the lawyer and client spent considerable time rebutting the wife's allegations of evasion and deception. The registrar held that the lawyer should have warned the client about use of the company and reduced the lawyer's $48,516 fees by $5,000. The registrar held that the lawyer chose to accept the retainer when he knew from the outset that the client would be difficult. </w:t>
            </w:r>
            <w:r>
              <w:rPr>
                <w:lang w:val="en-US" w:eastAsia="en-US" w:bidi="ar-SA"/>
              </w:rPr>
              <w:cr/>
            </w:r>
          </w:p>
          <w:p>
            <w:pPr>
              <w:spacing w:before="120" w:line="260" w:lineRule="atLeast"/>
              <w:ind w:left="240"/>
              <w:jc w:val="both"/>
              <w:rPr>
                <w:lang w:val="en-US" w:eastAsia="en-US" w:bidi="ar-SA"/>
              </w:rPr>
            </w:pPr>
            <w:bookmarkStart w:id="152" w:name="Holdings of Court_8"/>
            <w:bookmarkEnd w:id="152"/>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registrar's decision was not clearly wrong. The $5,000 reduction was not an unfairly severe penalty. </w:t>
            </w:r>
            <w:r>
              <w:rPr>
                <w:lang w:val="en-US" w:eastAsia="en-US" w:bidi="ar-SA"/>
              </w:rPr>
              <w:cr/>
            </w:r>
          </w:p>
          <w:p>
            <w:pPr>
              <w:rPr>
                <w:lang w:val="en-US" w:eastAsia="en-US" w:bidi="ar-SA"/>
              </w:rPr>
            </w:pPr>
          </w:p>
        </w:tc>
      </w:tr>
    </w:tbl>
    <w:p>
      <w:pPr>
        <w:jc w:val="both"/>
        <w:rPr>
          <w:lang w:val="en-US" w:eastAsia="en-US" w:bidi="ar-SA"/>
        </w:rPr>
      </w:pPr>
      <w:bookmarkStart w:id="153" w:name="Legislation Cited_10"/>
      <w:bookmarkEnd w:id="15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1" style="position:absolute;z-index:2517217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Legal Profession Act s. 71(4)</w:t>
      </w:r>
      <w:r>
        <w:rPr>
          <w:lang w:val="en-US" w:eastAsia="en-US" w:bidi="ar-SA"/>
        </w:rPr>
        <w:cr/>
      </w:r>
    </w:p>
    <w:p>
      <w:pPr>
        <w:keepNext/>
        <w:spacing w:before="240" w:line="340" w:lineRule="atLeast"/>
        <w:rPr>
          <w:lang w:val="en-US" w:eastAsia="en-US" w:bidi="ar-SA"/>
        </w:rPr>
      </w:pPr>
      <w:bookmarkStart w:id="154" w:name="Counsel_11"/>
      <w:bookmarkEnd w:id="15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2" style="position:absolute;z-index:2517729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for the respondent: No Appearance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Appearing for the appellant: J.H. Cluff, In Person</w:t>
      </w:r>
      <w:r>
        <w:rPr>
          <w:lang w:val="en-US" w:eastAsia="en-US" w:bidi="ar-SA"/>
        </w:rPr>
        <w:cr/>
      </w:r>
    </w:p>
    <w:p>
      <w:pPr>
        <w:spacing w:after="240"/>
        <w:rPr>
          <w:lang w:val="en-US" w:eastAsia="en-US" w:bidi="ar-SA"/>
        </w:rPr>
      </w:pPr>
      <w:bookmarkStart w:id="155" w:name="Judgment_11"/>
      <w:bookmarkEnd w:id="155"/>
      <w:r>
        <w:pict>
          <v:line id="_x0000_s1093" style="position:absolute;z-index:2518241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6" w:name="MEIKLEM J."/>
            <w:bookmarkEnd w:id="156"/>
            <w:r>
              <w:rPr>
                <w:rFonts w:ascii="arial" w:eastAsia="arial" w:hAnsi="arial" w:cs="arial"/>
                <w:b/>
                <w:color w:val="000000"/>
                <w:sz w:val="30"/>
                <w:lang w:val="en-US" w:eastAsia="en-US" w:bidi="ar-SA"/>
              </w:rPr>
              <w:t>MEIKLEM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Cluff has appealed Master Baker's decision (as Registrar) following a review of Mr. Cluff's accounts for services in a matrimonial matter. The Master reduced fees for services rendered at $48,516.85 by $5,000, plus taxes, providing written reasons in a 13-page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following paragraphs of the Master's decision are the most pertinent findings of fact.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 The Loxterkamps separated in Quesnel, B.C., in February 2000 after approximately 12 years' marriage. They have five children. Shortly after separation Ms. Loxterkamp, represented by Ms. Schmit, commenced proceedings in the Quesnel Registry of the Supreme Court. At first Mr. Loxterkamp was not represented by counsel, a circumstance that caused, in my view, considerable difficulties for him, as will be explained below. Although there were some issues concerning the Loxterkamp children, most of the issues were financial in nature, relating either to the parties' assets (and dealings with them) or to Mr. Loxterkamp's income as a self-employed truck driver. It is a fair summary to say that the financial issues simply did not justify the amount of time and work consumed by counsel. That, however, as will also be seen, was generally not the fault of Mr. Cluff.</w:t>
      </w:r>
    </w:p>
    <w:p>
      <w:pPr>
        <w:spacing w:before="120" w:line="260" w:lineRule="atLeast"/>
        <w:ind w:left="720"/>
        <w:rPr>
          <w:lang w:val="en-US" w:eastAsia="en-US" w:bidi="ar-SA"/>
        </w:rPr>
      </w:pPr>
      <w:r>
        <w:rPr>
          <w:rFonts w:ascii="arial" w:eastAsia="arial" w:hAnsi="arial" w:cs="arial"/>
          <w:color w:val="000000"/>
          <w:sz w:val="20"/>
          <w:lang w:val="en-US" w:eastAsia="en-US" w:bidi="ar-SA"/>
        </w:rPr>
        <w:t>[7] A quick tour of the litigation would be in order. In the approximately three years Mr. Cluff represented Mr. Loxterkamp, there were at least 13 notices of motion and two successful appeals by Mr. Cluff from interlocutory orders. There were 17 separate entered orders and at least 41 affidavits filed in total by both parties, of which 16 were by Mr. Loxterkamp. There were a total of six Form 89 Property and Financial Statements filed, and examinations for discovery were held. For reasons described below, Mr. Loxterkamp's brother was also joined in the proceedings. The matter was set for trial but settled.</w:t>
      </w:r>
    </w:p>
    <w:p>
      <w:pPr>
        <w:spacing w:before="120" w:line="260" w:lineRule="atLeast"/>
        <w:ind w:left="720"/>
        <w:rPr>
          <w:lang w:val="en-US" w:eastAsia="en-US" w:bidi="ar-SA"/>
        </w:rPr>
      </w:pPr>
      <w:r>
        <w:rPr>
          <w:rFonts w:ascii="arial" w:eastAsia="arial" w:hAnsi="arial" w:cs="arial"/>
          <w:color w:val="000000"/>
          <w:sz w:val="20"/>
          <w:lang w:val="en-US" w:eastAsia="en-US" w:bidi="ar-SA"/>
        </w:rPr>
        <w:t>[8] As often happens in legal proceedings in Northern British Columbia, travel was also a factor as Mr. Cluff lives and practises in Prince George, approximately 125 kms. from Quesnel. Each hearing in Quesnel therefore required approximately 2 1/2 hours of travel by him. The matter was eventually transferred to the Prince George Registry, but only after numerous hearings in Quesnel.</w:t>
      </w:r>
    </w:p>
    <w:p>
      <w:pPr>
        <w:spacing w:before="120" w:line="260" w:lineRule="atLeast"/>
        <w:ind w:left="720"/>
        <w:rPr>
          <w:lang w:val="en-US" w:eastAsia="en-US" w:bidi="ar-SA"/>
        </w:rPr>
      </w:pPr>
      <w:r>
        <w:rPr>
          <w:rFonts w:ascii="arial" w:eastAsia="arial" w:hAnsi="arial" w:cs="arial"/>
          <w:color w:val="000000"/>
          <w:sz w:val="20"/>
          <w:lang w:val="en-US" w:eastAsia="en-US" w:bidi="ar-SA"/>
        </w:rPr>
        <w:t>. . .</w:t>
      </w:r>
    </w:p>
    <w:p>
      <w:pPr>
        <w:spacing w:before="120" w:line="260" w:lineRule="atLeast"/>
        <w:ind w:left="720"/>
        <w:rPr>
          <w:lang w:val="en-US" w:eastAsia="en-US" w:bidi="ar-SA"/>
        </w:rPr>
      </w:pPr>
      <w:r>
        <w:rPr>
          <w:rFonts w:ascii="arial" w:eastAsia="arial" w:hAnsi="arial" w:cs="arial"/>
          <w:color w:val="000000"/>
          <w:sz w:val="20"/>
          <w:lang w:val="en-US" w:eastAsia="en-US" w:bidi="ar-SA"/>
        </w:rPr>
        <w:t>[56] Mr. Cluff is not without sin in all of this. For him to incorporate the company at the time he did and in the circumstances of an active, confrontational lawsuit, and to expect that it would lie dormant or moribund until all matters were settled was, with respect, like expecting a starving person to ignore a steak. Mr. Cluff is seasoned and experienced counsel. He knew, both by his staff's advice and by his own experience with Mr. Loxterkamp, that Mr. Loxterkamp was a "difficult" client, and that his credibility was constantly problematic.</w:t>
      </w:r>
    </w:p>
    <w:p>
      <w:pPr>
        <w:spacing w:before="120" w:line="260" w:lineRule="atLeast"/>
        <w:ind w:left="720"/>
        <w:rPr>
          <w:lang w:val="en-US" w:eastAsia="en-US" w:bidi="ar-SA"/>
        </w:rPr>
      </w:pPr>
      <w:r>
        <w:rPr>
          <w:rFonts w:ascii="arial" w:eastAsia="arial" w:hAnsi="arial" w:cs="arial"/>
          <w:color w:val="000000"/>
          <w:sz w:val="20"/>
          <w:lang w:val="en-US" w:eastAsia="en-US" w:bidi="ar-SA"/>
        </w:rPr>
        <w:t>[57] Mr. Cluff sent no cautionary letter to Mr. Loxterkamp regarding the existence or use of the company. In this case, such a letter, it seems to me, was absolutely necessary, and that counsel's judgment and experience with the client would have led to that conclusion. The absence of this letter seems curious, particularly because Mr. Cluff, on more than one occasion, wrote very clear and direct letters to Mr. Loxterkamp, cautioning him about the negative implications of his failure to comply with orders or with disclosure requirements.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[58] Providing Mr. Loxterkamp with this tool in these circumstances, and doing so without clear written advice and caution as to its use, was an oversight. Counsel's decisions in such cases can create problems that will reflect on the accounts charged. In Walker v. Schober, </w:t>
      </w:r>
      <w:hyperlink r:id="rId308" w:history="1">
        <w:r>
          <w:rPr>
            <w:rFonts w:ascii="arial" w:eastAsia="arial" w:hAnsi="arial" w:cs="arial"/>
            <w:i/>
            <w:color w:val="0077CC"/>
            <w:sz w:val="20"/>
            <w:u w:val="single"/>
            <w:shd w:val="clear" w:color="auto" w:fill="FFFFFF"/>
            <w:lang w:val="en-US" w:eastAsia="en-US" w:bidi="ar-SA"/>
          </w:rPr>
          <w:t>[2004] B.C.J. No. 2440</w:t>
        </w:r>
      </w:hyperlink>
      <w:r>
        <w:rPr>
          <w:rFonts w:ascii="arial" w:eastAsia="arial" w:hAnsi="arial" w:cs="arial"/>
          <w:color w:val="000000"/>
          <w:sz w:val="20"/>
          <w:lang w:val="en-US" w:eastAsia="en-US" w:bidi="ar-SA"/>
        </w:rPr>
        <w:t>, counsel adopted a strategy that was, in the Registrar's view, "risky" (para. 63), and "there was also a risk that proceeding in this manner would erode or perhaps even poison the relationship between the parties" (para. 67). That, of course, is exactly what happened in the Loxterkamp matrimonial proceedings. On learning of the existence and use of the company, Ms. Loxterkamp and her counsel assumed evasion and deception on Mr. Loxterkamp's part. That occasioned substantial efforts by Mr. Loxterkamp and his counsel to try to rebut these presumptions and avoid negative conclusions by the court.</w:t>
      </w:r>
    </w:p>
    <w:p>
      <w:pPr>
        <w:spacing w:before="120" w:line="260" w:lineRule="atLeast"/>
        <w:ind w:left="720"/>
        <w:rPr>
          <w:lang w:val="en-US" w:eastAsia="en-US" w:bidi="ar-SA"/>
        </w:rPr>
      </w:pPr>
      <w:r>
        <w:rPr>
          <w:rFonts w:ascii="arial" w:eastAsia="arial" w:hAnsi="arial" w:cs="arial"/>
          <w:color w:val="000000"/>
          <w:sz w:val="20"/>
          <w:lang w:val="en-US" w:eastAsia="en-US" w:bidi="ar-SA"/>
        </w:rPr>
        <w:t>[59] I accept, on balance, that Mr. Cluff did not, at the time of incorporation, advise Mr. Loxterkamp that the company would avoid FMEP enforcement, or that it was Mr. Cluff's advice that initiated the incorporation. Still, it was a lack of judgment that led to the incorporation without clear and emphatic warnings as to its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Master then set out the provisions of s. 71(4) of the Legal Profession Act and dealt with each of the statutory considerations in turn. His concluding analysis is set out in paragraphs 72 - 74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[72] The statutory parameters, therefore, in large measure weigh in Mr. Cluff's favour. The singular exception is, as indicated above, the incorporation of Oswald Enterprises Ltd. without a clear, documented purpose, without disclosure to the other side, and without any documented cautions to Mr. Loxterkamp. The temptation to Mr. Loxterkamp was obvious. He used the company to confound Ms. Loxterkamp, creating serious and foreseeable problems in the litigation. Mr. Cluff's fees for the work and effort to rebut the presumptions and results from this event should be reduced. The appropriate reduction is the sum for a typical chambers hearing. Mr. Cluff's letter to Mr. Loxterkamp of July 31, 2002 confirms his estimate that his fee for a chambers matter in Prince George would be $5,000.00.</w:t>
      </w:r>
    </w:p>
    <w:p>
      <w:pPr>
        <w:spacing w:before="120" w:line="260" w:lineRule="atLeast"/>
        <w:ind w:left="720"/>
        <w:rPr>
          <w:lang w:val="en-US" w:eastAsia="en-US" w:bidi="ar-SA"/>
        </w:rPr>
      </w:pPr>
      <w:r>
        <w:rPr>
          <w:rFonts w:ascii="arial" w:eastAsia="arial" w:hAnsi="arial" w:cs="arial"/>
          <w:color w:val="000000"/>
          <w:sz w:val="20"/>
          <w:lang w:val="en-US" w:eastAsia="en-US" w:bidi="ar-SA"/>
        </w:rPr>
        <w:t>[73] Another point should be made. Much was made in evidence of the difficulties with Mr. Loxterkamp as a client. I have commented extensively, above, on this topic. Sometimes such difficulty would justify higher fees (especially if a cautionary letter contemplated by s. 71(3)(b) of the Act had been sent). The interesting aspect here, however, is that Mr. Cluff knew, from the very outset, that Mr. Loxterkamp would be difficult. The clear warnings and misgivings expressed by his staff, it seems to me, could not have been more obvious. Mr. Cluff had the choice, of course, to decline the retainer at that time, yet he did not. That warning and choice, to a degree, must mitigate the problems with "the difficult client".</w:t>
      </w:r>
    </w:p>
    <w:p>
      <w:pPr>
        <w:spacing w:before="120" w:line="260" w:lineRule="atLeast"/>
        <w:ind w:left="720"/>
        <w:rPr>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lang w:val="en-US" w:eastAsia="en-US" w:bidi="ar-SA"/>
        </w:rPr>
      </w:pPr>
      <w:r>
        <w:rPr>
          <w:rFonts w:ascii="arial" w:eastAsia="arial" w:hAnsi="arial" w:cs="arial"/>
          <w:color w:val="000000"/>
          <w:sz w:val="20"/>
          <w:lang w:val="en-US" w:eastAsia="en-US" w:bidi="ar-SA"/>
        </w:rPr>
        <w:t>[74] Considering, therefore, the problem and fees occasioned by the incorporation, together with the clear warning and expectation of Mr. Loxterkamp being difficult, Mr. Cluff's fees will be reduced by $5,000.00, together with the tax thereon. The balance of the accounts are confirmed.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Cluff agrees that the "clearly wrong" standard of review applies. The main allegation of error is that the Master failed to make an initial basic assessment of the total amount of fees rendered in relation to the total amount of work done. I read the opening words of paragraph 72 of the reasons as implying that, Master Baker did in fact make an initial assessment of reasonableness after applying the statutory considerations, but before assessing the impact of Mr. Cluff's "sin". I do not find error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argued that the $5,000 reduction is an unfairly severe penalty in light of the reasonableness of the total accounts in relation to the amount of work done for a difficult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Master Baker's comment in paragraph 72 that the appropriate reduction is the sum for a typical chambers hearing, which he sets at $5,000 because of Mr. Cluff's letter of July 31, 2002 to his client providing that estimate, is somewhat at odds with the facts set out in paragraph 7. If Mr. Cluff's total accounts are divided by the number of entered orders (17) or the number of notices of motion and appeals (15) the fees per hearing would be in the range of $3,000, assuming no other work at all was done, which obviously is not a valid assumption. I would infer that Mr. Cluff did not in fact charge $5,000 per chambers hearing, notwithstanding his estimate provided on July 31,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Notwithstanding that apparent incongruity within the Master's reasons, the essence of his decision is that he faulted counsel for an error of judgment which allowed his client to confound the opponent and unnecessarily created more strife in the litigation and therefore unnecessary counsel work. He did not expressly find that one extra chambers hearing was made necessary, and he did not identify any specific hearing as caused by the error. I do not think that I can hold his assessment to be clearly wrong simply on the basis of this incongruity.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good measure of deference should be accorded to Registrars who hear the evidence and delve into the detail of reviews of lawyers' accounts pursuant to the Legal Profession Act. On this review, the key question was factual, namely: what were the ramifications of counsel's error of judgment, and how much extra, needless work stemmed from incorporating the company too soon? There can be no precise answer to that question; at best it can only be a rough estimate.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Frankly, I take the view that it was somewhat harsh to reduce an apparently reasonable account by more than 10% because counsel, in effect, misjudged his client's propensity to abuse the new company as a "tool of evasion". It is regrettable that such client misbehaviour is effectively rewarded by the reduction.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the fact that I hold a contrary opinion does not make Master Baker's decision clearly wrong, and I do not find reversible error. It is clear from paragraph 72 of the reasons that Mr. Cluff's fees for the extra "work and effort to rebut the presumptions and results" were reduced, not wholly deducted, so the client was not fully exonerated. There is an insufficient foundation for me to find error on the Registrar's part in quantifying the appropriate reduction in fees. Clear error not being established, the appeal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MEIKLEM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MacEachern (Committee of) v. Rennie, [2009] B.C.J. No. 1034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1034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652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Christina Marie MacEachern, by her committee, William James MacEachern, Plaintiff, and John Gardner Rennie, Canadian National Transportation Limited, also doing business as Canadian Nat'l Trans Ltd., Canadian National Railway Company, All Weather Products Ltd., Richard Allan Duncan and John Doe, Defendants, and John Gardner Rennie, Canadian National Transportation Limited, also doing business as Canadian Nat'l Trans Ltd., Canadian National Railway Company, All Weather Products Ltd., and Richard Allan Duncan,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12"/>
      <w:bookmarkEnd w:id="157"/>
      <w:r>
        <w:rPr>
          <w:rFonts w:ascii="arial" w:eastAsia="arial" w:hAnsi="arial" w:cs="arial"/>
          <w:b/>
          <w:color w:val="000000"/>
          <w:sz w:val="20"/>
          <w:lang w:val="en-US" w:eastAsia="en-US" w:bidi="ar-SA"/>
        </w:rPr>
        <w:t>Civil litigation — Civil procedure — Pleadings — Amendment of — Statement of claim — Adding new cause of action — Prejudice — Application by plaintiff injured in motor vehicle accident to amend statement of claim dismissed — Plaintiff sought to add new claim for government to recover costs of her hospitalization under s. 2 of the Health Care Cost Recovery Act — Application not brought until after start of trial, near end of plaintiff's case so to allow would unfairly disrupt trial and prejudice defendant — Defendant had not yet seen Minster's certificate outlining hospitalization costs so his opportunity to lead evidence to challenge claim severely compromised.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11"/>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amend her statement of claim. The plaintiff had been severely injured in a motor vehicle accident after she was struck by the defendant's tractor trailer. The plaintiff sought to add a claim for the government to recover $699,195 spent on her hospitalization under s. 2 of the Health Care Cost Recovery Act. The defendant argued the amendment was not allowed because there was no benefit to the plaintiff but prejudice to the defendant and the government could commence its own claim for recovery. The Attorney General intervened on the application and argued this was its only means of recovery because the limitation period to commence its own claim had expired.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9" w:name="Holdings of Court_9"/>
            <w:bookmarkEnd w:id="15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was brought after the start of the trial, near the end of the plaintiff's case. To allow the amendment would unfairly disrupt the trial and prejudice the defendant. The defendant had not yet sent the Minister's certificate outlining health care costs so his opportunity to lead evidence to challenge it was severely compromised.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Legislation Cited_11"/>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6"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hyperlink r:id="rId316" w:history="1">
        <w:r>
          <w:rPr>
            <w:rFonts w:ascii="arial" w:eastAsia="arial" w:hAnsi="arial" w:cs="arial"/>
            <w:i/>
            <w:color w:val="0077CC"/>
            <w:sz w:val="20"/>
            <w:u w:val="single"/>
            <w:shd w:val="clear" w:color="auto" w:fill="FFFFFF"/>
            <w:lang w:val="en-US" w:eastAsia="en-US" w:bidi="ar-SA"/>
          </w:rPr>
          <w:t>RSBC 1996, CHAPTER 238, s. 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Cost Recovery Act, </w:t>
      </w:r>
      <w:hyperlink r:id="rId317" w:history="1">
        <w:r>
          <w:rPr>
            <w:rFonts w:ascii="arial" w:eastAsia="arial" w:hAnsi="arial" w:cs="arial"/>
            <w:i/>
            <w:color w:val="0077CC"/>
            <w:sz w:val="20"/>
            <w:u w:val="single"/>
            <w:shd w:val="clear" w:color="auto" w:fill="FFFFFF"/>
            <w:lang w:val="en-US" w:eastAsia="en-US" w:bidi="ar-SA"/>
          </w:rPr>
          <w:t>SBC 2008, CHAPTER 27, s. 1</w:t>
        </w:r>
      </w:hyperlink>
      <w:r>
        <w:rPr>
          <w:rFonts w:ascii="arial" w:eastAsia="arial" w:hAnsi="arial" w:cs="arial"/>
          <w:color w:val="000000"/>
          <w:sz w:val="20"/>
          <w:lang w:val="en-US" w:eastAsia="en-US" w:bidi="ar-SA"/>
        </w:rPr>
        <w:t>, s. 2, s. 3, s. 8, s. 16, s. 20, s. 24, s. 28,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24(1)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1" w:name="Counsel_12"/>
      <w:bookmarkEnd w:id="1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R.B. Webster, Q.C., B. Webster-Evans, D.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Rennie, Canadian National Transportation: E.A. Dolden, K.S. Duffield, P. Dawson.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All Weather Products: R. McLennan, J.A. Dowler.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Intervenor, Attorney General of British Columbia: B.A. Carmichael.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12"/>
      <w:bookmarkEnd w:id="162"/>
      <w:r>
        <w:pict>
          <v:line id="_x0000_s1098"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W. EHRCKE J. (orally)"/>
            <w:bookmarkEnd w:id="163"/>
            <w:r>
              <w:rPr>
                <w:rFonts w:ascii="arial" w:eastAsia="arial" w:hAnsi="arial" w:cs="arial"/>
                <w:b/>
                <w:color w:val="000000"/>
                <w:sz w:val="30"/>
                <w:lang w:val="en-US" w:eastAsia="en-US" w:bidi="ar-SA"/>
              </w:rPr>
              <w:t>W. 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12, 2005, the plaintiff was severely injured when her head came in contact with a tractor-trailer driven by the defendant Rennie. The present action commenced by her committee on June 21, 2007,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various defendants. The trial of this action commenced on March 23, 2009, and we are now nearing the end of the plaintiff's case. The defendants' case is expected to last for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notice of motion dated April 21, 2009, the plaintiff seeks leave to amend its statement of claim in order to add a claim under s. 2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received Royal Assent on May 29, 2008, but did not come into force until April 1, 2009.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mechanism whereby the government may recover costs for health care services it has provided to beneficiaries whose injuries are a result of the wrongdoing of another. In this case the total amount of the claim under s.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$875,457.84. The defendants oppose the application to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amendment sought by the plaintiff to the statement of claim would add the following three paragraphs to the statement of claim:</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a beneficiary as defined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S.B.C. 2009.</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injuries suffered by the plaintiff as described herein, the government of British Columbia has made payments for health care services for on behalf of the plaintiff under the </w:t>
      </w:r>
      <w:r>
        <w:rPr>
          <w:rFonts w:ascii="arial" w:eastAsia="arial" w:hAnsi="arial" w:cs="arial"/>
          <w:i/>
          <w:color w:val="000000"/>
          <w:sz w:val="20"/>
          <w:lang w:val="en-US" w:eastAsia="en-US" w:bidi="ar-SA"/>
        </w:rPr>
        <w:t>Hospital Insurance Act, Medicare Protection Act, Continuing Care Act, Emergency and Health Services Act</w:t>
      </w:r>
      <w:r>
        <w:rPr>
          <w:rFonts w:ascii="arial" w:eastAsia="arial" w:hAnsi="arial" w:cs="arial"/>
          <w:color w:val="000000"/>
          <w:sz w:val="20"/>
          <w:lang w:val="en-US" w:eastAsia="en-US" w:bidi="ar-SA"/>
        </w:rPr>
        <w:t>, and other payments, to provide to the plaintiff health care treatment, aid, assistance or service, drugs, devices and other similar matters associated with her personal injuries.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 2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the plaintiff does hereby claim against the defendants, not including the Defendant Duncan, and each of the them, for the amount of payments made for or on behalf of the plaintiff under the </w:t>
      </w:r>
      <w:r>
        <w:rPr>
          <w:rFonts w:ascii="arial" w:eastAsia="arial" w:hAnsi="arial" w:cs="arial"/>
          <w:i/>
          <w:color w:val="000000"/>
          <w:sz w:val="20"/>
          <w:lang w:val="en-US" w:eastAsia="en-US" w:bidi="ar-SA"/>
        </w:rPr>
        <w:t>Hospital Insurance Act, Medicare Protection Act, Continuing Care Act, Emergency and Health Services Act</w:t>
      </w:r>
      <w:r>
        <w:rPr>
          <w:rFonts w:ascii="arial" w:eastAsia="arial" w:hAnsi="arial" w:cs="arial"/>
          <w:color w:val="000000"/>
          <w:sz w:val="20"/>
          <w:lang w:val="en-US" w:eastAsia="en-US" w:bidi="ar-SA"/>
        </w:rPr>
        <w:t>, and other payments, to provide to the plaintiff health care treatment, aid, assistance or service, drugs, devices and other similar matters associated with her personal injuries, particulars of which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2196"/>
        <w:gridCol w:w="1673"/>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Hospitalization: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$699,195.00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568"/>
        <w:gridCol w:w="2301"/>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MSP:</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30,689.64</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2091"/>
        <w:gridCol w:w="1778"/>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Ambulance: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2301"/>
        <w:gridCol w:w="1568"/>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Pharmaceutical: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10,154.02</w:t>
            </w:r>
          </w:p>
        </w:tc>
        <w:tc>
          <w:tcPr>
            <w:tcW w:w="563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Bear Creek Lodge: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132,629.02</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568"/>
        <w:gridCol w:w="2301"/>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$875,457.84</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the claim for damages in paragraph 30 would also be amended to specify that the claim for special damages is "including the Act claims set out in sections 28 and 29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second day of argument on this motion counsel for the plaintiff announced that the plaintiff was changing her position and would not be proceeding with the claim for MSP, ambulance, pharmaceutical or Bear Creek Lodge, but would only be proceeding with the claim for $699,195.00 for hospitalization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"beneficiary", "health care services", "past cost of health care services", "wrongdoer", and other terms used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In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"beneficiary" has the same meaning as in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cost of health care services" means the present value of the estimated total cost of all health care services that are provided, or are reasonably expected to be provided, to a beneficiary as a direct or indirect result of a personal injury described in section 2 after the date of settlement or, if there is no settlement, after the first day of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care practitioner" means any of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practitioner;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authorized to practise as a member of a health care profession or occupation that may be prescribed under section 25 (2) (a)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care services" means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benefits as defined in the </w:t>
      </w:r>
      <w:r>
        <w:rPr>
          <w:rFonts w:ascii="arial" w:eastAsia="arial" w:hAnsi="arial" w:cs="arial"/>
          <w:i/>
          <w:color w:val="000000"/>
          <w:sz w:val="20"/>
          <w:lang w:val="en-US" w:eastAsia="en-US" w:bidi="ar-SA"/>
        </w:rPr>
        <w:t>Hospital Insurance Act</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benefits as defined in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payments made by the government under the </w:t>
      </w:r>
      <w:r>
        <w:rPr>
          <w:rFonts w:ascii="arial" w:eastAsia="arial" w:hAnsi="arial" w:cs="arial"/>
          <w:i/>
          <w:color w:val="000000"/>
          <w:sz w:val="20"/>
          <w:lang w:val="en-US" w:eastAsia="en-US" w:bidi="ar-SA"/>
        </w:rPr>
        <w:t>Continuing Care Act</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expenditures, made directly or through one or more agents or intermediate bodies, by the government for emergency health services provided in respect of a beneficiary under the </w:t>
      </w:r>
      <w:r>
        <w:rPr>
          <w:rFonts w:ascii="arial" w:eastAsia="arial" w:hAnsi="arial" w:cs="arial"/>
          <w:i/>
          <w:color w:val="000000"/>
          <w:sz w:val="20"/>
          <w:lang w:val="en-US" w:eastAsia="en-US" w:bidi="ar-SA"/>
        </w:rPr>
        <w:t>Emergency and Health Services Act</w:t>
      </w:r>
      <w:r>
        <w:rPr>
          <w:rFonts w:ascii="arial" w:eastAsia="arial" w:hAnsi="arial" w:cs="arial"/>
          <w:color w:val="000000"/>
          <w:sz w:val="20"/>
          <w:lang w:val="en-US" w:eastAsia="en-US" w:bidi="ar-SA"/>
        </w:rPr>
        <w: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 or thing, including, without limitation, the provision of any health care treatment, aid, assistance or service or any drug, device or similar matter associated with personal injury,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which a payment or expenditure is or may be made, whether directly or through one or more agents or intermediaries, by the government in respect of a beneficiary,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designated by regulation under section 25 (2) (b)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care services claim", in relation to personal injury suffered by a beneficiary, means a claim for the recovery of the past and future costs of health care services attributable to that personal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cost of health care services" means the total cost of all health care services provided to a beneficiary as a direct or indirect result of a personal injury described in section 2, including those services provided up to and including the date of settlement or, if there is no settlement, the first day of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"wrongdoer" means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whose negligent or wrongful act or omission causes or contributes to a beneficiary's personal injury or death,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responsible at law for the acts or omissions of a person referred to in paragraph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2, upon which the plaintiff seeks to rely in the proposed amended statement of claim, provides that a beneficiary may recover from a wrongdoer the past and future costs of health care services "in the same manner as if those costs are paid or payable by the beneficiary" notwithstanding that payment was actually made by the government. In this case only the past cost of health care services is being claimed in the proposed amendment to the statement of claim. Section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If, as a direct or indirect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a beneficiary suffers a personal injury for which the beneficiary receives or could reasonably be expected to receive one or more health care services, the beneficiary may, subject to sections 6 [government may intervene in proceeding or assume conduct of claim] and 20 (2) and (3) [payments to the government], recover from the wrongdoer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past cost of health care services,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cost of health care services.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applies whether or not the personal injury was caused in whole or in part by the wrongdoer.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but subject to section 20 (2) and (3) [payments to the government], payment or expenditure by the government, whether directly or through one or more agents or intermediaries, under any of the Acts referred to in the definition of "health care services" or under any other government plan or scheme of insurance for past and future costs referred to in subsection (1) must not be construed to affect the right of the beneficiary to recover those costs in the same manner as if those costs are paid or payable by the beneficiary.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and future costs referred to in subsection (1) may be recovered as damages, compensatory damages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sets out a requirement that under specified circumstances a beneficiary who commences a legal proceeding against a wrongdoer for damages related to the beneficiary's personal injury or death must also include a health care services claim in that legal proceeding. Section 3 provides: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his or her own name or as a member of a class of persons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 beneficiary referred to in section 2 (1)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of this Act or his or her personal or other legal representative commences a legal proceeding against a person alleged to be the wrongdoer for damages arising from or related to the beneficiary's personal injury or death, the beneficiary or his or her personal or other legal representative must include a health care services claim in that legal proceeding.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if the government has already done either of the following:</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settled the health care services claim referred to in subsection (1);</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commenced a legal proceeding under section 8 (2)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 xml:space="preserve"> to recover the past and future costs of health care services.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health care services claim has not been included in a legal proceeding described in subsection (1), the court must permit amendment of the originating documents, up to 6 months after the date on which the originating documents were filed with the court, in order to provide for that inclusion.</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Nothing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prevents inclusion of a health care services claim under subsection (3) if the original legal proceeding for damages under subsection (1) is brought within the time limited for doing so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transition provisions in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however stipulate that the requirement in s. 3 does not apply to legal proceedings commenced before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 on April 1, 2009. Accordingly, although the plaintiff in this case has voluntarily chosen to apply to the court for leave to amend her statement of claim in order to include a claim for the past cost of health care services, she is not required to do so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since these proceedings were commenced before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if a beneficiary recovers an amount referred to in s. 3 for the cost of health care services he or she holds that amount in trust for the government. The defendants therefore submit that leave should not be granted for the proposed amendments to the statement of claim because the amendments would result in no personal benefit for the plaintiff but would occasion significant prejudice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any event, the defendants argue that if the proposed amendments are not allowed the government has another avenue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recovering the past cost of health care services through the application of s.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 that the government may commence a legal proceeding in its own name for the recovery of such costs. Section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and independent of its subrogated right under section 7 </w:t>
      </w:r>
      <w:r>
        <w:rPr>
          <w:rFonts w:ascii="arial" w:eastAsia="arial" w:hAnsi="arial" w:cs="arial"/>
          <w:i/>
          <w:color w:val="000000"/>
          <w:sz w:val="20"/>
          <w:lang w:val="en-US" w:eastAsia="en-US" w:bidi="ar-SA"/>
        </w:rPr>
        <w:t>[government has subrogated right]</w:t>
      </w:r>
      <w:r>
        <w:rPr>
          <w:rFonts w:ascii="arial" w:eastAsia="arial" w:hAnsi="arial" w:cs="arial"/>
          <w:color w:val="000000"/>
          <w:sz w:val="20"/>
          <w:lang w:val="en-US" w:eastAsia="en-US" w:bidi="ar-SA"/>
        </w:rPr>
        <w:t xml:space="preserve">, if, as a direct or indirect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a beneficiary suffers a personal injury for which the beneficiary receives or could reasonably be expected to receive one or more health care services, the government may recover from the wrongdoer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cost of health care services,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cost of health care services.</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may commence a legal proceeding in its own name for the recovery of the past and future costs of health care services referred to in subsection (1).</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applies whether or not the personal injury was caused in whole or in part by the wrongdoer.</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and future costs of health care services referred to in subsection (1) may be recovered as damages, compensatory damages or otherwise.</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(7), the government must not commence a legal proceeding under subsection (2) after the later of the following 2 dates: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expiration of the limitation period that applies to the beneficiary's right to commence a legal proceeding against the alleged wrongdoer for damages in respect of the personal injury referred to in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earliest of the following dates:</w:t>
      </w:r>
    </w:p>
    <w:p>
      <w:pPr>
        <w:numPr>
          <w:numId w:val="1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government first receives notice under section 4 </w:t>
      </w:r>
      <w:r>
        <w:rPr>
          <w:rFonts w:ascii="arial" w:eastAsia="arial" w:hAnsi="arial" w:cs="arial"/>
          <w:i/>
          <w:color w:val="000000"/>
          <w:sz w:val="20"/>
          <w:lang w:val="en-US" w:eastAsia="en-US" w:bidi="ar-SA"/>
        </w:rPr>
        <w:t>[requirement to notify government of claim]</w:t>
      </w: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or information under section 10 </w:t>
      </w:r>
      <w:r>
        <w:rPr>
          <w:rFonts w:ascii="arial" w:eastAsia="arial" w:hAnsi="arial" w:cs="arial"/>
          <w:i/>
          <w:color w:val="000000"/>
          <w:sz w:val="20"/>
          <w:lang w:val="en-US" w:eastAsia="en-US" w:bidi="ar-SA"/>
        </w:rPr>
        <w:t>[information from insurer]</w:t>
      </w: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is first provided with records or information from the beneficiary or his or her personal or other legal representative under section 11(2) </w:t>
      </w:r>
      <w:r>
        <w:rPr>
          <w:rFonts w:ascii="arial" w:eastAsia="arial" w:hAnsi="arial" w:cs="arial"/>
          <w:i/>
          <w:color w:val="000000"/>
          <w:sz w:val="20"/>
          <w:lang w:val="en-US" w:eastAsia="en-US" w:bidi="ar-SA"/>
        </w:rPr>
        <w:t>[beneficiary's duty to cooperate]</w:t>
      </w:r>
      <w:r>
        <w:rPr>
          <w:rFonts w:ascii="arial" w:eastAsia="arial" w:hAnsi="arial" w:cs="arial"/>
          <w:color w:val="000000"/>
          <w:sz w:val="20"/>
          <w:lang w:val="en-US" w:eastAsia="en-US" w:bidi="ar-SA"/>
        </w:rPr>
        <w:t>;</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under section 12 </w:t>
      </w:r>
      <w:r>
        <w:rPr>
          <w:rFonts w:ascii="arial" w:eastAsia="arial" w:hAnsi="arial" w:cs="arial"/>
          <w:i/>
          <w:color w:val="000000"/>
          <w:sz w:val="20"/>
          <w:lang w:val="en-US" w:eastAsia="en-US" w:bidi="ar-SA"/>
        </w:rPr>
        <w:t>[beneficiary's duty to give notice to minister before settlement]</w:t>
      </w:r>
      <w:r>
        <w:rPr>
          <w:rFonts w:ascii="arial" w:eastAsia="arial" w:hAnsi="arial" w:cs="arial"/>
          <w:color w:val="000000"/>
          <w:sz w:val="20"/>
          <w:lang w:val="en-US" w:eastAsia="en-US" w:bidi="ar-SA"/>
        </w:rPr>
        <w: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under section 13(1) (a) </w:t>
      </w:r>
      <w:r>
        <w:rPr>
          <w:rFonts w:ascii="arial" w:eastAsia="arial" w:hAnsi="arial" w:cs="arial"/>
          <w:i/>
          <w:color w:val="000000"/>
          <w:sz w:val="20"/>
          <w:lang w:val="en-US" w:eastAsia="en-US" w:bidi="ar-SA"/>
        </w:rPr>
        <w:t>[settlement of claims]</w:t>
      </w: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may include in a legal proceeding commenced under this section a claim for an order establishing liability for the personal injury or death suffered by a beneficiary referred to in section 2 (1)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and the claim may be made even after the expiration of the limitation period that applied to the beneficiary's right to commence a legal proceeding against the alleged wrongdoer, but any order granted in respect of that claim has effect only in relation to the health care services claim.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(5)(b) does not apply if the limitation period referred to in subsection (5)(a) has expired before the date that subsection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Finally, reference must be made to the evidentiary provisions in s. 16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apply regardless of whether the claim is brought by the plaintiff under ss. 2 and 3 or by the government directly under s. 8. Pursuant to s. 16 the amount of the claim may be proved by a certificate of the minister. Section 16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16 provides that: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purporting to have been issued by or on behalf of the minister for the purposes of</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health care services claim, or</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recovery under section 13 (5) [settlement of claims],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setting out the health care services that have been received by a beneficiary or class of beneficiaries and the health care services that a beneficiary or class of beneficiaries will likely receive in the future for personal injuries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proof of those health care services.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purporting to have been issued by or on behalf of the minister for the purposes of</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health care services claim, or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recovery under section 13 (5) [settlement of claims],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out the past cost of health care services, the future cost of health care services, or both, attributable to personal injury suffered by a beneficiary or a class of beneficiaries,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conclusive proof of the past cost of health care services, the future cost of health care services, or both,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present application for leave to amend the statement of claim is brought pursuant to Rule 24(1)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A party may amend an originating process or pleading issued or filed by the party at any time with leave of the court, and, subject to Rules 15(5) and 31(5)</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delivery of the notice of trial or hearing, and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the written consent of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general principles relating to an application for leave to amend pleadings are not in dispute among the parties and they are summarized in the judgment of McLachlin J. in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 at pp. 46 and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addressing the proposed pleadings, I refer to the principles which govern the granting of amendments to pleadings. The basic rule, set out expressly in the former rules and no doubt still applicable, is that such amendments should be permitted as are necessary to determine the real question in issue between the parties. Rule 1(5) requires an interpretation of the rules which permit the just and speedy determination of the dispute on its merits. Similarly,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R.S.B.C. 1979, c. 224, s. 10, requires the court to grant all such remedies as any of the parties may appear to be entitled to "so that, as far as possible, all matters in controversy between the parties may be completely and finally determined . . ." These provisions arguably support a generous approach to the question of amendments. However, the court will not allow useless amendments: </w:t>
      </w:r>
      <w:r>
        <w:rPr>
          <w:rFonts w:ascii="arial" w:eastAsia="arial" w:hAnsi="arial" w:cs="arial"/>
          <w:i/>
          <w:color w:val="000000"/>
          <w:sz w:val="20"/>
          <w:lang w:val="en-US" w:eastAsia="en-US" w:bidi="ar-SA"/>
        </w:rPr>
        <w:t>Gesman v. Regina (City)</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(1907), 1 Sask. L.R. 39</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7 W.L.R. 307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Hubbuck &amp; Sons Ltd. v. Wilkinson, Heywood &amp; Clark Ltd.</w:t>
      </w:r>
      <w:r>
        <w:rPr>
          <w:rFonts w:ascii="arial" w:eastAsia="arial" w:hAnsi="arial" w:cs="arial"/>
          <w:color w:val="000000"/>
          <w:sz w:val="20"/>
          <w:lang w:val="en-US" w:eastAsia="en-US" w:bidi="ar-SA"/>
        </w:rPr>
        <w:t xml:space="preserve">, [1899] 1 Q.B. 86 (C.A.). Similarly, it seems to me obvious that the court will not give its sanction to amendments which violate the rules which govern pleadings. These include the requirements relating to conciseness (R. 19(1)); material facts (R. 19(1)); particulars (R. 19(11)); and the prohibition against pleadings which disclose no reasonable claim or are otherwise scandalous, frivolous or vexatious (R. 19(24)). With respect to the latter, it may be noted that it is only in the clearest cases that a pleading will be struck out as disclosing no reasonable claim; where there is doubt on either the facts or law, the matter should be allowed to proceed for determination at trial: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xml:space="preserve"> (1962), 39 W.W.R. 112, </w:t>
      </w:r>
      <w:hyperlink r:id="rId320" w:history="1">
        <w:r>
          <w:rPr>
            <w:rFonts w:ascii="arial" w:eastAsia="arial" w:hAnsi="arial" w:cs="arial"/>
            <w:i/>
            <w:color w:val="0077CC"/>
            <w:sz w:val="20"/>
            <w:u w:val="single"/>
            <w:shd w:val="clear" w:color="auto" w:fill="FFFFFF"/>
            <w:lang w:val="en-US" w:eastAsia="en-US" w:bidi="ar-SA"/>
          </w:rPr>
          <w:t>34 D.L.R. (2d) 497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B.C. Power Corp. v. A.G.B.C.</w:t>
      </w:r>
      <w:r>
        <w:rPr>
          <w:rFonts w:ascii="arial" w:eastAsia="arial" w:hAnsi="arial" w:cs="arial"/>
          <w:color w:val="000000"/>
          <w:sz w:val="20"/>
          <w:lang w:val="en-US" w:eastAsia="en-US" w:bidi="ar-SA"/>
        </w:rPr>
        <w:t xml:space="preserve"> (1962), 38 W.W.R. 577, 34 D.L.R. (2d) at 211 (B.C.C.A.). If there is any doubt, it should be resolved in favour of permitting the pleadings to stand: </w:t>
      </w:r>
      <w:r>
        <w:rPr>
          <w:rFonts w:ascii="arial" w:eastAsia="arial" w:hAnsi="arial" w:cs="arial"/>
          <w:i/>
          <w:color w:val="000000"/>
          <w:sz w:val="20"/>
          <w:lang w:val="en-US" w:eastAsia="en-US" w:bidi="ar-SA"/>
        </w:rPr>
        <w:t>Winfield v. Interior Engr. Services Ltd.</w:t>
      </w:r>
      <w:r>
        <w:rPr>
          <w:rFonts w:ascii="arial" w:eastAsia="arial" w:hAnsi="arial" w:cs="arial"/>
          <w:color w:val="000000"/>
          <w:sz w:val="20"/>
          <w:lang w:val="en-US" w:eastAsia="en-US" w:bidi="ar-SA"/>
        </w:rPr>
        <w:t xml:space="preserve"> (1969), 68 W.W.R. 383, </w:t>
      </w:r>
      <w:hyperlink r:id="rId321" w:history="1">
        <w:r>
          <w:rPr>
            <w:rFonts w:ascii="arial" w:eastAsia="arial" w:hAnsi="arial" w:cs="arial"/>
            <w:i/>
            <w:color w:val="0077CC"/>
            <w:sz w:val="20"/>
            <w:u w:val="single"/>
            <w:shd w:val="clear" w:color="auto" w:fill="FFFFFF"/>
            <w:lang w:val="en-US" w:eastAsia="en-US" w:bidi="ar-SA"/>
          </w:rPr>
          <w:t>4 D.L.R. (3d) 533</w:t>
        </w:r>
      </w:hyperlink>
      <w:r>
        <w:rPr>
          <w:rFonts w:ascii="arial" w:eastAsia="arial" w:hAnsi="arial" w:cs="arial"/>
          <w:color w:val="000000"/>
          <w:sz w:val="20"/>
          <w:lang w:val="en-US" w:eastAsia="en-US" w:bidi="ar-SA"/>
        </w:rPr>
        <w:t xml:space="preserve"> (B.C.S.C.). While these cases deal with striking out claims already pleaded, consistency demands that the same considerations apply to the question of amendment to permit new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Whether to grant leave to amend a statement of claim is a matter of discretion. The factors to be determined by the court in exercising that discretion were discussed in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where Finch J.A. said at p.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concurring reasons, McEachern C.J. wrote at p. 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Applying the same principles regardless of whether the application is to add new defendants, as in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[1990] B.C.J. No. 487</w:t>
        </w:r>
      </w:hyperlink>
      <w:r>
        <w:rPr>
          <w:rFonts w:ascii="arial" w:eastAsia="arial" w:hAnsi="arial" w:cs="arial"/>
          <w:color w:val="000000"/>
          <w:sz w:val="20"/>
          <w:lang w:val="en-US" w:eastAsia="en-US" w:bidi="ar-SA"/>
        </w:rPr>
        <w:t xml:space="preserve">, or new causes of action, as in </w:t>
      </w:r>
      <w:r>
        <w:rPr>
          <w:rFonts w:ascii="arial" w:eastAsia="arial" w:hAnsi="arial" w:cs="arial"/>
          <w:i/>
          <w:color w:val="000000"/>
          <w:sz w:val="20"/>
          <w:lang w:val="en-US" w:eastAsia="en-US" w:bidi="ar-SA"/>
        </w:rPr>
        <w:t>Med Finance</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[1993] B.C.J. No. 1277</w:t>
        </w:r>
      </w:hyperlink>
      <w:r>
        <w:rPr>
          <w:rFonts w:ascii="arial" w:eastAsia="arial" w:hAnsi="arial" w:cs="arial"/>
          <w:color w:val="000000"/>
          <w:sz w:val="20"/>
          <w:lang w:val="en-US" w:eastAsia="en-US" w:bidi="ar-SA"/>
        </w:rPr>
        <w:t>, I believe the most important considerations, not necessarily in the following order,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(C.A.) the court held at p. 153: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24(1)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in British Columbia allows a party to amend an originating process or pleading. Amendments are allowed unless prejudice can be demonstrated by the opposite party or the amendment will be useless. The rationale for allowing amendments is to enable the real issues to be determined. The practice followed in civil matters when amendments are sought fulfils the fundamental objective of the civil rules which is to ensure the just, speedy and inexpensive determination of every proceeding on the merits. See </w:t>
      </w:r>
      <w:r>
        <w:rPr>
          <w:rFonts w:ascii="arial" w:eastAsia="arial" w:hAnsi="arial" w:cs="arial"/>
          <w:i/>
          <w:color w:val="000000"/>
          <w:sz w:val="20"/>
          <w:lang w:val="en-US" w:eastAsia="en-US" w:bidi="ar-SA"/>
        </w:rPr>
        <w:t>McLachlin and Taylor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xml:space="preserve"> (2nd Ed.) pp. 24-1 to 24-2-10, and the decision of this Court in </w:t>
      </w:r>
      <w:r>
        <w:rPr>
          <w:rFonts w:ascii="arial" w:eastAsia="arial" w:hAnsi="arial" w:cs="arial"/>
          <w:i/>
          <w:color w:val="000000"/>
          <w:sz w:val="20"/>
          <w:lang w:val="en-US" w:eastAsia="en-US" w:bidi="ar-SA"/>
        </w:rPr>
        <w:t>Chavez v. Sundance Cruises Corp.</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(1993), 15 C.P.C. (3d) 305</w:t>
        </w:r>
      </w:hyperlink>
      <w:r>
        <w:rPr>
          <w:rFonts w:ascii="arial" w:eastAsia="arial" w:hAnsi="arial" w:cs="arial"/>
          <w:color w:val="000000"/>
          <w:sz w:val="20"/>
          <w:lang w:val="en-US" w:eastAsia="en-US" w:bidi="ar-SA"/>
        </w:rPr>
        <w:t>, 309-10.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submit that the proposed amendments to the statement of claim are useless in that they provide no personal benefit to the plaintiff since any amount recovered by the plaintiff as a result of the amendments would be held in trust and ultimately paid to the government. Counsel for the plaintiff concedes that this is the case and that the plaintiff brought the present application to amend out of a sense of moral duty to assist the government in recovering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CN defendants make the further submission that there would be no significant prejudice to the government if the amendments were not allowed because the government could then bring its own action under s.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recover those same costs. Counsel for the Attorney General of British Columbia, who was granted leave to intervene on this application, does not agree with the defendants' submission on this point. She submits that it is now too late for the government to bring a claim under s. 8(1) because of the limitation period in s. 8(5)(a)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need not decide the interesting question of the proper interpretation of the effect of s. 8(5)(a) as the application before me can be decided on other grounds. Regardless of whether the limitation period for the government to bring a claim under s. 8(1) has expired or not, I am satisfied that the plaintiff's application to amend the statement of claim to bring a claim under s.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should be dismissed on the ground that the application was brought after the start of the trial near the end of the plaintiff's case, and to grant the application at this late stage would unfairly disrupt the trial and would significantly prejudice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trial commenced on March 23, 2009. Argument on this application was not heard until April 29 and 30. Plaintiff's counsel advises that he expects to close the plaintiff's case within the next few days. Counsel for the defendants submit that if the amendment were granted they would be facing a significant new claim in relation to which they have not had the benefit of any pre-trial discovery and for which they would want not only to call evidence but to cross-examine some of the plaintiff's witnesses whose testimony has already been completed. They say that if the past health care costs had been part of the statement of claim from the beginning of the trial they would have cross-examined some of the plaintiff's witnesses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submissions on this application counsel took varying positions on the proper characterization of the proposed amendments. Counsel for the CN defendants submitted that the amendments would amount to the addition of a new cause of action. Another characterization was that the amendments would add a new head of damages. Counsel for the plaintiff took the position that the amendments would only amount to a clarification of the existing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not necessary to come to a final conclusion on which of these descriptions most accurately captures the nature of the proposed amendments, since on any characterization, the amendments would have more than a merely cosmetic effect. Counsel for the plaintiff conceded that if the proposed amendments were not granted, then the plaintiff would not be in a position to pursue the claim for past health care costs at this trial. Indeed, counsel for the plaintiff went further and submitted that he agreed with the defendants that if as a result of the amendments it would be necessary for the defendants to call evidence that they would not otherwise have had to call, then the amendments should not be granted because of the disruption that this would cause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Nevertheless, counsel for the plaintiff submits that it would not be necessary for the defendants to call evidence in answer to the proposed claim for past health care costs due to the operation of s. 16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permits past health care costs to be proved by the filing of a Minister's certificate. Counsel for the plaintiff submits that the Minister's certificate is conclusive proof of the facts contained in it and is therefore not rebuttable. Consequently, in the plaintiff's submission, it would be pointless for the defendants to lead evidence or cross-examine the plaintiff's witnesses about the health care costs since that evidence or cross-examination could not, in law, have any effect in challenging the health care costs as set out in the Minister's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do not agree with the plaintiff's interpretation of s. 16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section sets out two different kinds of certificate evidence. Under s. 16(1) the Minister may file a certificate setting out the health care services that have been received by the beneficiary, and in the words of the section, that certificate "is proof of those health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16(2) is worded differently. Under s. 16(2), the Minister may file a certificate setting out the past cost of health care services and that certificate is "conclusive proof of the past cost of health care services.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word "conclusive" is used only in the second of the two subsections. Clearly the legislature intended there to be a significant difference between them. Section 16(1) creates a rebuttable presumption, while the presumption in s. 16(2) is irrebuttable. This interpretation is supported by s. 24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enactment provides that a document is evidence or proof of a fact, unless the context indicates that the document is conclusive evidence, the document is admissible in evidence in any proceeding, and the fact is deemed to be established in the absence of any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Notwithstanding the filing of a certificate under s. 16(1)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therefore, it is open to the defendants to contest whether all the health care services claimed in the Minister's certificate are attributable to the accident. In this case the defendants would argue that a portion of the plaintiff's health care costs between the time of the accident and the commencement of the trial are attributable to circumstances or conditions that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submit that in order to challenge the facts asserted in a s. 16(1) certificate they would need to cross-examine some of the plaintiff's witnesses who have already been called in this trial and whose testimony has been concluded. They say they would also need to call their own evidence which they have not been able to prepare since they have never had any pre-trial discovery in relation to the past health care cost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plaintiff and counsel for the intervenor submit that it might not be necessary for the defendants to call evidence if the claim were limited to a claim for hospital costs. The suggestion is that these costs are calculated on a simple </w:t>
      </w:r>
      <w:r>
        <w:rPr>
          <w:rFonts w:ascii="arial" w:eastAsia="arial" w:hAnsi="arial" w:cs="arial"/>
          <w:i/>
          <w:color w:val="000000"/>
          <w:sz w:val="20"/>
          <w:lang w:val="en-US" w:eastAsia="en-US" w:bidi="ar-SA"/>
        </w:rPr>
        <w:t>per diem</w:t>
      </w:r>
      <w:r>
        <w:rPr>
          <w:rFonts w:ascii="arial" w:eastAsia="arial" w:hAnsi="arial" w:cs="arial"/>
          <w:color w:val="000000"/>
          <w:sz w:val="20"/>
          <w:lang w:val="en-US" w:eastAsia="en-US" w:bidi="ar-SA"/>
        </w:rPr>
        <w:t xml:space="preserve"> basis, and there would be no realistic basis on which the defendants could contest hospital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cannot accept that submission. During argument on this motion, counsel for the defendants advised that they still have not seen a copy of the Minister's certificate. Since counsel have not seen what would actually be in the certificate, it is speculative to hypothesize that the defendants would have no factual basis to challenge it. The salient point is that in law, the defendants are at liberty to lead evidence to challenge the facts asserted in a s. 16(1) certificate. Their opportunity to lead such evidence has been irreparably compromised by the fact that the application to amend the statement of claim, to add the claim for past health care costs was brought so late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Because of the prejudice that the proposed amendments would cause to the defendants, and in light of the fact that the plaintiff would not enjoy any personal benefit from the addition of a claim for past health care costs, the application for leave to amend the statement of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March v. Tam, [2002] B.C.J. No. 1749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20, 2001, January 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C943307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237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Penny March, plaintiff, and Tommy Siu Lam Tam, Connie Cheung Chiu, B.C. Pest Control Ltd., B.C. Pest Control Ltd. carrying on business as Paratex International, Greg St. Hilaire, Dow Chemical Canada Inc., Dowelanco Canada Inc. and Sun Gro Horticulture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4" w:name="Keywords_13"/>
      <w:bookmarkEnd w:id="164"/>
      <w:r>
        <w:rPr>
          <w:rFonts w:ascii="arial" w:eastAsia="arial" w:hAnsi="arial" w:cs="arial"/>
          <w:b/>
          <w:color w:val="000000"/>
          <w:sz w:val="20"/>
          <w:lang w:val="en-US" w:eastAsia="en-US" w:bidi="ar-SA"/>
        </w:rPr>
        <w:t>Practice — Dismissal of action — Grounds, general and want of prosecution — Delay — Excuse for delay — Prejudice to defendant — Bars, waiver or estoppel.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5" w:name="Case Summary_12"/>
            <w:bookmarkEnd w:id="1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Tam and the other defendants to have the action dismissed for want of prosecution. March leased residential premises from Tam and Chiu in April, 1992. Carpenter ants were discovered and Tam arranged to have the defendants BC Pest Control carry out three insecticide spray treatments at the premises. March alleged that as a consequence of the spraying of the house with certain chemicals, she developed severe asthmatic symptoms in the summer of 1992. She claimed that Tam and Chiu carried out repairs to the house without her consent as a result of which her symptoms were exacerbated. The action was commenced on June 18, 1994 against Tam, Chiu and Pest Control. March maintained that at that time she had no knowledge or information to suggest that the chemicals themselves were toxic to humans and that she first became aware of that possibility on August 22, 1994 when Pest Control delivered its defence. It took until early March, 1995 to identify the manufacturers and distributors of the chemicals. In March 1995 she moved to add Dow Chemical, Dowelanco Canada Inc., Sun Gro Horticulture, and Wilson Laboratories as defendants. The motion was adjourned a number of times at Dow's request. In September 1995 the order was granted. Dow appealed the order. The appeal was abandoned in January 1997. March still had not filed an amended statement of claim. The only discoveries conducted were of March and the defendant St. Hilaire.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6" w:name="Holdings of Court_10"/>
            <w:bookmarkEnd w:id="166"/>
            <w:r>
              <w:rPr>
                <w:rFonts w:ascii="arial" w:eastAsia="arial" w:hAnsi="arial" w:cs="arial"/>
                <w:color w:val="000000"/>
                <w:sz w:val="20"/>
                <w:lang w:val="en-US" w:eastAsia="en-US" w:bidi="ar-SA"/>
              </w:rPr>
              <w:t>HELD: Application granted and the action was dismissed against all defendants except Sun Gro Horticulture, which did not appear, and its application was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demonstrated that there had been inordinate delay in the prosecution of March's claims. The amended pleading had still not been filed and no trial date had been arranged. No substantive step had been taken in the action since the examinations held in June 1996. The inordinate delay was inexcusable. March's solicitor was under the impression that his lackadaisical approach to the conduct of the litigation did not meet with the objection of the defendants or their counsel. That impression was dispelled at the latest in February 1998 when Pest Control's solicitors notified him that they intended to bring the application for dismissal. March did not rebut the presumption of prejudice arising from the delay. The balance of justice lay in favour of dismissing the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7" w:name="Legislation Cited_12"/>
      <w:bookmarkEnd w:id="1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2(7). Limitations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8" w:name="Counsel_13"/>
      <w:bookmarkEnd w:id="1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J. Taylor, for the plaintiff. Ian D. Mackie, for the defendants, Tommy Siu Lam Tam and Connie Cheung Chiu. Harmon C. Hayden, for the defendants, B.C. Pest Control Ltd., B.C. Pest Control Ltd. carrying on business as Paratex International, Greg St. Hilaire. David M. Towill, for the defendants, Dow Chemical Canada Inc., and Dowelanco Canada Inc. Jeff Christian, for the defendant, Sun Gro Horticulture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9" w:name="Judgment_13"/>
      <w:bookmarkEnd w:id="169"/>
      <w:r>
        <w:pict>
          <v:line id="_x0000_s1103"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0" w:name="SCARTH J."/>
            <w:bookmarkEnd w:id="170"/>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have this action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2(7) of the Rules of Court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Dismissal for want of prosecution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upon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principles which govern the exercise of the Court's discretion in deciding whether to dismiss an action for want of prosecution are derived from the reasons for judgment of Lord Justice Salmon in Allen v. Sir Alfred McAlpine &amp; Sons; Bostic v. Bermondsey &amp; Southwark Group Hosp. Mgmt. Ctee; Sternberg v. Hammond, [1968] 2 Q.B. 229, [1968] 1 All E.R. 543 (C.A.), at pp. 268-69, [pp. 561-62]. See Irving v. Irving </w:t>
      </w:r>
      <w:hyperlink r:id="rId334"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(B.C.C.A.), at pp. 321-324. During the past two decades there has been some evolution of the principles, primarily with respect to which party bears the onus of proof: Busse v. Robinson Morelli Chertkow </w:t>
      </w:r>
      <w:hyperlink r:id="rId335" w:history="1">
        <w:r>
          <w:rPr>
            <w:rFonts w:ascii="arial" w:eastAsia="arial" w:hAnsi="arial" w:cs="arial"/>
            <w:i/>
            <w:color w:val="0077CC"/>
            <w:sz w:val="20"/>
            <w:u w:val="single"/>
            <w:shd w:val="clear" w:color="auto" w:fill="FFFFFF"/>
            <w:lang w:val="en-US" w:eastAsia="en-US" w:bidi="ar-SA"/>
          </w:rPr>
          <w:t>(1999), 63 B.C.L.R. (3d) 174</w:t>
        </w:r>
      </w:hyperlink>
      <w:r>
        <w:rPr>
          <w:rFonts w:ascii="arial" w:eastAsia="arial" w:hAnsi="arial" w:cs="arial"/>
          <w:color w:val="000000"/>
          <w:sz w:val="20"/>
          <w:lang w:val="en-US" w:eastAsia="en-US" w:bidi="ar-SA"/>
        </w:rPr>
        <w:t xml:space="preserve"> (B.C.C.A.). From these and other decisions of the Court of Appeal for British Columbia and of this Court to which I was referred by counsel, including: Lindholm v. Pollen </w:t>
      </w:r>
      <w:hyperlink r:id="rId336"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(B.C.S.C.); Dressew Supply Ltd. v. Laurentian Pacific Insurance Co., </w:t>
      </w:r>
      <w:hyperlink r:id="rId337" w:history="1">
        <w:r>
          <w:rPr>
            <w:rFonts w:ascii="arial" w:eastAsia="arial" w:hAnsi="arial" w:cs="arial"/>
            <w:i/>
            <w:color w:val="0077CC"/>
            <w:sz w:val="20"/>
            <w:u w:val="single"/>
            <w:shd w:val="clear" w:color="auto" w:fill="FFFFFF"/>
            <w:lang w:val="en-US" w:eastAsia="en-US" w:bidi="ar-SA"/>
          </w:rPr>
          <w:t>[1993] B.C.J. No. 411</w:t>
        </w:r>
      </w:hyperlink>
      <w:r>
        <w:rPr>
          <w:rFonts w:ascii="arial" w:eastAsia="arial" w:hAnsi="arial" w:cs="arial"/>
          <w:color w:val="000000"/>
          <w:sz w:val="20"/>
          <w:lang w:val="en-US" w:eastAsia="en-US" w:bidi="ar-SA"/>
        </w:rPr>
        <w:t xml:space="preserve"> (S.C.B.C.); Charles v. McQuarrie,[1993] B.C.J. No. 1187 (B.C.S.C.); Haight-Smith v. Stephens (Guardian Ad Litem Of), </w:t>
      </w:r>
      <w:hyperlink r:id="rId338" w:history="1">
        <w:r>
          <w:rPr>
            <w:rFonts w:ascii="arial" w:eastAsia="arial" w:hAnsi="arial" w:cs="arial"/>
            <w:i/>
            <w:color w:val="0077CC"/>
            <w:sz w:val="20"/>
            <w:u w:val="single"/>
            <w:shd w:val="clear" w:color="auto" w:fill="FFFFFF"/>
            <w:lang w:val="en-US" w:eastAsia="en-US" w:bidi="ar-SA"/>
          </w:rPr>
          <w:t>[1995] B.C.J. No. 2580</w:t>
        </w:r>
      </w:hyperlink>
      <w:r>
        <w:rPr>
          <w:rFonts w:ascii="arial" w:eastAsia="arial" w:hAnsi="arial" w:cs="arial"/>
          <w:color w:val="000000"/>
          <w:sz w:val="20"/>
          <w:lang w:val="en-US" w:eastAsia="en-US" w:bidi="ar-SA"/>
        </w:rPr>
        <w:t xml:space="preserve"> (B.C.S.C.); Star-Ten Contracting Ltd. v. Laurentian Pacific </w:t>
      </w:r>
      <w:hyperlink r:id="rId339" w:history="1">
        <w:r>
          <w:rPr>
            <w:rFonts w:ascii="arial" w:eastAsia="arial" w:hAnsi="arial" w:cs="arial"/>
            <w:i/>
            <w:color w:val="0077CC"/>
            <w:sz w:val="20"/>
            <w:u w:val="single"/>
            <w:shd w:val="clear" w:color="auto" w:fill="FFFFFF"/>
            <w:lang w:val="en-US" w:eastAsia="en-US" w:bidi="ar-SA"/>
          </w:rPr>
          <w:t>(1997), 42 B.C.L.R. (3d) 244</w:t>
        </w:r>
      </w:hyperlink>
      <w:r>
        <w:rPr>
          <w:rFonts w:ascii="arial" w:eastAsia="arial" w:hAnsi="arial" w:cs="arial"/>
          <w:color w:val="000000"/>
          <w:sz w:val="20"/>
          <w:lang w:val="en-US" w:eastAsia="en-US" w:bidi="ar-SA"/>
        </w:rPr>
        <w:t xml:space="preserve"> (B.C.C.A.); Richards v. Taylor, </w:t>
      </w:r>
      <w:hyperlink r:id="rId340" w:history="1">
        <w:r>
          <w:rPr>
            <w:rFonts w:ascii="arial" w:eastAsia="arial" w:hAnsi="arial" w:cs="arial"/>
            <w:i/>
            <w:color w:val="0077CC"/>
            <w:sz w:val="20"/>
            <w:u w:val="single"/>
            <w:shd w:val="clear" w:color="auto" w:fill="FFFFFF"/>
            <w:lang w:val="en-US" w:eastAsia="en-US" w:bidi="ar-SA"/>
          </w:rPr>
          <w:t>[1997] B.C.J. No. 2243</w:t>
        </w:r>
      </w:hyperlink>
      <w:r>
        <w:rPr>
          <w:rFonts w:ascii="arial" w:eastAsia="arial" w:hAnsi="arial" w:cs="arial"/>
          <w:color w:val="000000"/>
          <w:sz w:val="20"/>
          <w:lang w:val="en-US" w:eastAsia="en-US" w:bidi="ar-SA"/>
        </w:rPr>
        <w:t xml:space="preserve"> (B.C.S.C.); Galati v. Insurance Corporation of British Columbia, </w:t>
      </w:r>
      <w:hyperlink r:id="rId341" w:history="1">
        <w:r>
          <w:rPr>
            <w:rFonts w:ascii="arial" w:eastAsia="arial" w:hAnsi="arial" w:cs="arial"/>
            <w:i/>
            <w:color w:val="0077CC"/>
            <w:sz w:val="20"/>
            <w:u w:val="single"/>
            <w:shd w:val="clear" w:color="auto" w:fill="FFFFFF"/>
            <w:lang w:val="en-US" w:eastAsia="en-US" w:bidi="ar-SA"/>
          </w:rPr>
          <w:t>[1997] B.C.J. No. 2129</w:t>
        </w:r>
      </w:hyperlink>
      <w:r>
        <w:rPr>
          <w:rFonts w:ascii="arial" w:eastAsia="arial" w:hAnsi="arial" w:cs="arial"/>
          <w:color w:val="000000"/>
          <w:sz w:val="20"/>
          <w:lang w:val="en-US" w:eastAsia="en-US" w:bidi="ar-SA"/>
        </w:rPr>
        <w:t xml:space="preserve"> (B.C.S.C.); Rhyolite Resources Inc. v. Canquest Resources Corp., </w:t>
      </w:r>
      <w:hyperlink r:id="rId342" w:history="1">
        <w:r>
          <w:rPr>
            <w:rFonts w:ascii="arial" w:eastAsia="arial" w:hAnsi="arial" w:cs="arial"/>
            <w:i/>
            <w:color w:val="0077CC"/>
            <w:sz w:val="20"/>
            <w:u w:val="single"/>
            <w:shd w:val="clear" w:color="auto" w:fill="FFFFFF"/>
            <w:lang w:val="en-US" w:eastAsia="en-US" w:bidi="ar-SA"/>
          </w:rPr>
          <w:t>[1997] B.C.J. No. 2608</w:t>
        </w:r>
      </w:hyperlink>
      <w:r>
        <w:rPr>
          <w:rFonts w:ascii="arial" w:eastAsia="arial" w:hAnsi="arial" w:cs="arial"/>
          <w:color w:val="000000"/>
          <w:sz w:val="20"/>
          <w:lang w:val="en-US" w:eastAsia="en-US" w:bidi="ar-SA"/>
        </w:rPr>
        <w:t xml:space="preserve"> (B.C.S.C.); </w:t>
      </w:r>
      <w:hyperlink r:id="rId343" w:history="1">
        <w:r>
          <w:rPr>
            <w:rFonts w:ascii="arial" w:eastAsia="arial" w:hAnsi="arial" w:cs="arial"/>
            <w:i/>
            <w:color w:val="0077CC"/>
            <w:sz w:val="20"/>
            <w:u w:val="single"/>
            <w:shd w:val="clear" w:color="auto" w:fill="FFFFFF"/>
            <w:lang w:val="en-US" w:eastAsia="en-US" w:bidi="ar-SA"/>
          </w:rPr>
          <w:t>(1999), 64 B.C.L.R. (3d) 80</w:t>
        </w:r>
      </w:hyperlink>
      <w:r>
        <w:rPr>
          <w:rFonts w:ascii="arial" w:eastAsia="arial" w:hAnsi="arial" w:cs="arial"/>
          <w:color w:val="000000"/>
          <w:sz w:val="20"/>
          <w:lang w:val="en-US" w:eastAsia="en-US" w:bidi="ar-SA"/>
        </w:rPr>
        <w:t xml:space="preserve"> (B.C.C.A.); M.G. Heating &amp; Plumbing Ltd. v. Rooth's Construction Ltd. </w:t>
      </w:r>
      <w:hyperlink r:id="rId344" w:history="1">
        <w:r>
          <w:rPr>
            <w:rFonts w:ascii="arial" w:eastAsia="arial" w:hAnsi="arial" w:cs="arial"/>
            <w:i/>
            <w:color w:val="0077CC"/>
            <w:sz w:val="20"/>
            <w:u w:val="single"/>
            <w:shd w:val="clear" w:color="auto" w:fill="FFFFFF"/>
            <w:lang w:val="en-US" w:eastAsia="en-US" w:bidi="ar-SA"/>
          </w:rPr>
          <w:t>(2000), 6 C.L.R. (3d) 101</w:t>
        </w:r>
      </w:hyperlink>
      <w:r>
        <w:rPr>
          <w:rFonts w:ascii="arial" w:eastAsia="arial" w:hAnsi="arial" w:cs="arial"/>
          <w:color w:val="000000"/>
          <w:sz w:val="20"/>
          <w:lang w:val="en-US" w:eastAsia="en-US" w:bidi="ar-SA"/>
        </w:rPr>
        <w:t xml:space="preserve"> (B.C.S.C.); and Stryk v. Curtain, </w:t>
      </w:r>
      <w:hyperlink r:id="rId345" w:history="1">
        <w:r>
          <w:rPr>
            <w:rFonts w:ascii="arial" w:eastAsia="arial" w:hAnsi="arial" w:cs="arial"/>
            <w:i/>
            <w:color w:val="0077CC"/>
            <w:sz w:val="20"/>
            <w:u w:val="single"/>
            <w:shd w:val="clear" w:color="auto" w:fill="FFFFFF"/>
            <w:lang w:val="en-US" w:eastAsia="en-US" w:bidi="ar-SA"/>
          </w:rPr>
          <w:t>[2001] B.C.J. No. 128</w:t>
        </w:r>
      </w:hyperlink>
      <w:r>
        <w:rPr>
          <w:rFonts w:ascii="arial" w:eastAsia="arial" w:hAnsi="arial" w:cs="arial"/>
          <w:color w:val="000000"/>
          <w:sz w:val="20"/>
          <w:lang w:val="en-US" w:eastAsia="en-US" w:bidi="ar-SA"/>
        </w:rPr>
        <w:t xml:space="preserve"> (B.C.S.C.), I conclude that the principles of law which govern the exercise of the Court's discretion in the circumstances of this case may in summary form be stated as follows: The defendants must establish that there has been inordinate delay and that this delay is inexcusable. If those two factors are established a rebuttable presumption of prejudice arises and the onus shifts to the plaintiff to prove on a balance of probabilities that the defendants have not suffered prejudice or that on balance justice demands that the action not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pause to note that when the hearing of the defendants' applications resumed on March 4th the defendant Sun Gro Horticulture Ltd. did not appear and was not represented by counsel. I was told by plaintiff's counsel, Mr. Taylor, that Sun Gro had agreed with the plaintiff to compromise the claim and by consent Sun Gro's application to dismiss the action for want of prosecution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factual background to the applications is as follows. The plaintiff Ms. March leased residential premises on Glenbrook Drive in Richmond from the defendants Mr. Tam and Ms. Chiu at the end of April, 1992. Upon taking possession of the premises on June 2, 1992 Ms. March discovered the presence of carpenter ants in the house. She contacted Mr. Tam. Arrangements were made to have the defendants B.C. Pest Control Ltd., B.C. Pest Control Ltd. carrying on business as Paratex International and Greg St. Hilaire (collectively "B.C. Pest Control") attend at the premises. Between June 26, 1992 and August 26, 1992 B.C. Pest Control carried out three insecticide spray treatments at the premises. Ms. March alleges that on the occasion of the August spraying she was invited into the house by Mr. St. Hilaire to show him the location of the ants. She claims that as a consequence of the spraying of the house with certain chemicals, Dursban and Drione, she developed severe asthmatic symptoms in the summer of 1992. She also claims that Mr. Tam and Ms. Chiu carried out repairs to the house without her consent as a result of which her symptoms were exacerbated. Ms. March vacated the premises on or about October 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plaintiff's initial consultation with the solicitor retained by her to conduct this action on her behalf took place on February 16, 1993. I shall refer to this solicitor as "Mr. L.". Mr. L. commenced this action on June 18, 1994 by filing the writ of summons and statement of claim. In his affidavit sworn to May 28, 1995 and filed May 29, 1995 Mr. L. explains that it was not until May 16, 1994 that the terms of his retainer were settled. Named as defendants in the action were Mr. Tam, Ms. Chiu and "B.C. Pest Control". In essence the plaintiff's claim is for damages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exposing her to the harmful effects of the chemicals used in spraying the house and of dust resulting from repairs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 appearance was filed on behalf of Mr. Tam and Ms. Chiu on June 23, 1994. Their statement of defence was filed on October 6, 1994. "B.C. Pest Control" filed an appearance on June 23, 1994. Their statement of defence was filed on August 18,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 deposes in his affidavit of May 28, 1995 that at the time of filing the writ he had "no knowledge or information to suggest that the chemicals themselves were toxic to humans if used properly". He first became aware of that possibility on August 22, 1994 when he received the statement of defence of "B.C. Pest Control" and subsequently, on October 18, 1994, copies of their documents. Thereafter he made inquiries of several governmental agencies regarding the toxic nature of the chemicals. According to Mr. L. it took until early March, 1995 for him to identify the manufacturers and distributors of the chemicals.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14, 1995 Mr. L. filed a notice of motion and supporting affidavits for an order adding Dow Chemical Canada Inc., Dowelanco Canada Inc., Sun Gro Horticulture Canada Ltd. and Wilson Laboratories Inc. as defendants and amending the writ of summons and statement of claim. In his affidavit sworn to January 2, 2002 Mr. L. deposes that the application to join the Dow Chemical defendants was initially set to be heard in March, 1995 and adjourned a number of times at Dow's request. It was heard on September 22, 1995. On September 29 the Court ordered that Dow Chemical Canada Inc., Dowelanco Canada Inc. and Sun Gro Horticulture Canada Ltd. be joined as defendants for all purposes, that leave be granted to amend the statement of claim consequential upon the addition of those defendants, and that the running of time in respect of the plaintiff's cause of action as against those defendants be postponed until March 1, 1995. The order was entered on December 13,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"Dow Chemical defendants" appealed the order made on September 29, 1995 pursuant to which they were added as defendants. According to Mr. L. the appeal was not determined until late January, 1997 when it was abandoned and treated 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affidavit of January 2, 2002 Mr. L. deposes: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time that elapsed between the Order of Mr. Justice Hall [September 29, 1995] and the determination of the appeal [January 31, 1997], I formed the view that it would not be prudent to take all of the steps that may ordinarily be taken in the prosecution of the claim. The reason I formed this view was that I believed issues may arise because of the joinder or nonjoinder of defendants which would influence litigation strategy and various other interlocutory matters that had to be dealt with. Throughout this time frame, I do not recall that I received any comment or complaint from any other counsel concerning any perceived inactivity with respect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What occurred in this action during the 16 month period between September 29, 1995 and the end of January, 1997 may be summarized as follows. First, with respect to the "Dow Chemical defendants'" appeal from the order made on September 29, 1995, Dow applied for leave to appeal on October 26, 1995. The order of September 29th was finally settled on December 11, 1995 and entered on December 13th. Leave to appeal was granted on January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 conflict in the material before me as to what occurred regarding the appeal. James A. McJannet, an associate with the firm of solicitors acting for Mr. Tam and Ms. Chiu, deposes in his affidavit sworn to April 11, 2001, that the appeal was abandoned by Dow during the hearing on January 31, 1997. On the other hand, Rachel Fisher, an associate with the law firm acting for the "Dow Chemical defendants", in her affidavit sworn to April 29, 2001, deposes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Leave was granted on January 8, 1996 and as a result the Dow defendants did not file a statement of defence until October 25, 1996, after they had applied for leave to abandon the appeal. Leave was granted on January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My search of the Court record indicates that the statement of defence of Dow Chemical Canada Inc. and Dowelanco Canada Inc. was filed On October 25,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Second of all, notwithstanding the terms of the order made on September 29, 1995 pursuant to which the plaintiff was "granted leave to amend the Statement of Claim herein to make amendments consequential upon the addition of the Defendants, Dow Chemical Canada Inc., Dowelanco Canada Inc. and SunGro Horticulture Canada Ltd.", the plaintiff has not filed an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date of April 2, 1997 the solicitors for "B.C. Pest Control" wrote Mr. L. and asked for a copy of the amended writ of summons and statement of claim. It was not until March 6, 1998 that Mr. L. wrote the solicitors for each of the parties with a copy of the amended statement of claim and a form of consent to the filing of that pleading. The solicitors for all defendants with the exception of Sun Gro endorsed and returned the form of consent. The position of Sun Gro, as I understand it, is that it was never served with an originating process - the writ of summons and statement of claim - and therefore would not consent to the amended pleading. According to the affidavit of Christian I. Cu, an associate with the firm of solicitors acting for Sun Gro, counsel for Sun Gro, Mr. Christian, believes that Sun Gro's position was communicated to plaintiff's counsel by telephone on or about April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affidavit of January 2, 2002 Mr. L. deposes: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determination for the appeal proceedings, I circulated to counsel an Amended Writ of Summons and Statement of Claim and requested Defence counsel to provide their consent to the filing of the amended pleadings. Each of the Defendants, through their solicitors, endorsed their consent to the pleadings with the exception of Mr. Christian, the solicitor for Sun Grow Horticulture Ltd.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material time, I sought the consent of Defence counsel to the amendments out of an abundance of caution and what I considered to be courtesy to counsel. Upon reflection and after reconsidering the Order made by Mr. Justice Hall, it is my view that no specific consent was, in fact, required because the amendments appear to be consequential to the addition of the Dow Chemical Defendants and Sun Grow as party Defendants.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did not receive by return the form of consent from Mr. Christian, I was not entirely sure what proper reason was being advanced for the disagreement with the amended pleading. At that time, because I continued to believe that there was ongoing cooperation between counsel, I expected that there would be some further discussion in due course and the pleadings issue would be resolved. I concluded that matters may be advanced if a case management judge were assigned to assist the parties and counsel with procedural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Thirdly, the original statement of defence of Mr. Tam and Ms. Chiu was filed on October 6, 1994. Under date of July 4, 1995 the solicitors for Mr. Tam and Ms. Chiu delivered to plaintiff's solicitors a request for further and better particulars of paragraph 27 of the statement of claim,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health, safety and housing standards required by law that these Defendants are alleged to have failed to provide and maintain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 sought an accommodation of time due to his absence from the office until mid-August. A follow-up letter for the particulars was sent on October 10, 1995, as well as a request by telephone to an associate with Mr. L.'s firm on November 16th. The reply to the request for particulars was delivered on June 24, 1996. On April 21, 1998 the solicitors for Mr. Tam and Ms. Chiu delivered an amended statement of defence to plaintiff's solicitors with a form of consent to its filing. Mr. L. endorsed and returned the form of consent on April 23rd. It does not appear that the amended statement of defence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Fourthly, the material indicates that the plaintiff, Ms. March, and the defendant, Mr. St. Hilaire, were examined for discovery during the period June 24 to June 26, 1996. In that regard Mr. L. deposes: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it was apparent to me that the evidence of certain key witnesses ought to be crystallized at a reasonably early juncture, so that no parties would be unduly prejudiced, steps were taken to schedule and hold Examinations for Discovery in or about June, 1996. The Plaintiff, Ms. March, was examined extensively by counsel for the B.C. Pest Control Defendants in that timeframe and the Defendant, Greg St. Hilaire was also discovered during this time. To the best of my recollection, Mr. Mackie, counsel for the Defendants Tam and Chiu was also present at the Examination for Discovery of Ms. March. It was clear to me, and I believed clear to other counsel as well, that the facts surrounding the alleged incidents of pesticide spraying were of importance to the resolutions of the issues before this Court. In that regard, it has always been obvious that the two witnesses who would have relevant evidence were Ms. March and Mr. St. Hilaire. I believe that with their evidence on the key incidents of spraying, and the surrounding circumstances crystallized at a time when the events were relatively fresh in their minds and the parties are not unduly prejudiced by the passage of time that it has taken to bring this matter forward for a determination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does not appear that an examination for discovery of any other party has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 asserts that during his examination for discovery of Mr. St. Hilaire on June 24 and 25, 1996 several matters in respect of which requests had been made for information remained outstanding. A letter dated September 11, 1996 from Mr. St. Hilaire's counsel "by no means responded to all of the requests that had been left outstanding" from the examination for discovery of Mr. St. Hilaire, Mr. L. deposes. It was his understanding that "further information would be forthcoming". On the other hand, in the letter of September 11 counsel for "B.C. Pest Control"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the only outstanding request is the legal relationship between Paratex International and B.C. Pest Control Ltd. We will provide this information to you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his part Mr. L. contends that there is only one very narrow issue remaining outstanding from the plaintiff's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Fifthly, by notice of trial filed on January 25, 1996 the plaintiff set this action down for hearing on December 1, 1997. By praecipe filed July 3, 1997 plaintiff's solicitor adjourned the trial generally from September 2, 1997 the date tentatively arranged by plaintiff's solicitor on March 21, 1996, "by consent". A new trial date has not been set albeit, in a letter dated April 2, 1997 the solicitors for "B.C. Pest Control" asked plaintiff's solicitors if they would "be taking steps to set this matter down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under date of November 15, 1996 counsel for Mr. Tam and Ms. Chiu wrote plaintiff's solicitors and asked for a further copy of the plaintiff's clinical records (the ones originally provided on June 14, 1995 having been misplaced) and copies of any updated clinical records. Follow-up requests were made on December 17, 1996, January 7, 1997 and February 4, 1997. Mr. L. provided copies of the clinical records under cover of a letter dated February 12,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apparent from Mr. L.'s affidavit that he was under the impression that his somewhat lackadaisical approach to the conduct of this litigation did not meet with the objection of the defendants or their counsel. He deposes: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Throughout this time frame [September 29, 1995 to January 31, 1997], I do not recall that I received any comment or complaint from any other counsel concerning any perceived inactivity with respect to this 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early 1997, I had formed the tentative view that the other counsel involved in this case, like me, had concluded that the issues to be resolved may be complex and would require some careful thought to properly present. Certainly, from the time that the claim was started, there has not appeared to be any urgent steps taken by any of the defendants to move the matter forward in any regard. For example, the Appearance of the Defendants Chiu and Tam was filed on June 23, 1994 but no Statement of Defence was filed by these Defendants for a further 3 1/2 months until October 6, 1994. The application to join the Dow Chemical Defendants was initially set in March, 1995 and adjourned a number of times at Dow's request and was not heard until September, 1995, without complaint from any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referring to the letter dated September 11, 1996 from the solicitors for "B.C. Pest Control", Mr. L.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the time I formed the view that counsel would work out these remaining outstanding matters from the discoveries, generally, as the case progressed. At all times it was my understanding that all parties would answer all questions remaining outstanding from the discoveries, that further Lists of Documents would be provided, as required or appropriate, and that the case would be prepared in the normal way for an orderly presentation at trial. Because of some of the procedural challenges faced in ensuring all of the Defendants were properly before the Court, the delay while appeals were taken and other personal circumstances relating to my own practice and office environment, the various steps to be completed did not appear to be performed by any of the parties as quickly as may have been desirable. That did not indicate any lack of desire on the part of Ms. March to prosecute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 doubt such an impression was dispelled on February 4, 1998 when he received the following letter from the solicitors for "B.C. Pest Control":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received no response from you to tour [sic] letters dated April 2, July 16 and August 25, 1997. If no steps are taken in prosecution of this claim, we anticipate that we will receive instructions to bring on an application for dismissal. If we are required to take this step, we will be seeking costs. As stated in our letter dated August 25, 1997, we would be prepared to recommend to our clients that they waive their costs in exchange for an order dismissing this action at this time. We look forward to hearing from you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date of August 25, 1997 the solicitors for "B.C. Pest Control" had offered "to recommend to [their] clients that they waive their costs in exchange for an Order dismissing this action". On February 20, 1998 they notified Mr. L. that they had "received instructions from [their] principals to bring on an application for dismissal of the action for want of prosecution". They wrote again to plaintiff's solicitors on October 4, 2000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letter dated March 6, 1998, you advised that it was your intention to make a request for Assignment of a Trial Judge. The only communication which I have received from you since that time is a letter dated September 2, 1999 with a Notice of Change of Address for Delivery.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the time has come to give this case a decent burial. Do you have instructions to consent to a dismissal? Do you have any instructions at all? If your client was inclined to consent to a dismissal of this action at this time, I would think that the Defendants would likely be amenable to waiving their costs but I cannot guarantee this. If the Defendants are required to bring on an application for dismissal for want of prosecution, which is likely to take place sooner rather than later, there could well be significant claims for the costs that the Defendants may wish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Their further letter dated December 14, 2000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 received any communications from you in response to our letter dated October 4, 2000. Please be advised that we have instructions to waive our costs in exchange for an order dismissing this claim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wishes to proceed with this claim, we will require that you file a Notice of Intention to Proceed, that the Plaintiff respond to the outstanding information and documentation that was requested at her examination for discovery, that you provide a Supplementary List of Documents, that you obtain and produce all relevant clinical records, and that you take steps to set this matter down for trial. It was our estimate that the length of trial would be in the range of four to six weeks. We will require that you take these steps on or before January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notice of intention to proceed was filed by the plaintiff's solicitors on February 15, 2001 and delivered to the solicitors of record for all parties on February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advert to the test set out in paragraph 3 of these reasons.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AN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judgment the defendants have demonstrated that there has been inordinate delay in the prosecution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cause of action arose during the summer of 1992. Although leave was given to add certain parties and to amend the statement of claim in September, 1995 the amended pleading has still not been filed. Nor has a trial date been arranged, tentatively or otherwise. It took almost one year for the plaintiff's solicitors to provide a response to a request for simple particulars, and nearly 3 months to provide a second copy of the plaintiff's clinical records. Even the application to strike out the action for want of prosecution became mired in a sort of torpor whilst plaintiff's solicitor arranged to have new counsel retained on behalf of the plaintiff to deal with the application. In essence, no substantive step has been taken in the action by the plaintiff since examinations for discovery were held in June, 1996.</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INORDINATE DELAY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Again, I find the defendants have demonstrated that the plaintiff's inordinate delay in prosecuting her claims is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my review of the material before the Court I am satisfied that none of the defendants' solicitors misled the plaintiff or her solicitors into believing they approbated the protracted delay which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affidavit Mr. L. deposes: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various Affidavits filed on behalf of various Defendants in support of the applications to dismiss the claim of Ms. March, for want of prosecution. While I admit that there has been some delay in the manner in which the claim has been brought forward, it does not appear to me that the delay has been inexcusable in all of the circumstances. The Defendants all appear to raise complaints with respect to their prejudice by the failure of Ms. March to move this matter forward by filing an Amended Statement of Claim, securing trial dates and taking various other steps in the litigation. The Defendants have not, however, taken any steps which were open to them to pursue the defence of this claim. No Notices of Motion have been filed demanding any further or better Lists of Documents from the Plaintiff. None of the Defendants have taken any steps to set down a trial date, none of the Defendants have taken out any further appointments to examine Ms. March for discovery, although they appear to take the position that her discoveries are incomplete, no motions have been brought for answers to any questions outstanding from the Examination for Discovery of Ms. March, and it is my view that no motion in this regard has been brought because there is only one very narrow issue which remains outstanding and that issue is not of any material significance.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responsibility for moving the action along did not, however, rest on the defendants' shoulders. That was the responsibility of the plaintiff's solicitors. Nor, with respect, is it an answer to suggest that the steps taken by the "Dow Chemical defendants" to appeal the order of September 29, 1995, or the failure of other parties to consent to the filing of the amended statement of claim or to file their own pleadings relieved the plaintiff of her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L. seeks to excuse the delay by referring to the relocation of his law offices, the pressure of other work, and the failure of two of the counsel involved to provide estimates of trial time so that arrangements for a case management judge could be made. He deposes: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notified Defence counsel in or about March, 1998 that in order to complete my request for the assignment of a case management judge, I would need estimates from them of the time that would likely be required for the trial. Although I did receive some divergent estimates of trial time from Mr. Hayden and from Mr. Ward, I did not receive any response on an estimate of trial time from Mr. Mackie or from Mr. Christian.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fall of 1998, I became involved in complex arrangements for the acquisition of office property and the relocation of my practice. That significant change in my practice, combined with staff turnover and a busy trial calendar, resulted in a period of inactivity on this file. Ms. March did not instruct me to delay her claim but practice demands influenced the time within which her claim was advanced. Without information from Defence counsel with respect to time estimates, I was not able to complete my request for the assignment of a case management judge and no case management judge was assigned and no trial date was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These factors may explain, but do not excuse, the delay which has occurred here.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CAUSED SERIOUS PREJUDICE OR IS LIKELY TO CAUSE SERIOUS 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Where, as here, the defendants have shown inordinate delay on the part of the plaintiff and that such inordinate delay is inexcusable, the onus shifts to the plaintiff to satisfy the Court that the defendants have not been seriously prejudiced by witnesses becoming unavailable or their recollections becoming eroded or by documents having been lost: Martell v. Robert McAlpine Ltd. </w:t>
      </w:r>
      <w:hyperlink r:id="rId346" w:history="1">
        <w:r>
          <w:rPr>
            <w:rFonts w:ascii="arial" w:eastAsia="arial" w:hAnsi="arial" w:cs="arial"/>
            <w:i/>
            <w:color w:val="0077CC"/>
            <w:sz w:val="20"/>
            <w:u w:val="single"/>
            <w:shd w:val="clear" w:color="auto" w:fill="FFFFFF"/>
            <w:lang w:val="en-US" w:eastAsia="en-US" w:bidi="ar-SA"/>
          </w:rPr>
          <w:t>(1978), 86 D.L.R. (3d) 481</w:t>
        </w:r>
      </w:hyperlink>
      <w:r>
        <w:rPr>
          <w:rFonts w:ascii="arial" w:eastAsia="arial" w:hAnsi="arial" w:cs="arial"/>
          <w:color w:val="000000"/>
          <w:sz w:val="20"/>
          <w:lang w:val="en-US" w:eastAsia="en-US" w:bidi="ar-SA"/>
        </w:rPr>
        <w:t xml:space="preserve"> (N.S.C.A.) (per MacKeigan, C.J.N.S. at p. 482), cited in Busse v. Robinson Morelli Chertkow, supra, at p.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affidavit filed on behalf of Mr. Tam and Ms. Chiu Mr. McJannet deposes:</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issues to be resolved in this litigation include, inter alia: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Plaintiff's past and present medical condition, following a review of her medical history;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of the Plaintiff's past or present medical problems is causally related to any exposure to insecticides applied by B.C. Pest Control or repair work carried out at the Rental Premises at the direction of these Defendants, in 1992;</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of the Plaintiff's past or present medical problems are related to other factors, including pre-existing or subsequent medical conditions or factors, or exposure to other substances in the environment;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these Defendants owed any duty to the Plaintiff, and whether these Defendants breached any such duty;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B.C. Pest Control made any misrepresentation to the Plaintiff, or breached any duty owed to the Plaintiff;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DOW CHEMICAL CANADA INC., DOWELANCO CANADA INC. and SUNGRO HORTICULTURE CANADA LTD. were negligent in the manufacture and distribution of products applied by B.C. Pest Control at the Rental Premises;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of the Plaintiff's past or present medical problems are causally related to any breach of duty or misrepresentation by any of the Defendants.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further opinion, the resolution of the issues in this litigation will require witnesses in this action to give evidence regarding discussions between, and actions taken by, those witnesses in 1992.</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further opinion, it is likely that the recollection of the witnesses in this action has been, and will continue to be, affected by the passage of time.</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further opinion, the likely deterioration of witness recollection will deprive the court of reliable evidence relating to the events from which this action arose. In this regard, the defence of TOMMY SIU LAM TAM and CONNIE CHEUNG CHIU has been, and will continue to be,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response to those assertions Mr. L. deposes: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Affidavit of Mr. McJanet sworn April 11, 2001 and, in particular, I have reviewed paragraph 46 of his Affidavit where he sets out his opinion as to the issues to be determined in this trial. While the issues raised by Mr. McJanet may well surface for determination, it is my opinion that other than the issue raised in subparagraph 46(e), very few, if any, of the other issues will require any key witness recollections of the events which are truly germane to the questions to be determined in this action. With respect to the issue raised in subparagraph 46(e), it is my view that the evidence of Ms. St. Hilaire, having been crystallized at the Examination for Discovery, avoids any undue prejudice to the Defendants in the defence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an affidavit sworn to on April 10, 2001 and filed on behalf of "B.C. Pest Control", Richard B.T. Goepel, Q.C. (later Mr. Justice Goepel) deposed: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trial of this action will include, inter alia, consideration of the following issues: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review of the plaintiff's medical history and a determination of the nature of her past and present medical or psychological problems;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whether any of her past or present medical or psychological problems is causally related to any exposure to either Dursban or drywall in the summer of 1992;</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the extent to which any of past or present medical or psychological problems are related to other factors, including pre-existing or subsequent medical or psychological conditions or factors, or exposure to other substances in the environment;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of the plaintiff's past or present medical or psychological problems arise from any breach of duty on the part of the landlords;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any of the plaintiff's past or present medical or psychological problems arise from any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these defendants</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of the plaintiff's past or present medical or psychological problems arise from any product manufactured by the Defendants Dow Chemical Canada Inc. or Dowelanco Canada Inc. and distributed by the Defendant Sun Gro Horticulture Ltd.;</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there are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development, manufacturing or distribution of the products by the Defendants Dow Chemical, Dowelanco, and Sun Gro.</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anticipated that the litigation of this matter will require a plethora of lay and expert witnesses, some of whom will be attempting to give evidence on the communications which took place between the plaintiff and these defendants over a period of months in the summer of 1992 and the steps taken by these defendants in the application of pesticides during this time frame.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[sic] our ability to properly investigate and defend the claims presented by the plaintiff is becoming increasingly prejudiced by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response Mr. L. deposes: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Affidavit of Mr. Goepel sworn April 10, 2001 and, in particular, I have reviewed his position with respect to the issues for determination in the trial, as set out in paragraph 23. In my view, while those issues undoubtedly arise, very few of those issues seem to raise the prospect of any prejudice which may be caused by deteriorating recollections of the events which are truly germane to the facts that must be determined by the Court. In my opinion, only the issue identified in paragraph 23(b) of Mr. Goepel's Affidavit raises any real prospect of a key witnesses recollection of the material events at the time of the triggering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Significantly, neither Mr. St. Hilaire nor any other prospective witness has provided affidavit evidence with respect to his or her ability to recall the matters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considering the aspect of prejudice it must be borne in mind that as late as December 14, 2002 the solicitors for "B.C. Pest Control" wrote the plaintiff's solicitors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wishes to proceed with this claim, we will require that you file a Notice of Intention to Proceed, that the Plaintiff respond to the outstanding information and documentation that was requested at her examination for discovery, that you provide a Supplementary List of Documents, that you obtain and produce all relevant clinical records, and that you take steps to set this matter down for trial. It was our estimate that the length of trial would be in the range of four to six weeks. We will require that you take these steps on or before January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writing to the plaintiff's solicitors in those terms the solicitors for "B.C. Pest Control" were speaking only for their own clients. Nonetheless, having fired the warning shot nearly two years earlier (February 4, 1998) that they anticipated receiving instructions to bring on an application for dismissal, the letter of December 14, 2000 suggests to me they did not feel at that time that prejudice to their clients' interests was of especial significance. Of concern, however, is that apart from filing a notice of intention to proceed on February 15, 2001, the plaintiff allowed the action to stagnate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 deposes: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Toward the end of 2000, counsel for the Defendant, B.C. Pest Control Ltd. requested that the Plaintiff file a Notice of Intention to Proceed, amongst other things, if she wished to proceed with the claim. On behalf of Ms. March, I filed the Notice of Intention to Proceed on February 15, 2001 and delivered it to Defence counsel.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spring of 2001, I realized that there were several procedural steps yet to be taken in order to move this case forward toward a trial in an orderly way. In spring 2001 I did not believe that Defendants were being prejudiced by the challenges being faced in finalizing a number of outstanding procedural maters [sic] between five sets of counsel. However, in early April 2001, it became apparent to me that the Defendants intended to proceed with an application to dismiss the claim of Ms. March for want of prosecution.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I concluded that it would be appropriate to dispose of the pending applications before resolving outstanding procedural matters. Further, it became apparent to me, after some reflection on the issues that would be raised on the application, that Ms. March may best be served by new counsel to assist her. Due to the complexity of this matter, the unreliable health of Ms. March and my own practice commitments, it took some considerable time to assist Ms. March in arranging new counsel. Mr. Taylor was retained in or about mid December although I first approached him with respect to this case toward the end of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in my judgment, has not rebutted the presumption of prejudice arising from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Central to the plaintiff's claims are the discussions which took place between her and Mr. St. Hilaire nearly 10 years ago as well as the plaintiff's involvement in what happened at the house at the times "B.C. Pest Control" was carrying out its spraying activities. Both the credibility of the plaintiff and of Mr. St. Hilaire as well as their respective recollections of the events surrounding the spraying are vital to the Court's determination of the critical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in effect asserts that her discussions with Mr. St. Hilaire became crystallized on her examination for discovery held in June, 1996. She deposes in her affidavit sworn to January 2, 2002:</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examined for discovery on this action on June 25, 1996. On that occasion, I was asked about the incidents of insecticide spraying which I allege have given rise to the claims that I am now making. In particular, I was questioned during the examination for discovery about my discussions, at the material times, with Mr. St. Hilaire regarding the spraying of insecticides at the property in which I was living at the time. I continue to have a clear recollection of those discussions, because of the importance that they have come to hold for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examinations for discovery of the plaintiff and Mr. St. Hilaire were held nearly 4 years after the events in question. Plainly their recollections would then and now be subject to the normal frailties of the human memory and of its tendency to reconstruct bygone events. Simply put, the recollection of witnesses is eroded by the passage of time: Farrar v. McMullen, </w:t>
      </w:r>
      <w:hyperlink r:id="rId347" w:history="1">
        <w:r>
          <w:rPr>
            <w:rFonts w:ascii="arial" w:eastAsia="arial" w:hAnsi="arial" w:cs="arial"/>
            <w:i/>
            <w:color w:val="0077CC"/>
            <w:sz w:val="20"/>
            <w:u w:val="single"/>
            <w:shd w:val="clear" w:color="auto" w:fill="FFFFFF"/>
            <w:lang w:val="en-US" w:eastAsia="en-US" w:bidi="ar-SA"/>
          </w:rPr>
          <w:t>[1971] 1 O.R. 709</w:t>
        </w:r>
      </w:hyperlink>
      <w:r>
        <w:rPr>
          <w:rFonts w:ascii="arial" w:eastAsia="arial" w:hAnsi="arial" w:cs="arial"/>
          <w:color w:val="000000"/>
          <w:sz w:val="20"/>
          <w:lang w:val="en-US" w:eastAsia="en-US" w:bidi="ar-SA"/>
        </w:rPr>
        <w:t xml:space="preserve"> (C.A.), at p. 710. This is a hallmark of prejudice. Discovery transcripts are not satisfactory substitutes for the recollection of events: Rhyolite Resources Inc. v. CanQuest Resources Corp., </w:t>
      </w:r>
      <w:hyperlink r:id="rId342" w:history="1">
        <w:r>
          <w:rPr>
            <w:rFonts w:ascii="arial" w:eastAsia="arial" w:hAnsi="arial" w:cs="arial"/>
            <w:i/>
            <w:color w:val="0077CC"/>
            <w:sz w:val="20"/>
            <w:u w:val="single"/>
            <w:shd w:val="clear" w:color="auto" w:fill="FFFFFF"/>
            <w:lang w:val="en-US" w:eastAsia="en-US" w:bidi="ar-SA"/>
          </w:rPr>
          <w:t>[1997] B.C.J. No. 2608</w:t>
        </w:r>
      </w:hyperlink>
      <w:r>
        <w:rPr>
          <w:rFonts w:ascii="arial" w:eastAsia="arial" w:hAnsi="arial" w:cs="arial"/>
          <w:color w:val="000000"/>
          <w:sz w:val="20"/>
          <w:lang w:val="en-US" w:eastAsia="en-US" w:bidi="ar-SA"/>
        </w:rPr>
        <w:t xml:space="preserve"> (B.C.S.C.), at para. 36.</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BALANCING OF JUSTICE BETWEEN THE PARTIES OUGHT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Allen v. Sir Alfred McAlpine &amp; Sons et al, supra, Lord Justice Salmon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the court must decide whether or not on balance justice demands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conclude that on balance justice lies in favour of dismissing the action. This follows, first, from the conclusion that the plaintiff's inordinate and inexcusable delay in prosecuting the action has caused serious prejudice to the defendants in their defence of the claims. Secondly, whilst the time has long since expired under the Limitation Act for bringing this action against the defendants, the plaintiff may have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her former solicitor. I say "may" because I must decline to speculate on whether her claim in this action has substance. If it does she will not be left without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result the action is dismissed as against all defendants with the exception of Sun Gro Horticulture Ltd. The defendants, except Sun Gro,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McEvoy v. McEachnie, [2008] B.C.J. No. 1787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69435, 37152 and 062751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Registries: Kelowna, Vernon and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1787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B.C.L.R. (4th)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C.P.C. (6th) 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1974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564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Benedict Franklin McEvoy, Plaintiff, and Robyn Carly McEachnie, William James Forster and Stephanie Leigh Forster, Defendants And between Jordan Paul Robert, Plaintiff, and Robyn Carly McEachnie, William James Forster and Stephanie Leigh Forster, Defendants And between Roby Carly McEachnie, Plaintiff, and William Forster and Stefany Forster,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14"/>
      <w:bookmarkEnd w:id="171"/>
      <w:r>
        <w:rPr>
          <w:rFonts w:ascii="arial" w:eastAsia="arial" w:hAnsi="arial" w:cs="arial"/>
          <w:b/>
          <w:color w:val="000000"/>
          <w:sz w:val="20"/>
          <w:lang w:val="en-US" w:eastAsia="en-US" w:bidi="ar-SA"/>
        </w:rPr>
        <w:t>Civil litigation — Civil procedure — Judgments and orders — Default judgments — Setting aside — Reasonable excuse for default — Successful application to set aside three default judgments entered against the applicant in three civil actions alleging liability against the applicant passenger after a 2004 motor vehicle accident — Although she failed to show she had not wilfully allowed the default judgments to go against her, the circumstances were such that it would be unjust to allow the judgments to stand — She promptly took steps to set the judgments aside, she had a defence worthy of investigation, and the trial would not be unduly lengthened or complicated.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Passengers — Successful application to set aside three default judgments entered against the applicant in three civil actions alleging liability against the applicant passenger after a 2004 motor vehicle accident — Although she failed to show she had not wilfully allowed the default judgments to go against her, the circumstances were such that it would be unjust to allow the judgments to stand — She promptly took steps to set the judgments aside, she had a defence worthy of investigation, and the trial would not be unduly lengthened or complicated.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2" w:name="Case Summary_13"/>
            <w:bookmarkEnd w:id="1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to set aside three default judgments. The applicant, Ms. Forster, was a defendant in three civil actions arising out of a 2004 motor vehicle accident. Each plaintiff alleged the defendant, who was a passenger in the right front seat, interfered with the driver's operation and caused the car to go off the road. The issue was whether they ought to be set aside despite the fact that the applicant Ms. Forster adduced no evidence to rebut the proposition that she deliberately or wilfully allowed the judgments to be taken.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3" w:name="Holdings of Court_11"/>
            <w:bookmarkEnd w:id="173"/>
            <w:r>
              <w:rPr>
                <w:rFonts w:ascii="arial" w:eastAsia="arial" w:hAnsi="arial" w:cs="arial"/>
                <w:color w:val="000000"/>
                <w:sz w:val="20"/>
                <w:lang w:val="en-US" w:eastAsia="en-US" w:bidi="ar-SA"/>
              </w:rPr>
              <w:t>HELD: Default judgments set aside, with costs against the applicant.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applicant had promptly taken steps to set aside the default judgments. The parties agreed she had asserted a defence worthy of investigation. She had provided satisfactory affidavit evidence, save as to her failure to address how the default judgments went against her. The trial would not be unduly lengthened or complicated if she was permitted to try her defence. Although she failed to show she had not wilfully allowed the default judgments to go against her, the circumstances were such that it would be unjust to allow the judgments to stand.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4" w:name="Legislation Cited_13"/>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6"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17(12)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14"/>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R.C. McEachnie (Action No. 062751): M.S. Dugas.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W.J. Forster (Action No. 37152 and Action No. 062751): J.S.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S.L. Forster: C.R. Penty.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14"/>
      <w:bookmarkEnd w:id="176"/>
      <w:r>
        <w:pict>
          <v:line id="_x0000_s1108"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17, 2008. The correction has been made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P. ROGERS J."/>
            <w:bookmarkEnd w:id="177"/>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Forster has applied to set aside three default judgments. The issue here is whether the judgments should be set aside despite the fact that Ms. Forster has adduced no evidence to rebut the proposition that she deliberately or wilfully allowed those judgments to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Forster is a defendant in three civil actions. The actions were started in three separate registries: Kelowna, Vernon and Victoria. The actions all arise out of a motor vehicle accident that happened in 2004. The plaintiff in each action alleges that Ms. Forster, who was a passenger in the right front seat of the vehicle, interfered with the driver's operation and caused the car to go off the road. The plaintiffs say they were also in the car, and they were injured in the ensuing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in the three actions have taken default liability judgments against Ms. Forster. Despite those judgments, it remains for all three plaintiffs to determine whether the person in the vehicle's driver's seat was also at fault and also to try the question of whether they were contributorily negligent for their own injuries. The issue of liability has been severed in all three suits and is scheduled to be tried before a single judge at the end of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adduced by the parties in this matter clearly establishes that Ms. Forster was aware that she was a defendant in the various proceedings. I infer from that evidence that she was aware of the legal jeopardy she was in. The plaintiff in the Victoria action took default judgment against Ms. Foster in May 2007. The plaintiff in the Kelowna action took default judgment against Ms. Foster in October 2007. The plaintiff in the Vernon action took default judgment in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event that the default judgments are set aside, the trial of liability for the accident will not be appreciably lengthened. That is because all parties anticipate that Ms. Forster will be a witness in any event - her testimony is central to the question of the driver's liability and may bear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court has the authority to set default judgments aside: Rule 17(12). The well-known test for this application can be found in </w:t>
      </w:r>
      <w:r>
        <w:rPr>
          <w:rFonts w:ascii="arial" w:eastAsia="arial" w:hAnsi="arial" w:cs="arial"/>
          <w:b/>
          <w:i/>
          <w:color w:val="000000"/>
          <w:sz w:val="20"/>
          <w:lang w:val="en-US" w:eastAsia="en-US" w:bidi="ar-SA"/>
        </w:rPr>
        <w:t>Miracle Feeds v. D. &amp; H. Enterprises Ltd.</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(1979), 10 B.C.L.R. P 58</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[1979] B.C.J. No. 1965</w:t>
        </w:r>
      </w:hyperlink>
      <w:r>
        <w:rPr>
          <w:rFonts w:ascii="arial" w:eastAsia="arial" w:hAnsi="arial" w:cs="arial"/>
          <w:color w:val="000000"/>
          <w:sz w:val="20"/>
          <w:lang w:val="en-US" w:eastAsia="en-US" w:bidi="ar-SA"/>
        </w:rPr>
        <w:t xml:space="preserve"> (Co. Ct.) (Q.L.):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 it appears that in order for a defendant to succeed on an application to set aside a default judgment, he must show:</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not willfully or deliberately fail to enter an appearance or file a defence to the plaintiff's claim;</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made application to set aside the default judgment as soon as reasonably possible after obtaining knowledge of the default judgment, or give an explanation for any delay in the application being brought;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a meritorious defence or at least a defence worthy of investigation;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foregoing requirements will be established to the satisfaction of the court through affidavit material filed by or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William Forster and Robyn McEachnie oppose Ms. Forster's application. Mr. Forster is a defendant in the Vernon and the Victoria actions. Mr. McEachnie is the plaintiff in the Victoria action and is a defendant in the Vernon action. They say that Ms. Forster has not satisfied the first element of the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xml:space="preserve"> test and that her application is therefore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true that Ms. Forster's affidavit does not provide an innocent explanation for how the default judgments came to be taken against her. In fact, Ms. Foster does not address that issue at all. Her affidavit is completely silent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for the second test, Ms. Forster says that when she hired a lawyer in January 2008, he undertook to get the default judgments set aside. Mr. Penty is that counsel, and he asserts that although he promptly put the other parties on notice that he intended to set the judgements aside, he was distracted from that task by thorny issues of insurance coverage. The proponents of the default judgments do not quarrel with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Ms. Forster says that she meets the third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xml:space="preserve"> test because she says that if she did interfere with the driver's operation of the vehicle, it was for the purpose of bringing the car back onto its proper side of the road. That was not, in her estimation, negligent. Again, the parties in opposition to the application do not take issue with the proposition that Ms. Forster's assertion amounts to a defence that is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fourth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xml:space="preserve"> requirement is that the applicant must provide satisfactory affidavit evidence. Except with respect to her failure to address how the default judgments go against her, Ms. Forster has provided satisfactory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defendant's position comes down to this: they say that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xml:space="preserve"> comprises an immutable list of the factors that the court must consider on an application to set aside a judgment. They say that if the application misses on one of the factors, then the application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flaw in the defendants' position is that it takes too narrow a view of the scope of the court's discretion in these matters. Whether to set a default judgment aside is an exercise of discretion, and the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xml:space="preserve"> criteria are nothing more than a non-exhaustive set of factors to be taken into account when considering whether to exercise that discretion. That this is so was established by the Court of Appeal in </w:t>
      </w:r>
      <w:r>
        <w:rPr>
          <w:rFonts w:ascii="arial" w:eastAsia="arial" w:hAnsi="arial" w:cs="arial"/>
          <w:b/>
          <w:i/>
          <w:color w:val="000000"/>
          <w:sz w:val="20"/>
          <w:lang w:val="en-US" w:eastAsia="en-US" w:bidi="ar-SA"/>
        </w:rPr>
        <w:t>H.M.T.Q. In Right of the Province of British Columbia v. Ismail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2007 BCCA 55</w:t>
        </w:r>
      </w:hyperlink>
      <w:r>
        <w:rPr>
          <w:rFonts w:ascii="arial" w:eastAsia="arial" w:hAnsi="arial" w:cs="arial"/>
          <w:color w:val="000000"/>
          <w:sz w:val="20"/>
          <w:lang w:val="en-US" w:eastAsia="en-US" w:bidi="ar-SA"/>
        </w:rPr>
        <w:t xml:space="preserve">. In that case, the chambers judge found that the applicant had wilfully allowed default to be taken against him, but nevertheless the judge set the judgment aside. The plaintiff appealed, citing the applicant's failure to satisfy the first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xml:space="preserve"> test. In response to that argument, Smith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my view the items enumerated in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are not conditions that must be satisfied by an applicant. Rather, they are relevant factors to be taken into account by a chambers judge in exercising the discretion conferred by Rule 17(12). I find support for this view in the remarks of Madam Justice Saunders in </w:t>
      </w:r>
      <w:r>
        <w:rPr>
          <w:rFonts w:ascii="arial" w:eastAsia="arial" w:hAnsi="arial" w:cs="arial"/>
          <w:i/>
          <w:color w:val="000000"/>
          <w:sz w:val="20"/>
          <w:lang w:val="en-US" w:eastAsia="en-US" w:bidi="ar-SA"/>
        </w:rPr>
        <w:t>Deline v. Whittle</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[2002] B.C.J. No. 2796</w:t>
        </w:r>
      </w:hyperlink>
      <w:r>
        <w:rPr>
          <w:rFonts w:ascii="arial" w:eastAsia="arial" w:hAnsi="arial" w:cs="arial"/>
          <w:color w:val="000000"/>
          <w:sz w:val="20"/>
          <w:lang w:val="en-US" w:eastAsia="en-US" w:bidi="ar-SA"/>
        </w:rPr>
        <w:t>, where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On the merits, I observe that the order appealed involves the exercise of discretion. Although Mr. Deline vigorously contends that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was not met, and thus there is sufficient merit in the appeal to warrant leave being granted, I do not agree. There are, necessarily, aspects of judgment that must be applied by a chambers judge in the exercise of discretion under Rule 25(15). That this is so is clear when one adds to the mix Rule 1(5) of the Rules of Court which states: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Rule 1(5) should always be in a chambers judge's mind when considering whether to exercise the discretion afforded to grant or not, an application such as this. In this case, I think the nature of the action and the course of conduct between the parties which included an ongoing contest between the parties, tended to mitigate against maintenance of the default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this case, the chambers judge considered that in all of the circumstances the default judgment should be set aside. In doing so, he exercised his discretion. I do not think that there is any likelihood that the appellants would be able to persuade a panel of this Court to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therefore, open to the court to set a default judgment aside if all the circumstances of the case, including but not limited to the factors enumerated in </w:t>
      </w:r>
      <w:r>
        <w:rPr>
          <w:rFonts w:ascii="arial" w:eastAsia="arial" w:hAnsi="arial" w:cs="arial"/>
          <w:b/>
          <w:i/>
          <w:color w:val="000000"/>
          <w:sz w:val="20"/>
          <w:lang w:val="en-US" w:eastAsia="en-US" w:bidi="ar-SA"/>
        </w:rPr>
        <w:t>Miracle Feeds</w:t>
      </w:r>
      <w:r>
        <w:rPr>
          <w:rFonts w:ascii="arial" w:eastAsia="arial" w:hAnsi="arial" w:cs="arial"/>
          <w:color w:val="000000"/>
          <w:sz w:val="20"/>
          <w:lang w:val="en-US" w:eastAsia="en-US" w:bidi="ar-SA"/>
        </w:rPr>
        <w:t>, are such that it would be just to do so. It follows that relative strength in one or more of the relevant factors may overcome a relative weakness in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present case, Ms. Forster does have a genuine defence to put forward at trial. I accept Ms. Forster's assertion that the trial will not be unduly lengthened or complicated if she is permitted to try her defence. The other parties will not, therefore, be seriously prejudiced if the default judgments are set aside. In my opinion, it would better serve the interests of justice to permit all the parties to these actions to articulate their evidence and positions at the trial than to stifle one of them on account of default judgments taken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result, even though I find that Ms. Forster has not shown that she did not wilfully allow the default judgments to go against her, the circumstances of the case are such that it would be unjust to allow the judgments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default judgments in the Victoria and the Vernon actions will be set aside. The plaintiffs who obtained those judgments will have their costs of obtaining the judgments against Ms. Forster, in any event of the cause, to be assessed and paid at the conclusion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for the costs of this application, Mr. McEachnie and Mr. Forster will have their costs against Ms. Forster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P.J. Rogers dated September 19, 2008 have been edited.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8, the second sentence in paragraph 16, the words "Ms. Forster has not shown that she wilfully allowed" have been "Ms. Forster has not shown that she did not wilfully allow".</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Okayasu v. Poulsen, [2001] B.C.J. No. 1008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S000645, S001293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1008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376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Katsusaburo Okayasu, plaintiff, and Mark Poulsen and Shelley Lynn Poulsen, defendants (Vancouver Registry No. S000645) And between Katsusaburo Okayasu, plaintiff, and Richard H. Jensen, Mair Jensen Blair, a partnership in the practice of law and Robert C. Adkin, defendants (Vancouver Registry No. S001293)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15"/>
      <w:bookmarkEnd w:id="178"/>
      <w:r>
        <w:rPr>
          <w:rFonts w:ascii="arial" w:eastAsia="arial" w:hAnsi="arial" w:cs="arial"/>
          <w:b/>
          <w:color w:val="000000"/>
          <w:sz w:val="20"/>
          <w:lang w:val="en-US" w:eastAsia="en-US" w:bidi="ar-SA"/>
        </w:rPr>
        <w:t>Practice — Joinder of causes and consolidations — Consolidation of actions and applications — When available — Trials — Venue or place of trial — Application for change of venue.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9" w:name="Case Summary_14"/>
            <w:bookmarkEnd w:id="1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the plaintiff Okayasu to have two actions tried together, and application by the defendants in the second action, the Poulsens, to transfer the action from the Vancouver Registry to the Kamloops Registry. The defendants in the first action, Jensen, Blair and Adkin, opposed both applications. Okayasu was a resident of Japan who arranged for the Poulsens to buy some land for him in Kamloops. Adkin was the lawyer who handled the purchase of the land. Pursuant to Mr. Poulsen's instructions, Adkin registered Mr. Poulsen and Okayasu as joint tenants. The Poulsens later convinced Okayasu to transfer title to the Poulsens, supposedly to reduce the amount of property tax payable. The Poulsens subsequently sold their registered interest in the property and used the proceeds to buy other property. Okayasu claimed against the Poulsens for breach of fiduciary duty, breach of an oral agreement, conversion, breach of licensing agreement, fraudulent and negligent misrepresentation, mistake and deceit. He claimed against Jensen, Blair and Adkin for an indemnity for any shortfall in recovery from the Poulsens, plus all costs associated with the recovery of the property from the Poulsens. Jensen, Blair and Adkin opposed the application for consolidation on the basis that they would be seriously inconvenienced by being required to appear at a trial in which they had a marginal role to play. The Poulsens sought to have their matter heard in Kamloops by virtue of their residence in Kamloops as well as the fact that the properties which were the subject matter of the proceedings were situated there. Okayasu already had a Vancouver trial date and sought a speedy resolution of the matter in light of his age and infirmity. Counsel for the Poulsens was prepared to support Okayasu in an application for priority in obtaining a trial date in Kamloops.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0" w:name="Holdings of Court_12"/>
            <w:bookmarkEnd w:id="180"/>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liability of Jensen, Blair and Adkin was contingent on that of the Poulsens and to some extent on any shortfall in recovery from them, there was a sufficient nexus both legally and factually between the two actions to have the entire matter disposed of at once. The undertaking of the Poulsens' counsel met Okayasu's primary objection regarding the potential loss of a trial date. Therefore, the consolidated file was transferred to Kamloops for the purpose of trial only. There was no transfer for any pre-trial matters.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1" w:name="Legislation Cited_14"/>
      <w:bookmarkEnd w:id="1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1"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5(8), 39(7).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2" w:name="Counsel_15"/>
      <w:bookmarkEnd w:id="1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Wells, for the plaintiff. D. McCabe, for the defendants, Mark Poulsen and Shelley Lynn Poulsen. C. Selby, for the defendants, Richard Jensen, Mair Jensen Blair, a partnership in the practice of law and R.C. Adkin.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15"/>
      <w:bookmarkEnd w:id="183"/>
      <w:r>
        <w:pict>
          <v:line id="_x0000_s1113"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CULLEN J."/>
            <w:bookmarkEnd w:id="184"/>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applications are brought before the court in connection with these lawsuits. The first application is made on behalf of the defendants Mark Poulsen and Shelley Lynn Poulsen for an order that the action number S000645 be transferred to the Kamloops Registry for all purposes including trial pursuant to British Columbia Rules of Court, Rule 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second application is made by the plaintiff pursuant to Rule 5(8) for an order that the two actions numbered S001293 and S000645 be consolidated and the parties be directed to file consolidated statements of claim and defence or, in the alternative, that the actions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opposes the application made pursuant to Rule 39(7) to have action S000645 transferred to the Kamloops Registry. The Poulsen defendants ("Poulsens") do not oppose consolidation of the two actions but only if they are tried in Kamloops. The defendants Jensen, Mair Jensen Blair and Robert C. Adkin ("MJB defendants") oppose the consolidation of the actions and oppose the transfer of action number S000645 to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the application for transfer of the action to Kamloops was brought on first, counsel agreed that the issue of the consolidation of the actions fell to be determined first.</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FOR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5(8)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may be consolidated at any time by order of the court or may be ordered to be tried at the same time or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bringing his application for consolidation or alternatively an order that the matters be tried together, the plaintiff relies on Kanji Holdings Ltd. and Springer Enterprises Ltd. v. Musgrave, </w:t>
      </w:r>
      <w:hyperlink r:id="rId365" w:history="1">
        <w:r>
          <w:rPr>
            <w:rFonts w:ascii="arial" w:eastAsia="arial" w:hAnsi="arial" w:cs="arial"/>
            <w:i/>
            <w:color w:val="0077CC"/>
            <w:sz w:val="20"/>
            <w:u w:val="single"/>
            <w:shd w:val="clear" w:color="auto" w:fill="FFFFFF"/>
            <w:lang w:val="en-US" w:eastAsia="en-US" w:bidi="ar-SA"/>
          </w:rPr>
          <w:t>[1974] 2 W.W.R. 173</w:t>
        </w:r>
      </w:hyperlink>
      <w:r>
        <w:rPr>
          <w:rFonts w:ascii="arial" w:eastAsia="arial" w:hAnsi="arial" w:cs="arial"/>
          <w:color w:val="000000"/>
          <w:sz w:val="20"/>
          <w:lang w:val="en-US" w:eastAsia="en-US" w:bidi="ar-SA"/>
        </w:rPr>
        <w:t xml:space="preserve"> (B.C.S.C.) which in turn quotes at p. 175 from Lord Justice Scrutton in Payne v. British Time Recorder Co. Ltd. and W.W. Curtis Ltd., [1921] 2 K.B. 1 at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lay down any rule as to how the discretion of the Court ought to be exercised. Broadly speaking, where claims by or against different parties involve or may involve a common question of law or fact bearing sufficient importance in proportion to the rest of the action to render it desirable that the whole of the matters should be disposed of at the same time the Court will allow the joinder of plaintiffs or defendants, subject to its discretion as to how the action should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basis of the actions as set out in the plaintiff's statement of claim and in an affidavit sworn by the plaintiff on March 30, 2001 can be very broadly summarized.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a 74 year old retired Japanese citizen living in Tokyo. He met the defendant Mark Poulsen when the latter was working in Japan in 1988. They became friends and the next year the plaintiff and his wife came to Canada to visit with the Poulsens at their home in Kamloops. During that visit the plaintiff and his wife decided to buy some land and build a house in Kamloops so they could regularly come and visit during the summer. They reached an agreement with the defendant Mark Poulsen that they would advance funds to him and he would buy the land and build a house on it for the plaintiff and his wife. The funds advanced would be enough to pay for the land, the materials and Mr. Poulsen's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1990 Mr. Poulsen, acting as agent, contractor and trustee for the plaintiff, purchased land on behalf of the plaintiff at 1884 Pratt Road in Kamloops ("the Pratt Property") using the plaintiff's money. In transacting the purchase of the land, the defendant Poulsen retained the defendant Adkin, a lawyer at the defendant MJB firm, on behalf of himself and the plaintiff to effect the purchase. The defendant Mark Poulsen instructed the MJB defendant to register the property in the plaintiff's name and his name as joint tenants. Although aware that he was acting for both the defendant Poulsen and the plaintiff Okayasu, it is asserted the defendant Adkin did not confirm any instructions from Mr. Okayasu and ultimately failed to report to him on the transaction. The plaintiff did not know that the land was bought in Mark Poulsen's name and his own name in equal shares and did not know that that ownership was in joint tenancy, permitting the survivor to take all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Over time the plaintiff transferred funds totalling $200,000 to the defendant Poulsen for the purchase of the lot and the construction of the house. After the house was built the Poulsens moved into it pursuant to an agreement with the plaintiff to have them there to look after the house and to pay the property taxes and utilities in exchange for free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and his wife visited Kamloops in 1993, and at that point the Poulsens told them that they could reduce the amount of property tax that they paid for the house if the house were moved into their name on the property tax rolls. They said this was because they would pay less money as Canadians than the plaintiff did as a Japanese, and that it was okay because they lived in the house and the plaintiff and his wife only visited.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that representation, the plaintiff and his wife went to an office and signed a document in front of a man whom he thought was with the property tax department. There was no translator present and the plaintiff and his wife did not know what it was that they were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transaction involved the defendant Jensen of the MJB defendants presiding over the signing of a transfer of the plaintiff's remaining interest in the Pratt house for one dollar. The plaintiff deposed that he did not understand the character of the transaction and that if he had he would not have signed the document which led to the transfer of the property into the defendants'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about August of 1995, the Poulsens sold their registered interest in the Pratt property and used the proceeds from the sale of that property to purchase lands located at 995 Canongate Crescent in Kamloops, British Columbia and build another home on it. According to the plaintiff, the Poulsens discussed the sale of the Pratt property and the purchase of new property with him and he understood the new property would belong to the plaintiff just as he believed the Pratt property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Later, in 1999, the plaintiff became ill and wrote to the defendants to attempt to recover his investments in the Kamloops property. Having not heard from the defendants, he retained counsel and a writ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claim against the Poulsens is based on allegations of express, implied, resulting or constructive trust, breach of fiduciary duty, breach of an oral agreement, conversion, breach of licensing agreement, fraudulent and negligent misrepresentation, mistake and deceit. In connection with the action against the MJB defendants, the claim is for an indemnity for any shortfall in the plaintiff's recovery from the Poulsens and for complete indemnity for all costs associated with the recovery of the property from the Poulsens.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Poulsens' defence is that the money forwarded to them by the plaintiff was a gift, and they deny each of the allegations upon which the plaintiff's claims is advanced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MJB defendants allege in their statement of defence that the transaction presided over by Mr. Adkin in 1990 was one in which they were acting on the instructions of the defendant Poulsen but that it also reflected the wishes of the plaintiff. In relation to the 1993 transaction, the MJB defendants admit the transaction but deny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also allege that the plaintiff's loss, damage or expense results from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take any steps or any proper steps to protect his own interests and in failing to take steps in a timely way to investigate or to specify the nature of the arrangements that he made with the defendants Poulsen.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the position of the plaintiff that the two transactions in which the MJB defendants are involved are central to both lawsuits. The plaintiff submits those transactions are the means by which the Poulsens wrongfully obtained title to the plaintiff's property and therefore the knowledge and involvement of the lawyers who helped to perfect those transactions is integral to a proper characterisation of the relationship between the Poulsens and the plaintiff and whether and to what extent it attracts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plaintiff points out that there is little documentary evidence corroborative of the diametrically different versions of events told by the plaintiff and claimed by the Poulsens and hence the lawyer's recollections and their files represent important evidence of the true nature of the transactions between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plaintiff points to a number of overlapping issues of mixed fact and law. He points to the Poulsens' claim that during both transfers they and the plaintiff acted "wholly independently of one another," that independent legal representation was offered to the plaintiff and that he received full disclosure of the transactions that they entered into. Counsel for the plaintiff submits that, if true, those allegations would bear on the liability of the MJB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also points out that the MJB defendants allege that the plaintiff was negligent himself in not protecting his affairs in his dealings with the defendants, and counsel for the plaintiff submits that this could only be argued in the light of evidence of dealings between the Poulsens and the plaintiff and his wife and that would occur in a separate trial if the matters were not consolidated.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plaintiff also points out that there is an apparent discrepancy between the statement of defence of the Jensen defendants and that of the Poulsens in that it was pleaded in the former that placing the Pratt property in joint tenancy reflected the plaintiff's wishes and in the latter that the joint tenancy was in effect a constructive trust held by the plaintiff for the defendant Poulsens. In this area, the plaintiff's counsel submits both trials would have considerable overlapping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plaintiff also submits that there is a significant nexus between the legal and factual issues in the two actions such that to maintain them separately would create considerable duplication, additional expense, time delay and the possibility of inconsistent findings of fact. He submits that all these matters auger in favour of a consolidation under Rule 5(8) and such a direction would be congruent with the authorities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MJB defendants oppose the application pursuant to Rule 5(8). The position of those defendants is that a consolidation or an order that the matters be tried together would seriously inconvenience them by requiring them to appear at the trial in which they have a marginal role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MJB defendants submits that there is a great deal that went on between the plaintiff and the Poulsen defendants that has nothing to do with the MJB defendants. Counsel submits that the two transactions in which the Jensen defendants were involved are, in effect, merely mechanical transactions which occurred during a 10 year relationship between the plaintiff and the Poulsens that the MJB defendants played no part in, had no knowledge of, and had no effect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the MJB defendants points out that the plaintiff is in effect claiming an indemnity from the MJB defendants, that is, a recovery in short-fall from whatever he cannot recover from the Poulsens. In that connection she points out that the Poulsens claim a right of set off which may limit any damages that the plaintiff become entitled to, and in addition she notes that the MJB defendants have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may further reduce the right of entitlement of the plaintiffs. That, she submitted, would affect the likelihood of there being a shortfall requiring indemnification from the MJB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MJB defendants submits that there are a number of possible outcomes to the combination of the two lawsuits: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accepts the Poulsens' defence that the money advanced to them was a gift, it is a complete answer to the allegations against the MJB defendants because even if they were negligent or in breach of their contract or fiduciary duty to the plaintiff, their conduct would not cause him any loss in those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recovers the full amount of his judgment against the Poulsens, then regardless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fiduciary duty that he might have owed to the plaintiff, the MJB defendants' conduct did not cause him any loss and there would be no recovery against them.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plaintiff is successful against the Poulsen defendants and unable to realise the full amount of his judgment, there may be a separate issue as to whether the Jensen defendants' conduct was the "proximate cause of his loss" and whether that loss was reasonably foreseeable.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Jensen defendants for indemnification for all the legal and other costs of recovering his property from the defendant Poulsens is subject to the same proofs as set out in 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MJB defendants submits that there are several possibilities in which, following the conclusion of a trial against the Poulsens there would be little or no basis for a claim against the Jensen defendants. She submits further, in view of the relatively isolated nature of the transactions involving the MJB defendants, separate trials at different times before different judges would not be "undesirable and fraught with problems and economic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submits that the liability of the MJB defendants is heavily contingent on a determination of matters with which they had no involvement and involve only the plaintiff and the Poulsens and, as such, the former ought not to be required to be involved in the trial of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MJB defendants relies on Merritt v. Imasco Enterprises Inc. </w:t>
      </w:r>
      <w:hyperlink r:id="rId366"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a decision of Master Kirkpatrick (as she then was) in which she puts the issue at p. 282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are the issues raised by the pleadings sufficiently similar to warrant the order sought and will the order make sense in the circumstances? An application to have actions tried at the same time thus requires an examination of circumstances which may be of a more general nature than is made under R. 27 or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MJB defendants particularly relies upon the third of four factors considered by Master Kirkpatrick (as she then was)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Poulsens, having conceded that she did not oppose consolidation provided the matters were heard in Kamloops, made effectively no submissions on the question of consolidation of the matters being tried together. Nevertheless, I have considered the submissions that she advanced in her outline in response to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that outline she reflects a view similar to that advanced by counsel for the MJB defendants as to the discreteness of the issues involving the two sets of defendants and as to the narrowness of the involvement of the MJB defendants in the subject-matter of the lawsuit as opposed to the long and involved history of the defendant Poulsens with the plaintiff. She submits that the burden of an extended trial involving legal and factual issues unrelated to the Poulsens' defence should not be visited upon them. She repeats the submissions of the counsel for the MJB defendants that the claims and relationships among the Poulsens, the MJB defendants and the plaintiff are not "so interwoven as to make separate trials at different times before different judges undesirable and fraught with problems and economic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Having considered submissions of all counsel it is my opinion that the two actions must be consolidated pursuant to Rule 5(8) as, in my opinion, there is sufficient nexus both legally and factually between the two actions to render it desirable that the whole of the matter should be disposed of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seems to me that the proper characterisation of the transactions which involve the MJB defendants is not simply as discrete events unconnected and isolated from the ongoing relationship and agreements between the plaintiff and the Poulsens. Rather, they represent formalisation of that relationship and any agreements that may or may not have been reached in accordance with it. The unique perspective of a lawyer retained to give formal effect to an arrangement between separate parties, whether through the mechanism of a contract or through, as here, the purchase of land and the registration of its title, would be of great significance in a determination of what the parties intended to do by engaging in such a transaction. It seems to me that the transactions in 1990 and in 1993 are integral to both lawsuits and would require a complete and full canvassing in either lawsuit to enable a court to come to a conclusion about the true nature of the events they represent. While it may be that there is a considerable amount of evidence that could be called about the relationship between the plaintiff and the Poulsens as it evolved over time, it seems to me the critical focus of the court in either of these lawsuits would be on the nature of the relationship between the parties at the relatively early stage in it that these transactions took place. While the liability of the MJB defendants may be contingent on that of the Poulsens and to some extent on any shortfall in recovery from them, it is my opinion there are sufficient common questions of law and fact to merit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 would order a consolidation of the actions pursuant to Rule 5(8) and direct that the parties exchange new pleadings under the consolidated action.</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FOR CHANGE OF 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Rule 39(7)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place of trial shall be in the place named in the statement of claim, but the court may order that the place of trial be changed or that the trial be heard partly in one place and partly in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accept that the test under Rule 39(7) is as set out by the British Columbia Court of Appeal in Armstrong v. Revelstoke </w:t>
      </w:r>
      <w:hyperlink r:id="rId367" w:history="1">
        <w:r>
          <w:rPr>
            <w:rFonts w:ascii="arial" w:eastAsia="arial" w:hAnsi="arial" w:cs="arial"/>
            <w:i/>
            <w:color w:val="0077CC"/>
            <w:sz w:val="20"/>
            <w:u w:val="single"/>
            <w:shd w:val="clear" w:color="auto" w:fill="FFFFFF"/>
            <w:lang w:val="en-US" w:eastAsia="en-US" w:bidi="ar-SA"/>
          </w:rPr>
          <w:t>(1927), 38 B.C.R. 253</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[1927] 2 W.W.R. 245</w:t>
        </w:r>
      </w:hyperlink>
      <w:r>
        <w:rPr>
          <w:rFonts w:ascii="arial" w:eastAsia="arial" w:hAnsi="arial" w:cs="arial"/>
          <w:color w:val="000000"/>
          <w:sz w:val="20"/>
          <w:lang w:val="en-US" w:eastAsia="en-US" w:bidi="ar-SA"/>
        </w:rPr>
        <w:t xml:space="preserve"> (B.C.C.A.) at 246: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short of a great or considerable preponderance of convenience and expense would justify the taking from the respondent the right which the law has given him to select his own place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In McDonald v. Dawson </w:t>
      </w:r>
      <w:hyperlink r:id="rId368" w:history="1">
        <w:r>
          <w:rPr>
            <w:rFonts w:ascii="arial" w:eastAsia="arial" w:hAnsi="arial" w:cs="arial"/>
            <w:i/>
            <w:color w:val="0077CC"/>
            <w:sz w:val="20"/>
            <w:u w:val="single"/>
            <w:shd w:val="clear" w:color="auto" w:fill="FFFFFF"/>
            <w:lang w:val="en-US" w:eastAsia="en-US" w:bidi="ar-SA"/>
          </w:rPr>
          <w:t>(1904), 8 O.L.R. 72</w:t>
        </w:r>
      </w:hyperlink>
      <w:r>
        <w:rPr>
          <w:rFonts w:ascii="arial" w:eastAsia="arial" w:hAnsi="arial" w:cs="arial"/>
          <w:color w:val="000000"/>
          <w:sz w:val="20"/>
          <w:lang w:val="en-US" w:eastAsia="en-US" w:bidi="ar-SA"/>
        </w:rPr>
        <w:t xml:space="preserve"> at 73 (H.C.):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is on the defendant to make it appear that serious prejudice is likely to arise to him if it is not changed. Usually the question turns on the balance of convenience, based on number of witnesses, distance from the place of trial, and expenses of attendance. It then becomes a question of degree of less or more, and the test is variously expressed as to whether there is a great, or very great, or an overwhelming preponderance of convenience shewn by the defendant which ousts the right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counsel for the Poulsens submits that the great preponderance of convenience offsets the right which the plaintiff has to select his own place of trial. The factual basis for the submissions of counsel for the Poulsens is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principal parties in both actions, with the exception of the plaintiff who resides in Japan, reside in Kamloops.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properties which form the subject-matter of the proceedings are situated in Kamloops.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if not all, potential witnesses including the Jensen defendants reside in Kamloops.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alleged contracts are said to have been entered into in Kamloops.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alleged breaches of duty, fiduciary and otherwise were alleged to have taken place in Kamloops.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Almost every material fact that will be before the trial judge transpired in Kamloops.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Poulsens are located in Kamloops and that if the trial continues to be maintained in the Supreme Court in Vancouver the defendant Poulsens will suffer significant financial hardship including: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and accommodation costs;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legal costs for the transportation to and from the accommodation of legal counsel in Vancouver for any and all applications that may arise prior to the trial of the action;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legal costs incurred for the transportation to and from and accommodation of legal counsel in Vancouver during trial;</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legal costs paid as witness fees for the transportation to and from and accommodation of all witnesses in Vancouver during trial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childcare expenses for the duration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Poulsens submits that the immediate costs of the defendants, regardless of the possibility of reimbursement by way of costs, are considerably more than what plaintiff's costs would be if the action were transferred to the Kamloops Registry. Counsel for the Poulsens submit that a significant issue for consideration of this court is the fact that the Poulsens have two young children whom it would be impractical to leave in Kamloops for the five to ten days that a trial of this nature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Poulsens submits that the cost and inconvenience to the plaintiff is, by contrast, minimal as he would be required to travel a great distance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opposing the application of the Poulsens to transfer the trial to Kamloops, counsel for the plaintiff pointed out that he had already secured a trial date in Vancouver, and submitted that the plaintiff had a right to choose the venue of his trial which right could only be displaced by the great preponderance of convenience or expense, or in the interest of justice; that there would be additional cost occasioned to the plaintiff by his counsel being required to attend to Kamloops for interlocutory matters as well as trial matters; and that in the event of a consolidation, two of the three counsel involved in the lawsuit would be from Vancouver. Plaintiff's counsel's main submission in my view, however, was the possibility that a trial date in Kamloops would be more easily lost than the trial date in Vancouver and that because of the age and the apparent infirmity of the plaintiff, the need for a relatively speedy resolution of the lawsuit was paramount.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plaintiff submitted that because of the involvement of the MJB defendants in the lawsuit, this matter would have to be heard by a visiting judge in Kamloops and at any given time there was not likely to be more than one such visiting judge. Counsel for the plaintiff made the point that if that judge became unable to hear the matter by reason of any of the vicissitudes that can occur, then the trial date would be lost and the plaintiff would be significantly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Poulsens submitted that trial dates could be lost in Vancouver as well and that counsel for the plaintiff could apply to the Associate Chief Justice to secure a trial judge from outside of Kamloops to hear this matter in Kamloops and to obtain a priority trial date. As I understand it, counsel for the Poulsen defendants indicated she would support counsel for the plaintiff in that endeavour should the venue be changed to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Unfortunately, at this point, it is impossible to know the number or the types of witnesses that will be called in connection with this action. In view of the pleadings it appears likely that whatever witnesses are called will be from Kamloops and clearly, the majority of the parties are from Kamloops, although two of the three lawyers are from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given the assurance of counsel for the Poulsens that she will support the plaintiff in an application to the Associate Chief Justice for priority to be given a trial date in Kamloops, it seems to me that the major concern expressed by counsel for the plaintiff, which could offset the very clear and great preponderance of convenience to the Poulsen defendants is accounted for. On that basis, I am prepared to order that the trial of this matter be heard in Kamloops and that the file of the consolidated action be transferred to Kamloops for that purpose. In making that order, however, I am not ordering that the file be transferred to the Kamloops Registry for any pre-trial matters including any interlocutory motions. In my view, the same argument as to the preponderance of convenience does not apply in relation to pre-trial matters and interlocutory motions. The difficulty in finding a non-local judge in Kamloops who is available to hear interlocutory matters, the fact that two out of the three counsel involved in this lawsuit are from Vancouver, and the fact that as a general proposition the plaintiff has the right to choose his venue for trial all auger in favour, in my view, of permitting all matters up to trial to be heard in Vancouver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Costs of these applications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Rodrigues v. Tribe, [2016] B.C.J. No. 1422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S157053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1233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Crisolo Pedro Franscisco Fernando Rodrigues and Maria Do Ceu De Jesus Rodrigues, Plaintiffs, and Donna Diane Tribe (Owner of Unit 347), John Peccia (Owner of Pacific Quorum Properties Inc.), C. Thomas Woolley (Trust Lawyer) and TD Bank,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16"/>
      <w:bookmarkEnd w:id="185"/>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defendants to strike notice of civil claim allowed — Plaintiffs, who bought strata unit, made claims against lawyer, bank and owner of another unit — Notice of civil claim did not disclose reasonable cause of action — Notice of civil claim was prolix and difficult to understand, did not advance claim known in law and was without substance — Supreme Court Civil Rules, Rule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15"/>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notice of civil claim. The plaintiffs, who bought a strata unit, made claims against the lawyer who acted with respect to the conveyance, a bank and the owner of another unit.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13"/>
            <w:bookmarkEnd w:id="18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notice of civil claim did not disclose any reasonable cause of action. The notice of civil claim was prolix and difficult to understand, did not advance a claim known in law and was without substance. The notice of civil claim could be interpreted to make various claims against the lawyer, but did not plead any intelligible material facts to support the basis for any of the claims or identify which defendants they were directed at. The notice of civil claim did not specifically mention the bank or allege material facts to support the claims against it. The notice of civil claim alleged that the other owner caused water damage to the plaintiffs' unit, but did not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The plaintiffs were put on notice of the defective nature of the notice of civil claim and given an opportunity to amend it, but chose not to.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15"/>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Competition Act, </w:t>
      </w:r>
      <w:hyperlink r:id="rId376"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LTA, s. 36, s. 185(1)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 Rule 9-5(1) (a), Rule 9-5(2), Rule 9-6, Rule 9-6(4), Rule 9-6(5)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16"/>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C. Rodrigues.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M. Rodrigues.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Tribe: R.M. Grist.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Peccia: C.J. Bakker.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 Woolley: G. Sexton.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TD Bank: B.J. Greenberg, R.L. Coad.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16"/>
      <w:bookmarkEnd w:id="190"/>
      <w:r>
        <w:pict>
          <v:line id="_x0000_s1118"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W. EHRCKE J."/>
            <w:bookmarkEnd w:id="191"/>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 have before me four applications, brought by each of the four defendants, to have the plaintiffs' claim against them struck out and the case dismissed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filed the following affidavits: Affidavit of Rita de Micheli sworn April 29, 2016, Affidavit of Thomas Craig Woolley sworn April 28, 2016, Affidavit of Damyanti Shankaran sworn May 11, 2016, and Affidavit of John Peccia sworn May 27, 2016. Pursuant to Rule 9-5(2), no evidence is admissible on an application under subrule (1)(a) of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applications are opposed by the plaintiffs, who appeared before me in person and made submissions, although they had not filed an application response to any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summer of 1994, the plaintiffs purchased unit 111 in a strata titled building on 588 East 5th Avenue in Vancouver (the "Property"). Thomas Craig Woolley ("Mr. Woolley") is the lawyer who was retained by the plaintiffs and Vancouver City Savings Credit Union with respect to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Donna Diane Tribe ("Ms. Tribe") owns a condominium unit in the same building as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John Peccia ("Mr. Peccia") was property manager for the building from 1998-2001, and his company Pacific Quorum Properties Inc. is the current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were registered as the owners in fee simple of the Property on August 17, 1994. There was a mortgage on the Property, which was transferred to the defendant, Toronto Dominion Bank ("TD"), in 1998. That mortgage was discharged from the title to the Property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28, 2002, the plaintiffs took out another mortgage with TD. That mortgage was discharged from title to the Property on December 11,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TD is not currently the holder of any mortgage relating to the Property or to the plaintiffs. In fact, since 2003, the only dealings TD has had with the plaintiffs is a dormant bank account held by Maria Rodrigues with a balance of about $0.16.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spring of 2008, Mr. Rodrigues contacted Mr. Woolley expressing concerns about his ownership of the Property and about a power of attorney. Mr. Woolley wrote to Mr. Rodrigues on April 30, 2008 explaining that he knew nothing of a power of attorney, but that he had conducted a title search and confirmed that the plaintiffs remained the registered owners in fee simple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Woolley heard nothing further from the plaintiffs until he was served with the notice of civil claim in this action No. S157053 that the plaintiffs filed on August 26, 2015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allegations made by the plaintiffs in the Notice of Civil Claim are somewhat rambling and difficult to comprehend, but they appear substantially similar to allegations made by the plaintiffs in two previous actions, No. S098811 against their realtor Carrol Barbara Woolsey, and No. H101389 against Pacific Quorum Properties Inc. Action No. S098811was struck by Leask J. on January 19, 2010, and action No. H101389 was dismissed as disclosing no cause of action by Bowden J. on April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10, 2015, counsel for Mr. Woolley wrote to the plaintiffs expressing concern about the intelligibility of their pleadings in the present action No. S157053 and requesting that they amend their Notice of Civil Claim in order to indicate clearly what allegations they were making and what relief they were seeking. He also pointed out that Mr. Woolley is incorrectly named in the style of cause as "C. Thomas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November 16, 2015, a case planning conference was held in the present action, and the plaintiffs were advised that an application would be brought to strike their Notice of Civil Claim. Master Baker directed that the plaintiffs amend their pleadings by December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December 4, 2015, Naushad Ahmed, the lawyer assisting the plaintiffs on a limited retainer on this action and who appeared on behalf of the plaintiffs at the case planning conference, sent an email stating: "I am writing to advise you that we will not be amending our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MR. WOOLLEY'S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May 4, 2016, Mr. Woolley filed his notice of application seeking to have the Notice of Civil Claim struck out under Rule 9-5(1) on the basis that it fails to disclose a reasonable claim against him, is unnecessary, frivolous or vexatious and an abuse of process of the court, and in the alternative, to have the claim against him dismissed under Rule 9-6 on the basis that there is no genuine issue to be tried and that the claim is statute barred by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9-5(1) At any stage of a proceeding, the court may order to be struck out or amended the whole or any part of a pleading, petition or other document on the ground that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Rule 9-6(4) and (5) provide: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9-6(4) In an action, an answering party may, after serving a responding pleading on a claiming party, apply under this rule for judgment dismissing all or part of a claim in the claiming party's originating pleading.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K. Smith J. described the function of pleadings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Verhoeven J. described the basic, minimum requirements for pleadings in this way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 is simply to set out the material facts upon which the plaintiff relies to support a cause of action known in law. However, when it is apparent that several causes of action are being alleged against multiple defendants, then unless the statement of claim sets out with clarity what facts relate to what cause of action and against which defendant, the pleading fails to "clearly define the issues of fact and law to be determined by the court":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test for striking out a pleading or dismissing a claim under Rule 9-5 was conveniently summarized by Voith J. in </w:t>
      </w:r>
      <w:r>
        <w:rPr>
          <w:rFonts w:ascii="arial" w:eastAsia="arial" w:hAnsi="arial" w:cs="arial"/>
          <w:i/>
          <w:color w:val="000000"/>
          <w:sz w:val="20"/>
          <w:lang w:val="en-US" w:eastAsia="en-US" w:bidi="ar-SA"/>
        </w:rPr>
        <w:t>Sahyoun (Committee of) v. Ho</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xml:space="preserve"> at paras. 57-63: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test on an application to strike an action under R. 9-5(1)(a), on the basis the pleadings do not disclose a cause of action, is whether it is plain and obvious the claim cannot succeed. It requires a conclusion that, assuming that the facts as stated are true, those facts disclose no cause of action and the pleadings disclose no arguable issue. If there is a chance that the action may succeed, then the action should be allowed to proceed;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Thompson v. Webber</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2010 BCCA 308</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test for striking a pleading under R. 9-5(1)(b), on the basis that it is unnecessary, scandalous, frivolous or vexatious, was recently summarized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where Fisher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An "embarrassing" pleading, as contemplated by R. 9-5(1)(c), is one that is so irrelevant that to allow it to stand would involve useless expense and would also prejudice the trial of the action by involving the parties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abuse of process standard under R. 9-5(1)(d) derives from a flexible doctrine. It allows the court to prevent a claim from proceeding where to do so would violate principles of judicial economy, consistency, finality and the integrity of the administration of justice;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35-37.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Though subsections (a)-(d) of R. 9-5(1) address different concerns and different wrongs, there is also some overlap between these subsections. Thus, for example, a pleading that discloses no cause of action, contrary to R. 9-5(1)(a), can also be unnecessary, frivolous or vexatious within the meaning of R. 9-5(1)(b); see </w:t>
      </w:r>
      <w:r>
        <w:rPr>
          <w:rFonts w:ascii="arial" w:eastAsia="arial" w:hAnsi="arial" w:cs="arial"/>
          <w:i/>
          <w:color w:val="000000"/>
          <w:sz w:val="20"/>
          <w:lang w:val="en-US" w:eastAsia="en-US" w:bidi="ar-SA"/>
        </w:rPr>
        <w:t>e.g. Virk v. Brar</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2012 BCSC 1004</w:t>
        </w:r>
      </w:hyperlink>
      <w:r>
        <w:rPr>
          <w:rFonts w:ascii="arial" w:eastAsia="arial" w:hAnsi="arial" w:cs="arial"/>
          <w:color w:val="000000"/>
          <w:sz w:val="20"/>
          <w:lang w:val="en-US" w:eastAsia="en-US" w:bidi="ar-SA"/>
        </w:rPr>
        <w:t xml:space="preserve"> at paras. 69-70.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A pleading can be embarrassing if it does not state the real issue in an intelligible form. It can also be embarrassing if it is prolix, includes irrelevant facts, argument or evidence. It can be prejudicial if it is designed to or has the effect of confusing the defendant, making it difficult, if not impossible, to answer; </w:t>
      </w:r>
      <w:r>
        <w:rPr>
          <w:rFonts w:ascii="arial" w:eastAsia="arial" w:hAnsi="arial" w:cs="arial"/>
          <w:i/>
          <w:color w:val="000000"/>
          <w:sz w:val="20"/>
          <w:lang w:val="en-US" w:eastAsia="en-US" w:bidi="ar-SA"/>
        </w:rPr>
        <w:t>Virk</w:t>
      </w:r>
      <w:r>
        <w:rPr>
          <w:rFonts w:ascii="arial" w:eastAsia="arial" w:hAnsi="arial" w:cs="arial"/>
          <w:color w:val="000000"/>
          <w:sz w:val="20"/>
          <w:lang w:val="en-US" w:eastAsia="en-US" w:bidi="ar-SA"/>
        </w:rPr>
        <w:t xml:space="preserve"> at para. 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These same concerns can constitute an abuse of the court if a litigant has been expressly told that there are aspects of its pleadings that are deficient or defective, and if that litigant persists, in its amended claim, to advance the same claims or issues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paragraph 10 of Mr. Woolley's notice of application, he characterizes the inadequacies of the plaintiffs' Notice of Civil Claim in the following way:</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is prolix, difficult to understand, does not advance a claim known in law and is without substance. It may be interpreted to include the following allegations against Mr. Woolley: conflict of interest, fraud, conversion, unspecified criminal offence, conspiracy, unjust enrichment and unclean hands for which they seek special damages, punitive damages and other such relief. However, there are no intelligible material facts pled to support the basis for any of these claims nor does the Notice of Civil Claim identify which defendants each of these purported claims are directed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entirely agree with that characterization of the Notice of Civil Claim. It is plain and obvious that the Notice of Civil Claim does not disclose any coherent, reasonable cause of action against Mr. Woolley. Even if one assumes that the facts pleaded could be proven as true, those facts disclose no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were put on notice about the defective nature of their Notice of Civil Claim and were given the opportunity to amend it. They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deficiencies in the pleadings here lead to the same conclusion as that reached by Voith J. in </w:t>
      </w:r>
      <w:r>
        <w:rPr>
          <w:rFonts w:ascii="arial" w:eastAsia="arial" w:hAnsi="arial" w:cs="arial"/>
          <w:i/>
          <w:color w:val="000000"/>
          <w:sz w:val="20"/>
          <w:lang w:val="en-US" w:eastAsia="en-US" w:bidi="ar-SA"/>
        </w:rPr>
        <w:t>Sahyoun (Committee of) v. Ho</w:t>
      </w:r>
      <w:r>
        <w:rPr>
          <w:rFonts w:ascii="arial" w:eastAsia="arial" w:hAnsi="arial" w:cs="arial"/>
          <w:color w:val="000000"/>
          <w:sz w:val="20"/>
          <w:lang w:val="en-US" w:eastAsia="en-US" w:bidi="ar-SA"/>
        </w:rPr>
        <w:t>. In that case, he found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In this case, the Amended Pleading is so overwhelmed with difficulty that it is simply not possible to fully identify all of the specific inadequacies that exist, or to categorize those difficulties into the specific subparagraphs of R. 9-5(1). It is also not possible to deal with the deficiencies in the Amended Pleading that relate to individual defendants, as often multiple causes of action are advanced against a single defendant. I am, however, satisfied that most of the Amended Pleading does not comply with R. 9-5(1), and that very significant portions of the Amended Pleading offend one or more of the subparagraphs in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Accordingly, the Notice of Civil Claim is struck out and dismissed as against Mr. Woolley pursuant to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light of that finding, I need not consider the alternative submission under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TD'S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Notice of Civil Claim does not specifically mention TD in any of its factual allegations. It does, however, mention "our Bank" in paragraph 9 of Part 1 Statement of Facts: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onset Real Estate fraud of conveyancing and mortgage registration by the registrant, our Bank was and is holding our condo as collateral and as a sole Judge such as our eligible trust strata "Assets" conversion securities interest schedule, Form 2 of LTA Form A transfer section 185(1) of LTA Form U of SPA etc to be referred to our state title Certificate applied various statutes, MLS listing advertisement, indefeasible title certificate, Section 36 certificate or B with no endorsement at the back on it or the provisions on it which remained uncanceled and with us. For us and for our accountant to cancel upon our sale of our unit, copies will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Notice of Civil Claim Part 3 Legal Basis, the plaintiffs make allegations of conspiracy to affect real estate prices,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unjust enrichment, fraud, and a refusal to disclose documents. However, no material facts are alleged against TD that could support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plain and obvious that the Notice of Civil Claim does not disclose any reasonable cause of action against TD, and the Notice of Civil Claim is accordingly struck out and dismissed as against TD pursuant to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MS. TRIBE'S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Tribe is the owner of unit 347 in the same building as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paragraph 1 of the Statement of Facts of their Notice of Civil Claim the plaintiffs allege that their unit suffered water damage caused by the owner of unit 347. That paragraph states: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14 Dec. 2014 and before our strata by law came into effect i.e. 19 Feb. 2015 our strata unit #111 below which my wife and I purchased as first time buyers. And which was advertised as a freehold in the MLS listing in Vancouver BC, suffered extensive water damage caused by my strata Council Vice President and owner of unit #347 above. AND NOT BY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paragraph 2, the plaintiffs state that they are not responsible for the repair of their strata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paragraph 6 they say:</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sent several letters and made several phone calls to Donna Tribe #347, Strata President Jonna Hanson Unit #109, Mr. John Peccia of Pacific Quorum Properties Inc. Our (Bank) Mr. Bruno De Vita and our lawyer and VanCity Credit Union lawyer Mr. Thomas C. Woolley, to no avail (conflict of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With respect to the water damage, the Notice of Civil Claim does not allege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Tribe, nor is there a claim in nuisance. The claims of fraud, conspiracy, unjust enrichment, conversion and so on appear to be unrelated to the water damage, and are in any case unsupported by any of the material facts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previously noted, the plaintiffs were given an opportunity to amend their pleadings, and they chose not to do so. It is not for the defendants or for this Court to try to construct a possible legal path to relief when the plaintiffs have failed to do so in their pleadings and when the Notice of Civil Claim does not allege facts that would support the relief they have asked for. The fact that the plaintiffs are now unrepresented by counsel does not relieve them from the responsibility of providing the Court and the defendants with intelligible pleadings that meet the minimum requirements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Garson J.A. wrote in </w:t>
      </w:r>
      <w:r>
        <w:rPr>
          <w:rFonts w:ascii="arial" w:eastAsia="arial" w:hAnsi="arial" w:cs="arial"/>
          <w:i/>
          <w:color w:val="000000"/>
          <w:sz w:val="20"/>
          <w:lang w:val="en-US" w:eastAsia="en-US" w:bidi="ar-SA"/>
        </w:rPr>
        <w:t>Jensen v. Jackman</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2010 BCCA 6</w:t>
        </w:r>
      </w:hyperlink>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precise nature of the claims Ms. Jensen advances is unclear. Her proposed statements of claim are, as I have already said, prolix. It is not for the Court to articulate for a litigant, from such materials, a comprehensible and legally cognizable cause of action. Pleadings must enable the court, within a reasonable time in review of the pleading, to find in those pleadings the cause of action, and the material facts upon which the cause of action is based. Ms. Jensen's proposed pleadings are an abuse of the court's process because they do not meet these minimum requirements of pleadings. In saying this, I recognize that Ms. Jensen is self-represented and may be entitled to some latitude in meeting the requirements of pleadings, but where, as here, the pleadings do not satisfy the function of pleadings at all, they are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plain and obvious that the Notice of Civil Claim does not disclose any reasonable cause of action against Ms. Tribe, and the Notice of Civil Claim is accordingly struck out and dismissed as against her pursuant to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w:t>
      </w:r>
      <w:r>
        <w:rPr>
          <w:rFonts w:ascii="arial" w:eastAsia="arial" w:hAnsi="arial" w:cs="arial"/>
          <w:b/>
          <w:color w:val="000000"/>
          <w:sz w:val="20"/>
          <w:u w:val="single"/>
          <w:lang w:val="en-US" w:eastAsia="en-US" w:bidi="ar-SA"/>
        </w:rPr>
        <w:t>MR. PECCIA'S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Peccia was the property manager from 1998 to 2001, but has had no personal involvement with the operation of the strata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with the other defendants, the Notice of Civil Claim does not set out any intelligible claim against him, and there are no material facts alleged against him that would support any of the relief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plain and obvious that the Notice of Civil Claim does not disclose any reasonable cause of action against Mr. Peccia, and the Notice of Civil Claim is accordingly struck out and dismissed as against him pursuant to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 </w:t>
      </w:r>
      <w:r>
        <w:rPr>
          <w:rFonts w:ascii="arial" w:eastAsia="arial" w:hAnsi="arial" w:cs="arial"/>
          <w:b/>
          <w:color w:val="000000"/>
          <w:sz w:val="20"/>
          <w:u w:val="single"/>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set out above, the plaintiffs appeared in person on the hearing of these applications. Mr. Rodrigues made oral submissions opposing the applications. Ms. Rodrigues stated that she did not wish to make any submissions in addition to those of Mr. Rodrigues. They presented the court with two binders of materials. Neither of the plaintiffs made any request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Nothing in the plaintiffs' submissions or the material in their binders provides any basis for refusing the relief sought by the defendants in their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All four of the applications of the defendants are allowed. The Notice of Civil Claim is struck out and dismissed as against all four defendants pursuant to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four defendants are entitled to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R.P.C. Inc. v. Fournell Estate, [2003] B.C.J. No. 1390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S026531, S026876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C.P.C. (5th)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R.P.C. Inc., plaintiff, and Angela Perrin Fournell, Individually and as Personal Representative of the Estate of Stephen Fournell and Diane Regan, Individually and as Personal Representative of the Estate of Randie Regan, defendants (Vancouver Registry No. S026531) And between Advanced Coatings Inc. and Atlas Block Co. Ltd., plaintiffs, and Angela Fournell, Individually and as Personal Representative of the Estate of Steve Fournell, deceased, and Diane Regan, as Personal Representative of the Estate of Randie Regan (also known as Randy Regan), defendants (Vancouver Registry No. S026876)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2" w:name="Keywords_17"/>
      <w:bookmarkEnd w:id="192"/>
      <w:r>
        <w:rPr>
          <w:rFonts w:ascii="arial" w:eastAsia="arial" w:hAnsi="arial" w:cs="arial"/>
          <w:b/>
          <w:color w:val="000000"/>
          <w:sz w:val="20"/>
          <w:lang w:val="en-US" w:eastAsia="en-US" w:bidi="ar-SA"/>
        </w:rPr>
        <w:t>Injunctions — Granting an injunction — Bars — Restriction of legal proceedings — Courts — Jurisdiction — Foreign rules.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3" w:name="Case Summary_16"/>
            <w:bookmarkEnd w:id="1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RPC for an injunction restraining proceedings commenced in the State of Georgia. The litigation arose out of an explosion that occurred while Fournell and Regan were applying a waterproofing material to a concrete water cistern in British Columbia. Fournell died as a result of the explosion and Regan suffered serious injuries. RPC, a Georgia corporation, manufactured the waterproofing material and had its head office in Georgia. The waterproofing material was distributed by Advanced, an Ontario corporation. The distribution agreement stated that it was governed by Georgia law. In 1999, litigation was commenced by Fournell's widow and Regan in Georgia against RPC and Advanced for losses and injuries resulting from the explosion. The defendants in that action filed a notice to dismiss based on the doctrine of forum non conveniens. Before that motion could be heard, the plaintiffs dismissed those proceedings, but a year later filed a renewal of the proceedings against RPC alone, and RPC claimed against Advanced as a third party. RPC and advanced then filed a motion to dismiss this action again based on the doctrine of forum non conveniens. The State Court of Georgia dismissed the motion, and this dismissal was upheld by appellate courts. RPC argued that the Georgia action should be restrained because Georgia was forum non conveniens due to the significant number of witnesses from British Columbia and the applicable law. Fournell Estate argued that it would be prejudiced if the Georgia action were restrained because it had already conducted extensive discovery of documents and depositions in that action, and it would lose a significant juridical advantage due to Georgia's strict liability statute and substantial damages available under its wrongful death 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4" w:name="Holdings of Court_14"/>
            <w:bookmarkEnd w:id="19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in the Georgia action were residents of British Columbia, and that was where the loss occurred. Advanced was an Ontario corporation and RPC was a Georgia corporation. The law applicable to the tort claims would therefore be the law of British Columbia. The Georgia court could reasonably have concluded that there was no alternative forum that was clearly more appropriate, and comity required that the British Columbia court respect that decision. It would be unjust to deprive the plaintiffs in the Georgia action of the juridical advantages available to them in that forum. Those plaintiffs chose to litigate in RPC's home jurisdiction, and were entitled to the juridical advantages that are associated with that forum.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5" w:name="Counsel_17"/>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Alex L. Eged, for the plaintiff, R.P.C. Inc. W.T. Morley and J.L. Francis, for the plaintiffs, Advanced Coatings Inc. and Atlas Block Co. Ltd. J.J. Camp Q.C. and Joe Fiorante,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6" w:name="Judgment_17"/>
      <w:bookmarkEnd w:id="196"/>
      <w:r>
        <w:pict>
          <v:line id="_x0000_s1122" style="position:absolute;z-index:2517790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7" w:name="ROSS J."/>
            <w:bookmarkEnd w:id="197"/>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Action S026531, R.P.C. Inc. ("RPC") together with the plaintiffs in Action S026876, Advanced Coatings Inc. and Atlas Block Co. Ltd. ("Advanced"), seek an injunction to restrain proceedings commenced in the State Court of Georgia by Angela Fournell individually and as the personal representative of the Estate of Stephen Fournell, deceased and by Diane Regan, as personal representative of the Estate of Randie Regan, deceased (the "Georgia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litigation arises out of an explosion that occurred while Mr. Fournell and Mr. Regan were applying Code Blue Type F, a waterproofing material, to a concrete water cistern at a mobile home park in Nanaimo, British Columbia on May 8, 1997. As a result of the explosion Stephen Fournell suffered severe burn injuries which ultimately resulted in his death. Randie Regan suffered serious injuries, including severe burns to his hands and his face. Mr. Regan later died of causes unrelated to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RPC is incorporated pursuant to the laws of Georgia and maintains its head office in that state. RPC manufactures Code Blue and Code Blue Type F products. Code Blue Type F is manufactured by RPC in Ohio.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Code Blue is a rubber polymer membrane used to waterproof exterior surfaces. Code Blue Type F is a variation used to waterproof interior surfaces. The product is applied to surfaces using a spray-on technique that provides a seamless membrane, highly resistant to water and salts.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Advanced Coatings is an Ontario corporation that is in the business of selling and distributing construction products in Canada. It acquired the right to market and to distribute Code Blue and Code Blue Type F in Canada pursuant to a Distribution Agreement with R.P.C.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Advanced marketed Code Blue and Code Blue Type F to licensed applicators in Canada, including Stephen Fournell and Peter Darroch, operating in partnership under the name Ocean Blue Waterproofing. Pursuant to the License Agreement, Advanced was to provide training to Ocean Blue Waterproofing in the application and use of Code Blue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January 1997, the name and assets of Ocean Blue Waterproofing were sold to Seal-It Coatings and Sealants ("Seal-It"). Ocean Blue Waterproofing was later that spring hired to seal the interior of an above ground concrete cistern located in Cassidy Mobile Home Park in Nanaimo, British Columbia. Randie Regan was hired to assist Mr. Fournell with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explosion occurred during the application of the Code Blue Type F to the interior of the cistern.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OF THE GEORGIA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An action was commenced on April 30, 1999 in the Superior Court of Georgia by Angela Fournell and Randie Regan on their own behalves and as a subrogated claim on behalf of the Workers' Compensation Board of British Columbia against RPC, Advanced and several other defendants, for loss and injury resulting from the explosion. The complaint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express and implied warranties, strict liability for the design and manufacture of the product, wrongful death and loss of consortium in respect of the death of Mr. Fournell and damages for injuries suffered by Mr.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21, 2000 each of the six defendants filed a Motion to Dismiss based on the doctrine of forum non conveniens. On September 23, 2000, prior to the delivery of the Superior Court's ruling on the Motion to Dismiss, the plaintiffs dismissed those proceedings on a without prejudice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December 29, 2000, the Georgia Plaintiffs filed a renewal of the proceeding against RPC alone in the State Court of Georgia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inadequate warnings, and training, breach of warranty and strict liability. RPC claimed against Advanced as third parties by virtue of the Distribution Agreement entered into between RPC and Advanced pursuant to which Advanced acquired the right to distribute products manufactured by RPC in Canada and Advanced agreed to indemnify RPC against any claims arising out of the use of those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RPC and Advanced filed a Motion to dismiss the action on the basis of the doctrine of forum non conveniens. The application was heard by Judge Dixon who is the case management judge. Judge Dixon ruled: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doctrine of forum non conveniens is an equitable principle by which a court having jurisdiction may decline to exercise it on considerations of convenience, efficiency, and justice". AT&amp;T Corporation v. Sigala, 274 Ga. 137, 138 (S. Ct. 2001). Trial courts have discretion when determining whether a tort action should remain on the docket when it involves foreign plaintiffs. Id at p. 139. Georgia courts have declined to apply the forum non conveniens doctrine when the case involves a resident or citizen of Georgia or another state. Id. at p. 139.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parties have a reasonable connection to this jurisdiction. Defendant R.P.C. is a resident of Georgia. Thus, Defendant R.P.C. benefits from the laws of the state of Georgia. As such, the citizens of Georgia have a public interest in the outcome of the above-styled case. Further, retaining jurisdiction in Georgia is the simplest and most expedient way to resolve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appeal was taken to the Georgia Court of Appeals. The Georgia Court of Appeals held that as the underlying issue on the appeal was a matter of equitable relief the Supreme Court of Georgia had exclusive jurisdiction to hear the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R.P.C. Inc., et al. seek interlocutory review of the order of the trial court denying their motion to dismiss this suit on the grounds of </w:t>
      </w:r>
      <w:r>
        <w:rPr>
          <w:rFonts w:ascii="arial" w:eastAsia="arial" w:hAnsi="arial" w:cs="arial"/>
          <w:b/>
          <w:color w:val="000000"/>
          <w:sz w:val="20"/>
          <w:lang w:val="en-US" w:eastAsia="en-US" w:bidi="ar-SA"/>
        </w:rPr>
        <w:t>forum non conveniens</w:t>
      </w:r>
      <w:r>
        <w:rPr>
          <w:rFonts w:ascii="arial" w:eastAsia="arial" w:hAnsi="arial" w:cs="arial"/>
          <w:color w:val="000000"/>
          <w:sz w:val="20"/>
          <w:lang w:val="en-US" w:eastAsia="en-US" w:bidi="ar-SA"/>
        </w:rPr>
        <w:t xml:space="preserve">. The common-law doctrine of </w:t>
      </w:r>
      <w:r>
        <w:rPr>
          <w:rFonts w:ascii="arial" w:eastAsia="arial" w:hAnsi="arial" w:cs="arial"/>
          <w:b/>
          <w:color w:val="000000"/>
          <w:sz w:val="20"/>
          <w:lang w:val="en-US" w:eastAsia="en-US" w:bidi="ar-SA"/>
        </w:rPr>
        <w:t>forum non conveniens</w:t>
      </w:r>
      <w:r>
        <w:rPr>
          <w:rFonts w:ascii="arial" w:eastAsia="arial" w:hAnsi="arial" w:cs="arial"/>
          <w:color w:val="000000"/>
          <w:sz w:val="20"/>
          <w:lang w:val="en-US" w:eastAsia="en-US" w:bidi="ar-SA"/>
        </w:rPr>
        <w:t xml:space="preserve"> is an equitable principle by which a court in this state may decline to exercise its existing jurisdiction over a case on consideration of convenience, efficiency, and justice. AT &amp; T Corp. v. Sigala, 274 Ga. 137 (549 SE2d 373) (2001). In considering the factor of justice, a trial court has great latitude in determining what matters to consider in determining the propriety of granting equitable relief and declining to exercise its jurisdiction over a particular case. And, "trial courts should have the discretion to determine whether a tort action should remain on their dockets when it involves foreign plaintiffs." Id. at 139; see also Southern R. Co. v. Parker, 194 Ga. 94(1)(21 SE2d 94)(1942).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Examining the facts presented in this application in light of the current state of law in Georgia, it appears that the underlying legal issue in this application is the propriety of granting equitable relief to the applicants under the doctrine of </w:t>
      </w:r>
      <w:r>
        <w:rPr>
          <w:rFonts w:ascii="arial" w:eastAsia="arial" w:hAnsi="arial" w:cs="arial"/>
          <w:b/>
          <w:color w:val="000000"/>
          <w:sz w:val="20"/>
          <w:lang w:val="en-US" w:eastAsia="en-US" w:bidi="ar-SA"/>
        </w:rPr>
        <w:t>forum non conveniens</w:t>
      </w:r>
      <w:r>
        <w:rPr>
          <w:rFonts w:ascii="arial" w:eastAsia="arial" w:hAnsi="arial" w:cs="arial"/>
          <w:color w:val="000000"/>
          <w:sz w:val="20"/>
          <w:lang w:val="en-US" w:eastAsia="en-US" w:bidi="ar-SA"/>
        </w:rPr>
        <w:t xml:space="preserve">. The issue of "propriety" of granting or denying relief under the doctrine of </w:t>
      </w:r>
      <w:r>
        <w:rPr>
          <w:rFonts w:ascii="arial" w:eastAsia="arial" w:hAnsi="arial" w:cs="arial"/>
          <w:b/>
          <w:color w:val="000000"/>
          <w:sz w:val="20"/>
          <w:lang w:val="en-US" w:eastAsia="en-US" w:bidi="ar-SA"/>
        </w:rPr>
        <w:t>forum non conveniens</w:t>
      </w:r>
      <w:r>
        <w:rPr>
          <w:rFonts w:ascii="arial" w:eastAsia="arial" w:hAnsi="arial" w:cs="arial"/>
          <w:color w:val="000000"/>
          <w:sz w:val="20"/>
          <w:lang w:val="en-US" w:eastAsia="en-US" w:bidi="ar-SA"/>
        </w:rPr>
        <w:t xml:space="preserve"> is further evident because a trial court has inherent and constitutional authority to "exercise such powers as necessary in aid of its jurisdiction, and thus only the question of propriety remains to be resolved. Ga. Const. of 1983, Art. VI, Sec. I, Par. 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an action is an equity case for the purpose of determining jurisdiction on appeal depends upon the </w:t>
      </w:r>
      <w:r>
        <w:rPr>
          <w:rFonts w:ascii="arial" w:eastAsia="arial" w:hAnsi="arial" w:cs="arial"/>
          <w:b/>
          <w:color w:val="000000"/>
          <w:sz w:val="20"/>
          <w:lang w:val="en-US" w:eastAsia="en-US" w:bidi="ar-SA"/>
        </w:rPr>
        <w:t>issue</w:t>
      </w:r>
      <w:r>
        <w:rPr>
          <w:rFonts w:ascii="arial" w:eastAsia="arial" w:hAnsi="arial" w:cs="arial"/>
          <w:color w:val="000000"/>
          <w:sz w:val="20"/>
          <w:lang w:val="en-US" w:eastAsia="en-US" w:bidi="ar-SA"/>
        </w:rPr>
        <w:t xml:space="preserve"> raised on appeal, not upon how the case is styled nor upon the kinds of relief that may be </w:t>
      </w:r>
      <w:r>
        <w:rPr>
          <w:rFonts w:ascii="arial" w:eastAsia="arial" w:hAnsi="arial" w:cs="arial"/>
          <w:b/>
          <w:color w:val="000000"/>
          <w:sz w:val="20"/>
          <w:lang w:val="en-US" w:eastAsia="en-US" w:bidi="ar-SA"/>
        </w:rPr>
        <w:t>sought</w:t>
      </w:r>
      <w:r>
        <w:rPr>
          <w:rFonts w:ascii="arial" w:eastAsia="arial" w:hAnsi="arial" w:cs="arial"/>
          <w:color w:val="000000"/>
          <w:sz w:val="20"/>
          <w:lang w:val="en-US" w:eastAsia="en-US" w:bidi="ar-SA"/>
        </w:rPr>
        <w:t xml:space="preserve"> by the complaint. That is, 'equity cases' are those in which a substantive issue on appeal involves the legality or propriety of equitable relief sought in the superior court - whether the relief was granted or denied." (Second emphasis supplied.) Beauchamp v. Knight, 261 Ga. 608, 609 (2) (409 SE2d 208)(1991); accord Saxton v. Coastal Dialysis &amp;c., 267 Ga. 177, 178-179 (476 SE2d 587) (1996). As this application presents a substantive issue regarding the legality or propriety of the equitable relief sought in superior court, that is, application of the doctrine of </w:t>
      </w:r>
      <w:r>
        <w:rPr>
          <w:rFonts w:ascii="arial" w:eastAsia="arial" w:hAnsi="arial" w:cs="arial"/>
          <w:b/>
          <w:color w:val="000000"/>
          <w:sz w:val="20"/>
          <w:lang w:val="en-US" w:eastAsia="en-US" w:bidi="ar-SA"/>
        </w:rPr>
        <w:t>forum non conveniens</w:t>
      </w:r>
      <w:r>
        <w:rPr>
          <w:rFonts w:ascii="arial" w:eastAsia="arial" w:hAnsi="arial" w:cs="arial"/>
          <w:color w:val="000000"/>
          <w:sz w:val="20"/>
          <w:lang w:val="en-US" w:eastAsia="en-US" w:bidi="ar-SA"/>
        </w:rPr>
        <w:t>, the Supreme Court of Georgia has exclusive appellate jurisdiction over this application. Ga. Const. of 1983, Art. VI, Sec. VI, Par. III(2).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this case is ordered TRANSFERRED to the Supreme Court of Georgia Ga. Const. of 1983, Art. VI, Sec. I, Par. 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24, 2002, the Supreme Court of Georgia denied RPC's application for an Interlocutory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consideration of the Application for Interlocutory Appeal, it is ordered that it is hereby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22, 2002, the Supreme Court of Georgia denied RPC's Motion for Reconsideration: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consideration of the Motion for Reconsideration filed in its case, it is ordered that it be hereby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13, 2002, the Georgia Court of Appeals denied RPC's supplementary application for interlocutory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AMCHEM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leading case with respect to the principles to be applied in an application for an anti-suit injunction is Amchem Products Inc. v. British Columbia (Workers' Compensation Board) </w:t>
      </w:r>
      <w:hyperlink r:id="rId391" w:history="1">
        <w:r>
          <w:rPr>
            <w:rFonts w:ascii="arial" w:eastAsia="arial" w:hAnsi="arial" w:cs="arial"/>
            <w:i/>
            <w:color w:val="0077CC"/>
            <w:sz w:val="20"/>
            <w:u w:val="single"/>
            <w:shd w:val="clear" w:color="auto" w:fill="FFFFFF"/>
            <w:lang w:val="en-US" w:eastAsia="en-US" w:bidi="ar-SA"/>
          </w:rPr>
          <w:t>(1993), 102 D.L.R. (4th) 96</w:t>
        </w:r>
      </w:hyperlink>
      <w:r>
        <w:rPr>
          <w:rFonts w:ascii="arial" w:eastAsia="arial" w:hAnsi="arial" w:cs="arial"/>
          <w:color w:val="000000"/>
          <w:sz w:val="20"/>
          <w:lang w:val="en-US" w:eastAsia="en-US" w:bidi="ar-SA"/>
        </w:rPr>
        <w:t xml:space="preserve"> (S.C.C.). The facts of that case are set out in the head note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plaintiffs brought actions in British Columbia for an anti-suit injunction to enjoin the defendants from bringing an action against them in Texas for damages arising from the defendants' exposure to asbestos manufactured and sold by the plaintiffs. The plaintiffs were all bodies corporate which were engaged or had engaged in the manufacture, sale and supply of asbestos products used in the construction of ships and buildings. Most of the plaintiffs were incorporated and had their principal places of business in the United States. None of the American companies was incorporated in Texas, although one had a principal office there and one had a subsidiary with a principal place of business there. Most of the plaintiffs did business in that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196 defendants in the action in British Columbia, of whom 194 were individuals. A substantial number of the defendants were British Columbia residents who suffered injury in the province from exposure to asbestos and elected compensation, or they were dependants of deceased persons who had been exposed to asbestos. As a result, the Workers' Compensation Board was subrogated to their claims. The defendant board was not a party to the Texas action, but was dominus litis in respect of all claims to which it was subrogated. The other corporate defendant, C, was not involved in the Texas action, but the plaintiffs in this action claimed that they should be able to seek contribution or indemnity from it if held liable to the defendants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had unsuccessfully challenged the jurisdiction and venue of the Texas court. They then sought an interlocutory injunction in British Columbia restraining the British Columbia claimants from proceeding in the Texas action. The injunction was granted on terms, and a motion to strike out claims relating to abuse of process and damages was granted. Meanwhile, the Texas court granted an anti-anti-suit injunction to claimants who were not residents of British Columbia to prevent further anti-suit injunction proceedings in Canada. An appeal and cross-appeal from the judgment of the trial judge were dismissed by the British Columbia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Justice Sopinka, speaking for the Court, emphasized the role of comity in the development of principles in relation to the anti-suit injunction,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above scenario is one we should strive to attain, it has not yet been achieved. Courts of other jurisdictions do occasionally accept jurisdiction over cases that do not satisfy the basic requirements of the forum non conveniens test. Comity is not universally respected. In some cases a serious injustice will be occasioned as a result of the failure of a foreign court to decline jurisdiction. It is only in such circumstances that a court should entertain an application for an anti-suit injunction. This then indicates the general tenor of the principles that underlie the granting of this form of relief. In order to arrive at more specific criteria, it is necessary to consider when a foreign court has departed from our own test of forum non conveniens to such an extent as to justify our courts in refusing to respect the assumption of jurisdiction by the foreign court and in what circumstances such assumption amounts to a serious injustice. The former requires an examination of the current state of the law relating to the stay of proceedings on the ground of forum non conveniens, while the latter, the law with respect to injunctions and specifically anti-suit injunctions. [At pg.106]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Thus, an anti-suit injunction should be granted only where the foreign court has assumed and retained jurisdiction in a manner that constitutes such a departure from our own test of forum non conveniens as to justify our courts refusing to respect that assumption of jurisdiction and where that assumption of jurisdiction amounts in the circumstances to a serious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step in the analysis is to determine whether the domestic forum is the natural forum in the sense that on the basis of the relevant factors it has the closest connection to the action and the parties. In the course of this analysis the domestic court must take appropriate cognizance of the fact that the foreign court has assumed jurisdiction. As Sopinka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step of the analysis, the domestic court as a matter of comity must take cognizance of the fact that the foreign court has assumed jurisdiction. If, applying the principles relating to forum non conveniens outlined above, the foreign court could reasonably have concluded that there was no alternative forum that was clearly more appropriate, the domestic court should respect that decision and the application should be dismissed. When there is a genuine disagreement between the courts of our country and another, the courts of this country should not arrogate to themselves the decision for both jurisdictions. In most cases it will appear from the decision of the foreign court whether it acted on principles similar to those that obtain here, but, if not, then the domestic court must consider whether the result is consistent with those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pg. 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only in cases in which the Court concludes that the foreign court has assumed jurisdiction on a basis that is inconsistent with our principles of the doctrine of forum non conveniens and that its conclusion could not reasonably have been reached had it applied those principles, that the Court will proceed to the second step of the analysis, Amchem, supra at pg. 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that regard Sopinka J. noted with respect to the standard of proof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standard of proof remains that applicable in civil cases, I agree with the English authorities that the existence of a more appropriate forum must be clearly established to displace the forum selected by the plaintiff. This was the position adopted by McLachlin J.A. (as she then was) in Avenue Properties Ltd. v. First City Development Corp. </w:t>
      </w:r>
      <w:hyperlink r:id="rId392" w:history="1">
        <w:r>
          <w:rPr>
            <w:rFonts w:ascii="arial" w:eastAsia="arial" w:hAnsi="arial" w:cs="arial"/>
            <w:i/>
            <w:color w:val="0077CC"/>
            <w:sz w:val="20"/>
            <w:u w:val="single"/>
            <w:shd w:val="clear" w:color="auto" w:fill="FFFFFF"/>
            <w:lang w:val="en-US" w:eastAsia="en-US" w:bidi="ar-SA"/>
          </w:rPr>
          <w:t>(1986), 32 D.L.R. (4th) 40</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[1987] 1 W.W.R. 249</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7 B.C.L.R. (2d) 45</w:t>
        </w:r>
      </w:hyperlink>
      <w:r>
        <w:rPr>
          <w:rFonts w:ascii="arial" w:eastAsia="arial" w:hAnsi="arial" w:cs="arial"/>
          <w:color w:val="000000"/>
          <w:sz w:val="20"/>
          <w:lang w:val="en-US" w:eastAsia="en-US" w:bidi="ar-SA"/>
        </w:rPr>
        <w:t xml:space="preserve"> (C.A.). She emphasized that this had particular application where there were no parallel foreign proceedings pending.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pg.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second stage, the Court is to consider whether the granting of the injunction would deprive the plaintiff of advantages in the foreign forum of which it would be unjust to deprive him. In that regard, Sopinka J. provided the following assistance with respect to the required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will it be unjust to deprive the plaintiff in the foreign proceeding of some personal or juridical advantage that is available in that forum? I have already stated that the importance of the loss of advantage cannot be assessed in isolation. The loss of juridical or other advantage must be considered in the context of the other factors. The appropriate inquiry is whether it is unjust to deprive the party seeking to litigate in the foreign jurisdiction of a judicial or other advantage, having regard to the extent that the party and the facts are connected to that forum based on the factors which I have already discussed. A party can have no reasonable expectation of advantages available in a jurisdiction with which the party and the subject matter of the litigation has little or no connection. Any loss of advantage to the foreign plaintiff must be weighed as against the loss of advantage, if any, to the defendant in the foreign jurisdiction if the action is tried there rather than in the domestic forum. I pointed out in my discussion of the test for determining the forum non conveniens that loss of juridical advantage is one of the factors and it will have been considered in step one. It will also be considered in the second step to determine whether, apart from its influence on the choice of the most appropriate forum, an injustice would result if the plaintiff is allowed to proceed in the foreign jurisdiction. The loss of a personal or juridical advantage is not necessarily the only potential cause of injustice in this context but it will be, by far, the most frequent. Indeed most of the authorities involve loss of juridical advantage rather than personal advantage. Nonetheless, loss of personal advantage might amount to an injustice if, for example, an individual party is required to litigate in a distant forum with which he or she has no connection. I prefer to leave other possible sources of injustice to be dealt with as they arise.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pg.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step of the analysis is a consideration of whether the Georgia courts assumption of jurisdiction conform with the principles of our doctrine of 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factors to be considered in a forum non conveniens analysis are summarized by Madam Justice Gray in SC International Enterprises Inc. v. Consolidated Freightways Corp. of Delaware, </w:t>
      </w:r>
      <w:hyperlink r:id="rId393" w:history="1">
        <w:r>
          <w:rPr>
            <w:rFonts w:ascii="arial" w:eastAsia="arial" w:hAnsi="arial" w:cs="arial"/>
            <w:i/>
            <w:color w:val="0077CC"/>
            <w:sz w:val="20"/>
            <w:u w:val="single"/>
            <w:shd w:val="clear" w:color="auto" w:fill="FFFFFF"/>
            <w:lang w:val="en-US" w:eastAsia="en-US" w:bidi="ar-SA"/>
          </w:rPr>
          <w:t>[2002] B.C.J. No. 1081</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2002 BCSC 767</w:t>
        </w:r>
      </w:hyperlink>
      <w:r>
        <w:rPr>
          <w:rFonts w:ascii="arial" w:eastAsia="arial" w:hAnsi="arial" w:cs="arial"/>
          <w:color w:val="000000"/>
          <w:sz w:val="20"/>
          <w:lang w:val="en-US" w:eastAsia="en-US" w:bidi="ar-SA"/>
        </w:rPr>
        <w:t xml:space="preserve"> at para. 27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Dillon J. stated in Procon Mining, </w:t>
            </w:r>
            <w:hyperlink r:id="rId394" w:history="1">
              <w:r>
                <w:rPr>
                  <w:rFonts w:ascii="arial" w:eastAsia="arial" w:hAnsi="arial" w:cs="arial"/>
                  <w:i/>
                  <w:color w:val="0077CC"/>
                  <w:sz w:val="18"/>
                  <w:u w:val="single"/>
                  <w:shd w:val="clear" w:color="auto" w:fill="FFFFFF"/>
                  <w:lang w:val="en-US" w:eastAsia="en-US" w:bidi="ar-SA"/>
                </w:rPr>
                <w:t>[2002] B.C.J. No. 157</w:t>
              </w:r>
            </w:hyperlink>
            <w:r>
              <w:rPr>
                <w:rFonts w:ascii="arial" w:eastAsia="arial" w:hAnsi="arial" w:cs="arial"/>
                <w:color w:val="000000"/>
                <w:sz w:val="18"/>
                <w:lang w:val="en-US" w:eastAsia="en-US" w:bidi="ar-SA"/>
              </w:rPr>
              <w:t>, the factors to consider regarding forum conveniens include those in this non-exhaustive list: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resides;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carries on business;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action arose;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loss or damage occurred;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advantage to the plaintiff in this jurisdiction;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disadvantage to the defendant in this jurisdiction;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convenience or inconvenience to any witnesses;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conducting the litigation in this province;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substantive law;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there are parallel proceedings in another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case at bar, the Georgia Plaintiffs are resident of British Columbia as were Mr. Fournell and Mr. Regan. The estates of both Mr. Fournell and Mr. Regan are administered in British Columbia. The Georgia proceeding is brought as a subrogated claim of the Worker's Compensation Board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RPC is a resident of Georgia. The record before this Court also shows that RPC has extensive contacts with the State of Georgia. It is incorporated in Georgia and maintains its head office in the metropolitan Atlanta area. The CEO of the company, Doug Veazey, is based at the Georgia head office as are the Vice President of Finance, Nancy Palmer and Director of Marketing, Matthew Veazey. The claims advanced against RPC in the Georgia Action include a claim for negligent marketing of the Code Blue product, a topic on which Mr. Matthew Veazey has knowledge. Further, according to the deposition evidence of George Siefert of RPC, Matthew Veazey, also handles calls for technical information on RPC products. It manufactured the product at its plant in Ohio.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Advanced is an Ontario corporation, carrying on business exclusively in Canada. The Distribution Agreement between Advanced and RPC, which is the basis of the Third Party Claim, is to be governed by Georgia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Georgia Plaintiffs' cause of action against R.P.C. is a products liability claim which sounds in tort. A determination of where the cause of action in tort arose requires the location of the wrongful activity. In Moran et al. v. Pyle National (Canada) Ltd. </w:t>
      </w:r>
      <w:hyperlink r:id="rId395" w:history="1">
        <w:r>
          <w:rPr>
            <w:rFonts w:ascii="arial" w:eastAsia="arial" w:hAnsi="arial" w:cs="arial"/>
            <w:i/>
            <w:color w:val="0077CC"/>
            <w:sz w:val="20"/>
            <w:u w:val="single"/>
            <w:shd w:val="clear" w:color="auto" w:fill="FFFFFF"/>
            <w:lang w:val="en-US" w:eastAsia="en-US" w:bidi="ar-SA"/>
          </w:rPr>
          <w:t>(1973), 43 D.L.R. (3d) 239</w:t>
        </w:r>
      </w:hyperlink>
      <w:r>
        <w:rPr>
          <w:rFonts w:ascii="arial" w:eastAsia="arial" w:hAnsi="arial" w:cs="arial"/>
          <w:color w:val="000000"/>
          <w:sz w:val="20"/>
          <w:lang w:val="en-US" w:eastAsia="en-US" w:bidi="ar-SA"/>
        </w:rPr>
        <w:t xml:space="preserve"> (S.C.C.), Mr. Justice Dickson, speaking for the Court, stated the rule for determining where a tort has been committed as follows at pg. 250-251: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in determining where a tort has been committed, it is unnecessary, and unwise, to have resort to any arbitrary set of rules. The place of acting and the place of harm theories are too arbitrary and inflexible to be recognized in contemporary jurisprudence. In the Distillers' case, [1971] 1 All E.R. 694, and again in the Cordova case, [1966] 1 W.L.R. 793, a real and substantial connection test was hinted at. Cheshire, 8th ed. (1970), p. 281, has suggested a test very similar to this; the author says that it would not be inappropriate to regard a tort as having occurred in any country substantially affected by the defendant's activities or its consequences and the law of which is likely to have been in the reasonable contemplation of the parties. Applying this test to a case of careless manufacture, the following rule can be formulated: where a foreign defendant carelessly manufactures a product in a foreign jurisdiction which enters into the normal channels of trade and he knows or ought to know both that as a result of his carelessness a consumer may well be injured and it is reasonably foreseeable that the product would be used or consumed where the plaintiff used or consumed it, then the forum in which the plaintiff suffered damage is entitled to exercise judicial jurisdiction over that foreign defendant. This rule recognizes the important interest a State has in injuries suffered by persons within its territory. It recognizes that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tort is to protect against carelessly inflicted injury and thus that the predominating element is damage suffered. By tendering his products in the market place directly or through normal distributive channels, a manufacturer ought to assume the burden of defending those products wherever they cause harm as long as the forum into which the manufacturer is taken is one that he reasonably ought to have had in his contemplation when he so tendered his goods. This is particularly true of dangerously defective goods placed in the interprovincial flow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case at bar, the product was delivered by RPC to Advanced Coatings in Ontario and then delivered to Ocean Blue Waterproofing in British Columbia. The product was used by Mr. Fournell and Mr. Regan in British Columbia, and any damages alleged to have been suffered by the Georgia Plaintiffs were suffered in British Columbia. The loss and damage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law applicable to an action based in tort is the law of the place where the wrongful activity occurred (the lex loci delecti), see Tolofsen v. Jensen </w:t>
      </w:r>
      <w:hyperlink r:id="rId396" w:history="1">
        <w:r>
          <w:rPr>
            <w:rFonts w:ascii="arial" w:eastAsia="arial" w:hAnsi="arial" w:cs="arial"/>
            <w:i/>
            <w:color w:val="0077CC"/>
            <w:sz w:val="20"/>
            <w:u w:val="single"/>
            <w:shd w:val="clear" w:color="auto" w:fill="FFFFFF"/>
            <w:lang w:val="en-US" w:eastAsia="en-US" w:bidi="ar-SA"/>
          </w:rPr>
          <w:t>(1994), 120 D.L.R. (4th) 289</w:t>
        </w:r>
      </w:hyperlink>
      <w:r>
        <w:rPr>
          <w:rFonts w:ascii="arial" w:eastAsia="arial" w:hAnsi="arial" w:cs="arial"/>
          <w:color w:val="000000"/>
          <w:sz w:val="20"/>
          <w:lang w:val="en-US" w:eastAsia="en-US" w:bidi="ar-SA"/>
        </w:rPr>
        <w:t xml:space="preserve"> (S.C.C.); and Imperial Life Assurance Co. of Canada v. Colmenares (19670, </w:t>
      </w:r>
      <w:hyperlink r:id="rId397" w:history="1">
        <w:r>
          <w:rPr>
            <w:rFonts w:ascii="arial" w:eastAsia="arial" w:hAnsi="arial" w:cs="arial"/>
            <w:i/>
            <w:color w:val="0077CC"/>
            <w:sz w:val="20"/>
            <w:u w:val="single"/>
            <w:shd w:val="clear" w:color="auto" w:fill="FFFFFF"/>
            <w:lang w:val="en-US" w:eastAsia="en-US" w:bidi="ar-SA"/>
          </w:rPr>
          <w:t>62 D.L.R. (2d) 138</w:t>
        </w:r>
      </w:hyperlink>
      <w:r>
        <w:rPr>
          <w:rFonts w:ascii="arial" w:eastAsia="arial" w:hAnsi="arial" w:cs="arial"/>
          <w:color w:val="000000"/>
          <w:sz w:val="20"/>
          <w:lang w:val="en-US" w:eastAsia="en-US" w:bidi="ar-SA"/>
        </w:rPr>
        <w:t xml:space="preserve"> (S.C.C.). The law applicable to the tort claims raised by the Georgia Plaintiffs is the law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applicants have submitted that there are potentially 38 witnesses from British Columbia who would be required to testify on issues of liability and quantum, potentially 4 witnesses from Ontario with respect to liability. It was submitted that as a consequence there would be considerable added cost and inconvenience if the litigation proceeded in Georgia. On behalf of the Georgia Plaintiffs in this regard, it was submitted that no witness unwilling to travel to Georgia to testify has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applicants make reference to the production of significant documentary evidence that will be required of the British Columbia residents and to the potential difficulties of proving British Columbia law in Georgia in support of a submission with respect to the increased costs of litigating the matter in Georgia.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Georgia Plaintiffs made reference to the fact that extensive discovery of documents and depositions have already been conducted in the Georgia action. It was submitted that substantial prejudice would result if the Georgia Plaintiffs were forced to abandon that litigation and start again from scratch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the applicants relied upon the following juridical advantages which they submit the Georgia Plaintiffs obtain in that jurisdiction, and to which in their submission they are not entitled, that constitute significant juridical disadvantages to the applicants RPC and Advanced: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Georgia Plaintiffs can avail themselves of Georgia's strict liability statute;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Georgia's wrongful death law, a surviving spouse is entitled to the full value of the life of the decedent without deducting for any of the necessary or personal expenses of the decedent had he lived;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Georgia's wrongful death and personal injury law a survivor of an injured party, now deceased, is entitled to compensation for the decedent's pain and suffering;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Georgia's wrongful death law a surviving spouse is entitled to compensation for loss of consortium;</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death awards exceeding one million U.S. dollars are not unusual in the State of Georgia;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Georgia Plaintiff can, in that jurisdiction, obtain compensation in the form of punitive damages;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 awards up to $101 million U.S. dollars have been upheld in products liability claims in the State of Georgia.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have had the opportunity to review, not only the reasons of Judge Dixon, but also the submissions on the motion and record before the Court, see Western Union Insurance Co. v. Re-Con Building Products Inc., </w:t>
      </w:r>
      <w:hyperlink r:id="rId398" w:history="1">
        <w:r>
          <w:rPr>
            <w:rFonts w:ascii="arial" w:eastAsia="arial" w:hAnsi="arial" w:cs="arial"/>
            <w:i/>
            <w:color w:val="0077CC"/>
            <w:sz w:val="20"/>
            <w:u w:val="single"/>
            <w:shd w:val="clear" w:color="auto" w:fill="FFFFFF"/>
            <w:lang w:val="en-US" w:eastAsia="en-US" w:bidi="ar-SA"/>
          </w:rPr>
          <w:t>[2002] B.C.J. No. 2195</w:t>
        </w:r>
      </w:hyperlink>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2002 BCSC 1381</w:t>
        </w:r>
      </w:hyperlink>
      <w:r>
        <w:rPr>
          <w:rFonts w:ascii="arial" w:eastAsia="arial" w:hAnsi="arial" w:cs="arial"/>
          <w:color w:val="000000"/>
          <w:sz w:val="20"/>
          <w:lang w:val="en-US" w:eastAsia="en-US" w:bidi="ar-SA"/>
        </w:rPr>
        <w:t>. In my view, it is clear that the Georgia Court was dealing with the application of the basis of the principles of the doctrine of 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Could the Georgia Court, applying these principles, reasonably have come to the conclusion that there was not an alternative forum that was clearly more appropriate? In considering this question I have noted that there will not always be a single most appropriate forum. The plaintiff's choice of forum is entitled to some regard and should not lightly be displaced. Moreover, it is appropriate to have regard to the juridical advantages of the forum in considering the issue, having regard to Sopinka J.'s admonition that the weight to be accorded is a function of the party's connection to the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first condition moved to an examination of all the factors that are designed to identify the natural forum, it seems to me that any juridical advantages to the plaintiff or defendant should have been considered one of the factors to be taken into account. The weight to be given to juridical advantage is very much a function of the parties' connection to the particular jurisdiction in question. If a party seeks out a jurisdiction simply to gain a juridical advantage rather than by reason of a real and substantial connection of the case to the jurisdiction, that is ordinarily condemned as "forum shopping". On the other hand, a party whose case has a real and substantial connection with a forum has a legitimate claim to the advantages that that forum provides. The legitimacy of this claim is based on a reasonable expectation that in the event of litigation arising out of the transaction in question, those advantages will be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pg. 110 -111]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I have concluded that the Georgia Court could reasonably have concluded that there was no alternative forum that was clearly more appropriate. In the circumstances, comity requires that this Court respect the decision of the Georgia court. The first branch of the Amchem test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second branch of the test, I have concluded that it would be unjust to deprive the Georgia Plaintiffs of the juridical advantages available to them in that forum. RPC cannot contend that it is being forced to litigate in, to use the words of Sopinka J. "a distant forum with which he or she has no connection". The Georgia Plaintiffs have chosen to litigate in RPC's home jurisdiction. They are entitled to the juridical advantages that are associated with that forum. Moreover, they will suffer substantial prejudice if they are forced to start over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applicants have not made out their case under the second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Accordingly, the applications of RPC and Advanced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Schram v. Osten, [2004] B.C.J. No. 2902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April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B991157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1790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B.C.L.R. (4th)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Sabiha Schram, plaintiff, and William R. Osten, Gordon Benner and the City of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8" w:name="Keywords_18"/>
      <w:bookmarkEnd w:id="198"/>
      <w:r>
        <w:rPr>
          <w:rFonts w:ascii="arial" w:eastAsia="arial" w:hAnsi="arial" w:cs="arial"/>
          <w:b/>
          <w:color w:val="000000"/>
          <w:sz w:val="20"/>
          <w:lang w:val="en-US" w:eastAsia="en-US" w:bidi="ar-SA"/>
        </w:rPr>
        <w:t>Civil procedure — Disposition without trial — Dismissal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9" w:name="Case Summary_17"/>
            <w:bookmarkEnd w:id="1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City of Vancouver, for a dismissal of the action against it due to a lack of evidence. The City brought the no evidence motion after the parties closed their cases. All other parties opposed the granting of the application. The City claimed there was no evidence on the issues of causation, duty of care, and breach of the standard of care. The action arose from a motor vehicle accident. A motorcycle hit the defendant, Osten's, vehicle and then hit the plaintiff, Schram. The City was doing construction on the road, during rush hour, in heavy traffic. There was some evidence of debris on the roadway.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0" w:name="Holdings of Court_15"/>
            <w:bookmarkEnd w:id="200"/>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evidence on each of the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1" w:name="Legislation Cited_16"/>
      <w:bookmarkEnd w:id="2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40(8), 40(10).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2" w:name="Counsel_18"/>
      <w:bookmarkEnd w:id="2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Vecchio, J.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W.R. Osten: P.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 Benner: I.D. Aikenhead, Q.C., J.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City of Vancouver: K. Liang, B. Quayle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18"/>
      <w:bookmarkEnd w:id="203"/>
      <w:r>
        <w:pict>
          <v:line id="_x0000_s1127"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MARTINSON J. (orally)"/>
            <w:bookmarkEnd w:id="204"/>
            <w:r>
              <w:rPr>
                <w:rFonts w:ascii="arial" w:eastAsia="arial" w:hAnsi="arial" w:cs="arial"/>
                <w:b/>
                <w:color w:val="000000"/>
                <w:sz w:val="30"/>
                <w:lang w:val="en-US" w:eastAsia="en-US" w:bidi="ar-SA"/>
              </w:rPr>
              <w:t>MARTINSON J. (orally)</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City of Vancouver ("the City") makes a no evidence motion pursuant to Rule 40(8). It does so after the plaintiff's case is closed and after the other defendants have closed their cases. All other parties oppose the granting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test to be applied is set out by the British Columbia Court of Appeal in Roberge v. Huberman </w:t>
      </w:r>
      <w:hyperlink r:id="rId406" w:history="1">
        <w:r>
          <w:rPr>
            <w:rFonts w:ascii="arial" w:eastAsia="arial" w:hAnsi="arial" w:cs="arial"/>
            <w:i/>
            <w:color w:val="0077CC"/>
            <w:sz w:val="20"/>
            <w:u w:val="single"/>
            <w:shd w:val="clear" w:color="auto" w:fill="FFFFFF"/>
            <w:lang w:val="en-US" w:eastAsia="en-US" w:bidi="ar-SA"/>
          </w:rPr>
          <w:t>(1999), 172 D.L.R. (4th) 329</w:t>
        </w:r>
      </w:hyperlink>
      <w:r>
        <w:rPr>
          <w:rFonts w:ascii="arial" w:eastAsia="arial" w:hAnsi="arial" w:cs="arial"/>
          <w:color w:val="000000"/>
          <w:sz w:val="20"/>
          <w:lang w:val="en-US" w:eastAsia="en-US" w:bidi="ar-SA"/>
        </w:rPr>
        <w:t>. It is for the judge to determine whether there is some evidence on each element of the cause of action required to be proved by the plaintiff; it is for the jury to determine whether that evidence is sufficient to justify a verdict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judge must determine whether there is any evidence on which a jury acting reasonably could find for the plaintiff. The judge is not to decide whether the evidence on each of those elements meets a minimum standard of weight or quality unless the motion is one of insufficient evidence under Rule 40(10).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If there are multiple defendants, a non suit application should be granted if, after the conclusion of the evidence of the other defendants, the applicant can show that there is no possibility for liability as against it, including no possibility of apportionment of some fault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City says that there are four elements to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the plaintiff suffered some damage;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the damage suffered by the plaintiff was caused or contributed to by the conduct of the City;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 the City owed a duty of care to the plaintiff;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 the City's conduct constituted a breach of that duty of care owed to the plaintiff. (This involves a determination of the measure of care applicable in the circumstances and a comparison of that standard with the conduct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City concedes that there is evidence as to damage but says there is not evidence to support the other three elements. I will deal with each of the other three elements in turn.</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must be a causal connection made out by the evidence. There cannot be conjecture or speculation by the jury. There must be some evidence from which the jury can draw the inference that the City's acts or omissions caused or contributed to the injuries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submits that in order to establish this causal connection there must be some evidence upon which a jury could find that after the collision with the Osten vehicle the motorcycle's course of travel was in some significant way changed as a result of coming into contact with the material on the road surface, so that but for that material's presence the motorcycle would not have stuck the plaintiff Ms. Schram, or that the material in some way affected the velocity of the motorcycle so as to increase the severity of the impact and the severity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submits that the only evidence on this point is that of Mr. Zuberbier and that it is useless in this respect. Mr. Zuberbier admitted to having made assumptions. He did not see the collision. He does not ride a motorcycle. He is not an accident reconstructionist. The City emphasized the following exchange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have just assumed, based on your practical experience, that the motorcycle lost control because it hit this sand and debris? You've assumed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City argues that Mr. Zuberbier based much of his testimony on such assumptions, and that most of it is inadmissible opinion evidence.</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submits that in order to find that there was a duty of care owed by the City to the plaintiff, there must be evidence led by the plaintiff that the injuries sustained were a reasonably foreseeable consequence of the City's acts. There must be at least some evidence that the material on the roadway was a hazard to vehicular traffic and that the City knew or ought to have known that such material was a hazard. The City submits that there was no such evidence.</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submitted that if there is a duty of care, the court must also define the standard of care. The City says that it goes without saying that the plaintiff must present evidence on this point, and yet did not. This question cannot be left to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DECISION</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view there is evidence upon which a jury, acting reasonably, could find for the plaintiff on the causation issue. The observation evidence of Mr. Zuberbier alone, including his evidence as to the location where the bike went out of control and the way that it slid, is capable of allowing the jury to conclude that the material on the roadway caused or materially contributed to the damage. Even if the portions of Mr. Zuberbier's evidence which the City questions are entirely disregarded, there would remain sufficient evidence upon which the trier of fact, acting reasonably, could find that the City caused or materially contributed to the injuries of the plaintiff.</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conclude that, as a matter of law, the City did owe a duty of care. The facts of the case are uncomplicated. The court can conclude from the totality of the evidence that the City was doing construction work at a downtown intersection, a narrow one, at which there was heavy traffic at rush hour. That traffic could reasonably be expected to use the travel portions of the roadway. The factual background established in court is sufficient to ground a duty of care in this case.</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 says that evidence, though not necessarily expert evidence, is required to determine what the standard of care is. The other parties say that in some cases that may be so, but in this case it is not true. There is a spectrum of roles which involve standards of care, from drivers of motor vehicles, with which most people would be familiar, at the one end, to medical specialities such as neurosurgery, for which most people would require detailed expert evidence to establish a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agree. The standards of care involved in roadway construction and travel are not esoteric. I will tell the jury that the standard is reasonableness. In this case, given the circumstances, the jury can make a determination as to what reasonableness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also some evidence which could support a finding of breach of the duty of care. There is some evidence of the presence of construction related material on the roadway, and there is some evidence that such material can be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no evidence motion made by the City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Schryer v. Canada (Attorney General), [2001] B.C.J. No. 180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2001.</w:t>
      </w:r>
    </w:p>
    <w:p>
      <w:pPr>
        <w:spacing w:before="120" w:line="260" w:lineRule="atLeast"/>
        <w:jc w:val="center"/>
        <w:rPr>
          <w:lang w:val="en-US" w:eastAsia="en-US" w:bidi="ar-SA"/>
        </w:rPr>
      </w:pPr>
      <w:r>
        <w:rPr>
          <w:rFonts w:ascii="arial" w:eastAsia="arial" w:hAnsi="arial" w:cs="arial"/>
          <w:color w:val="000000"/>
          <w:sz w:val="20"/>
          <w:lang w:val="en-US" w:eastAsia="en-US" w:bidi="ar-SA"/>
        </w:rPr>
        <w:t>Chilliwack Registry No. S5851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86 B.C.L.R. (3d) 149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102 A.C.W.S. (3d) 665</w:t>
      </w:r>
    </w:p>
    <w:p>
      <w:pPr>
        <w:spacing w:before="120" w:line="260" w:lineRule="atLeast"/>
        <w:rPr>
          <w:lang w:val="en-US" w:eastAsia="en-US" w:bidi="ar-SA"/>
        </w:rPr>
      </w:pPr>
      <w:r>
        <w:rPr>
          <w:rFonts w:ascii="arial" w:eastAsia="arial" w:hAnsi="arial" w:cs="arial"/>
          <w:color w:val="000000"/>
          <w:sz w:val="20"/>
          <w:lang w:val="en-US" w:eastAsia="en-US" w:bidi="ar-SA"/>
        </w:rPr>
        <w:t>Between Richard Schryer, plaintiff, and Attorney General of Canada, Correctional Service of Canada, and Sharon Hickey,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9" style="position:absolute;z-index:2516787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5" w:name="Keywords_19"/>
      <w:bookmarkEnd w:id="205"/>
      <w:r>
        <w:rPr>
          <w:rFonts w:ascii="arial" w:eastAsia="arial" w:hAnsi="arial" w:cs="arial"/>
          <w:b/>
          <w:color w:val="000000"/>
          <w:sz w:val="20"/>
          <w:lang w:val="en-US" w:eastAsia="en-US" w:bidi="ar-SA"/>
        </w:rPr>
        <w:t>Practice — Costs — Party and party costs — Entitlement to party and party costs — Successful party — Successful party, exceptions, delay in raising issue — Applications re amendment of pleadings.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6" w:name="Case Summary_18"/>
            <w:bookmarkEnd w:id="20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Ruling as to costs. The plaintiff, Schryer, was employed by the defendant Correctional Service of Canada. In 1996 he brought various claims against his employer for alleged mistreatment. In 2000, the defendants proposed to amend the statement of defence to plead that the action was barred under the Crown Liability and Proceedings Act. Counsel for Schryer consented to the amendment, and argued that the Act did not apply to the contractual nature of his claims. However, the defendants succeeded in having the claims dismissed for failure to comply with the Act. They claimed entitlement to costs. Schryer argued that since the successful ground of defence was not part of the defendants' pleadings until shortly before the trial date, he was entitled to his costs up to the date of the amendment of the statement of defence. </w:t>
            </w:r>
            <w:r>
              <w:rPr>
                <w:lang w:val="en-US" w:eastAsia="en-US" w:bidi="ar-SA"/>
              </w:rPr>
              <w:cr/>
            </w:r>
          </w:p>
          <w:p>
            <w:pPr>
              <w:spacing w:before="120" w:line="260" w:lineRule="atLeast"/>
              <w:ind w:left="240"/>
              <w:jc w:val="both"/>
              <w:rPr>
                <w:lang w:val="en-US" w:eastAsia="en-US" w:bidi="ar-SA"/>
              </w:rPr>
            </w:pPr>
            <w:bookmarkStart w:id="207" w:name="Holdings of Court_16"/>
            <w:bookmarkEnd w:id="207"/>
            <w:r>
              <w:rPr>
                <w:rFonts w:ascii="arial" w:eastAsia="arial" w:hAnsi="arial" w:cs="arial"/>
                <w:color w:val="000000"/>
                <w:sz w:val="20"/>
                <w:lang w:val="en-US" w:eastAsia="en-US" w:bidi="ar-SA"/>
              </w:rPr>
              <w:t>HELD: The defendants were entitled to their costs.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Schryer responded to the defence raised in the amended pleading, so he was not prejudiced. There was no evidence that the defendants acted with impropriety in applying for a late amendment. A late amendment did not necessarily alter the usual rule of costs following the event. However, fairness dictated that the costs were subject to a deduction of the amount paid by Schryer to one of his expert witnesses for a late cancellation fee. </w:t>
            </w:r>
            <w:r>
              <w:rPr>
                <w:lang w:val="en-US" w:eastAsia="en-US" w:bidi="ar-SA"/>
              </w:rPr>
              <w:cr/>
            </w:r>
          </w:p>
          <w:p>
            <w:pPr>
              <w:rPr>
                <w:lang w:val="en-US" w:eastAsia="en-US" w:bidi="ar-SA"/>
              </w:rPr>
            </w:pPr>
          </w:p>
        </w:tc>
      </w:tr>
    </w:tbl>
    <w:p>
      <w:pPr>
        <w:jc w:val="both"/>
        <w:rPr>
          <w:lang w:val="en-US" w:eastAsia="en-US" w:bidi="ar-SA"/>
        </w:rPr>
      </w:pPr>
      <w:bookmarkStart w:id="208" w:name="Legislation Cited_17"/>
      <w:bookmarkEnd w:id="20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0" style="position:absolute;z-index:2517299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57(9).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Crown Liability and Proceedings Act, </w:t>
      </w:r>
      <w:hyperlink r:id="rId414" w:history="1">
        <w:r>
          <w:rPr>
            <w:rFonts w:ascii="arial" w:eastAsia="arial" w:hAnsi="arial" w:cs="arial"/>
            <w:i/>
            <w:color w:val="0077CC"/>
            <w:sz w:val="20"/>
            <w:u w:val="single"/>
            <w:shd w:val="clear" w:color="auto" w:fill="FFFFFF"/>
            <w:lang w:val="en-US" w:eastAsia="en-US" w:bidi="ar-SA"/>
          </w:rPr>
          <w:t>R.S.C. 1985, c. C-50, s. 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Limitation Act, </w:t>
      </w:r>
      <w:hyperlink r:id="rId41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16"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Public Service Superannuation Act.</w:t>
      </w:r>
      <w:r>
        <w:rPr>
          <w:lang w:val="en-US" w:eastAsia="en-US" w:bidi="ar-SA"/>
        </w:rPr>
        <w:cr/>
      </w:r>
    </w:p>
    <w:p>
      <w:pPr>
        <w:keepNext/>
        <w:spacing w:before="240" w:line="340" w:lineRule="atLeast"/>
        <w:rPr>
          <w:lang w:val="en-US" w:eastAsia="en-US" w:bidi="ar-SA"/>
        </w:rPr>
      </w:pPr>
      <w:bookmarkStart w:id="209" w:name="Counsel_19"/>
      <w:bookmarkEnd w:id="20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1" style="position:absolute;z-index:2517811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John M. Noble, for the plaintiff. Paul Partridge and Valerie Anderson, for the defendants.</w:t>
      </w:r>
      <w:r>
        <w:rPr>
          <w:lang w:val="en-US" w:eastAsia="en-US" w:bidi="ar-SA"/>
        </w:rPr>
        <w:cr/>
      </w:r>
    </w:p>
    <w:p>
      <w:pPr>
        <w:spacing w:after="240"/>
        <w:rPr>
          <w:lang w:val="en-US" w:eastAsia="en-US" w:bidi="ar-SA"/>
        </w:rPr>
      </w:pPr>
      <w:bookmarkStart w:id="210" w:name="Judgment_19"/>
      <w:bookmarkEnd w:id="210"/>
      <w:r>
        <w:pict>
          <v:line id="_x0000_s1132" style="position:absolute;z-index:2518323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1" w:name="RALPH J."/>
            <w:bookmarkEnd w:id="211"/>
            <w:r>
              <w:rPr>
                <w:rFonts w:ascii="arial" w:eastAsia="arial" w:hAnsi="arial" w:cs="arial"/>
                <w:b/>
                <w:color w:val="000000"/>
                <w:sz w:val="30"/>
                <w:lang w:val="en-US" w:eastAsia="en-US" w:bidi="ar-SA"/>
              </w:rPr>
              <w:t>RALPH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27, 2000, I gave oral reasons for judgment on the defendants' application under Rule 18A. It was agreed that the parties would make written submissions on costs. This ruling deals with those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arose out of Mr. Richard Schryer's employment as a nurse with the Correctional Service of Canada. He alleged that between June 1987, and September 1988, Ms. Hickey, the Director of Nursing Services at the Regional Psychiatric Centre, mistreated him in a manner that was actionable at law. It was his position that the failure of the Correctional Service to take appropriate action to prevent the harassment gave rise to a number of causes of action. Among those causes was a claim that the mistreatment constituted a wrongful constructive dismissal from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Schryer alleged that because of the defendant's actions he suffered a bipolar disorder and emotional and nervous upset which have left him unable to carry on regular employment. As a result of his disability, Mr. Schryer began receiving a disability pension under the Canada Pension Plan in 1991 and an annuity under the Public Service Superannuation Act ("P.S.S.A.") in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I allowed the defendants' application and dismissed the plaintiff's action, the plaintiff submits that this is a case in which the general rule of costs in Rule 57(9) of the Rules of Court ought not to be applied. In particular, the plaintiff says that the defendants should pay costs from the commencement of the action in February 1996, until October 3, 2000, the date on which counsel for the defendants proposed an amendment to the Statement of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background of the action is that the plaintiff commenced his lawsuit February 23, 1996. The defendants filed a Statement of Defence July 23, 1996. The action does not appear to have moved quickly but on December 7, 1999, counsel for the plaintiff advised counsel for the defendants that the trial was set for five days commencing October 30,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August 3, 2000, counsel for the defendants advised counsel for the plaintiff of proposed amendments to the Statement of Defence. In particular, counsel for the defendants proposed an amendment which in effect invoked section 9 of the Crown Liability and Proceedings Act, </w:t>
      </w:r>
      <w:hyperlink r:id="rId417"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("C.L.P.A.") as a ground for holding that the plaintiff's action could not succeed. Counsel for the plaintiff consented to that amendment.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9 of the C.L.P.A. bars a proceeding against the Crown or a servant of the Crown if a pension or compensation has been paid out of the Consolidated Revenue Fund in respect of the injury or loss on which the claim is based. Both the Canada Pension Plan and P.S.S.A. pensions are paid out of the Consolidated Revenue Fund. In their amendment the defendants therefore took the position that, because of the pensions being paid to the plaintiff, the plaintiff's claim was barred.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light of the amendments to the Statement of Defence the parties were directed at the pre-trial conference on September 8, 2000, to bring a summary trial application prior to the trial. Because of scheduling problems the summary trial did not take place until October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summary trial the defendants sought to strike out the plaintiff's claim on a number of grounds. This included the ground that the action was barred by reason of section 9 of the C.L.P.A. The plaintiffs succeeded on that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say that costs should follow the event and they should be entitled to their costs. The plaintiff responds that for the first four and one-half years after the action commenced, the pleadings did not raise the defence under section 9 of the C.L.P.A., the ground on which dismissal of the plaintiff's case was based. The plaintiff submits that he was entitled to rely on the defendants' pleadings as they stood up to the time of amendment and that the successful ground of defence was not part of the defendants' pleadings until shortly before the trial date. For that reason he submits that he should receive his costs up to the date of the amendment.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support of his position the plaintiff refers to Johnston v. Ecolab Ltd./Ecolab Ltée (1994), 30 C.P.C. (3d) 347 (B.C.S.C.). In that wrongful dismissal case the defendant on the eve of trial withdrew its defence of dismissal for cause, which left only the determination of damages as the issue for trial. The plaintiff was awarded additional costs because the defendant's failure to admit liability until the last business day before trial made a trial inevitable when it would otherwise have been unnecessary.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also cites Moore v. Dhillon </w:t>
      </w:r>
      <w:hyperlink r:id="rId418"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(B.C.C.A.). In that case the trial judge had awarded full costs to the plaintiff in spite of a finding that she had been contributorily negligent and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 333</w:t>
      </w:r>
      <w:r>
        <w:rPr>
          <w:rFonts w:ascii="arial" w:eastAsia="arial" w:hAnsi="arial" w:cs="arial"/>
          <w:color w:val="000000"/>
          <w:sz w:val="20"/>
          <w:lang w:val="en-US" w:eastAsia="en-US" w:bidi="ar-SA"/>
        </w:rPr>
        <w:t xml:space="preserve"> provided for apportionment of costs. In upholding the decision of the trial judge, the Court of Appeal recognized the breadth of discretion provided in Rule 57(9) of the Rules of Court notwithstanding the prima facie rule in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however, while not taking issue with the principles stated in Johnston and Moore, argue that these cases are neither of assistance nor do they support the plaintiff's claim for entitlement to costs. The defendants argue that both cases deal with factual circumstances considerably different from the present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in their argument refer to the decision of Preston J. in Sylvan Industries Ltd. v. Fairview Sheet Metal Works Ltd. et al, </w:t>
      </w:r>
      <w:hyperlink r:id="rId419" w:history="1">
        <w:r>
          <w:rPr>
            <w:rFonts w:ascii="arial" w:eastAsia="arial" w:hAnsi="arial" w:cs="arial"/>
            <w:i/>
            <w:color w:val="0077CC"/>
            <w:sz w:val="20"/>
            <w:u w:val="single"/>
            <w:shd w:val="clear" w:color="auto" w:fill="FFFFFF"/>
            <w:lang w:val="en-US" w:eastAsia="en-US" w:bidi="ar-SA"/>
          </w:rPr>
          <w:t>[1993] B.C.J. No. 777</w:t>
        </w:r>
      </w:hyperlink>
      <w:r>
        <w:rPr>
          <w:rFonts w:ascii="arial" w:eastAsia="arial" w:hAnsi="arial" w:cs="arial"/>
          <w:color w:val="000000"/>
          <w:sz w:val="20"/>
          <w:lang w:val="en-US" w:eastAsia="en-US" w:bidi="ar-SA"/>
        </w:rPr>
        <w:t xml:space="preserve">, (13 April 1993), Vancouver Registry, C894837 (B.C.S.C.) and the decision of Edwards J. in Burden v. The Bank of Nova Scotia, </w:t>
      </w:r>
      <w:hyperlink r:id="rId420" w:history="1">
        <w:r>
          <w:rPr>
            <w:rFonts w:ascii="arial" w:eastAsia="arial" w:hAnsi="arial" w:cs="arial"/>
            <w:i/>
            <w:color w:val="0077CC"/>
            <w:sz w:val="20"/>
            <w:u w:val="single"/>
            <w:shd w:val="clear" w:color="auto" w:fill="FFFFFF"/>
            <w:lang w:val="en-US" w:eastAsia="en-US" w:bidi="ar-SA"/>
          </w:rPr>
          <w:t>[1997] B.C.J. No. 2095</w:t>
        </w:r>
      </w:hyperlink>
      <w:r>
        <w:rPr>
          <w:rFonts w:ascii="arial" w:eastAsia="arial" w:hAnsi="arial" w:cs="arial"/>
          <w:color w:val="000000"/>
          <w:sz w:val="20"/>
          <w:lang w:val="en-US" w:eastAsia="en-US" w:bidi="ar-SA"/>
        </w:rPr>
        <w:t>, (17 June 1997), New Westminster Registry, C902792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Sylvan an insurer acting under a right of subrogation brought a claim against the defendants. Late in the litigation the defendants amended their pleadings to raise their status as unnamed insureds and set down the insurance issue for summary determination under Rule 18A. They succeeded on their application and the plaintiff's claim was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in Sylvan, as the plaintiff has here, argued that costs should not be awarded to the defendants because of the lateness of the defendants' amendment to their pleadings. It submitted that had the defendants made their application sooner there would have been no need for the parties to incur expense on other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Preston J. rejected that submission. At para. 6 of his judgment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When the insurance issue was raised in this litigation the plaintiff vigorously opposed the defendant's motion for dismissal. Had the plaintiff discontinued its action at that point the considerations governing costs would be different.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Preston J. further concluded that the defendants had not "conducted themselves in a manner, which would move me to exercise my discretion to deny them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Burden the Court was asked to exercise its discretion so as to award no costs to the successful defendant in a wrongful dismissal action. The plaintiff argued that the defendant had provided "no formal or articulated notice of the grounds for ... dismissal" and had amended its Statement of Defence at trial. Edwards J. stated at para. 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all of the circumstances, I am not persuaded this case was conducted by the defendant in a way which would disentitle it to the normal award costs throughout, following the event, including the costs of this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Furthermore, Edwards J. concluded that the plaintiff could not have been taken by surprise at trial by the defendant's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considering the plaintiff's application in the case before me, it is clear that although Rule 57(9) provides that the usual rule is that costs follow the event, the court has a wide discretion to order otherwise. The discretion must, however, be exercised judicially.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Rule 18A application raised a number of issues including a Limitation Act, </w:t>
      </w:r>
      <w:hyperlink r:id="rId415" w:history="1">
        <w:r>
          <w:rPr>
            <w:rFonts w:ascii="arial" w:eastAsia="arial" w:hAnsi="arial" w:cs="arial"/>
            <w:i/>
            <w:color w:val="0077CC"/>
            <w:sz w:val="20"/>
            <w:u w:val="single"/>
            <w:shd w:val="clear" w:color="auto" w:fill="FFFFFF"/>
            <w:lang w:val="en-US" w:eastAsia="en-US" w:bidi="ar-SA"/>
          </w:rPr>
          <w:t>R.S.B.C. 1996 c.266</w:t>
        </w:r>
      </w:hyperlink>
      <w:r>
        <w:rPr>
          <w:rFonts w:ascii="arial" w:eastAsia="arial" w:hAnsi="arial" w:cs="arial"/>
          <w:color w:val="000000"/>
          <w:sz w:val="20"/>
          <w:lang w:val="en-US" w:eastAsia="en-US" w:bidi="ar-SA"/>
        </w:rPr>
        <w:t xml:space="preserve"> defence, a jurisdictional defence and the defence provided in section 9 of the C.P.L.A. Some issues related to matters raised in the original Statement of Defence, some to matters raised in the amendments. The plaintiff responded fully to each of those issues including submitting that section 9 of the C.P.L.A. was not applicable to the contractual nature of the plaintiff's claim. It cannot be said, therefore, that there was unfairness or prejudice created by a lack of opportunity to respond to the issues raised in the defendant's amended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Rules of Court anticipate and provide for amendments to pleadings up to and including the time of trial. They do so to ensure that the court has before it the necessary information to determine the issues before it. In a number of situations the court has a discretion to deny an amendment where prejudice would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some cases the content of an amendment may effectively alter or wipe out substantial work and preparation carried out by an opposite party prior to the amendment. In my view that result by itself does not give rise to a claim for costs by the affected party or to a reduction in costs to the successful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the Sylvan and Burden decisions indicate that late amendments alone will not necessarily lead to altering the usual rule that costs follow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evidence that there was any impropriety on the part of the defendants in bringing their amendment late in the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also recognize that substantial pre-trial work by the plaintiff and the incurring of expense have ended in dismissal of his claim. It is my conclusion, however, that there are not circumstances present here which should lead to a variation in the usual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also recognize that the late cancellation fees of Dr. Saad are a disbursement connected with the trial that did not proceed on October 30, 2000. Dr. Saad was required by the defendants to attend the trial for cross-examination. Given the lateness of the Rule 18A application the plaintiff could not postpone reserving Dr. Saad's time for the trial. While the lateness of the 18A hearing was in part the result of the unavailability of court time, it was in part attributable to the lateness of the defendants' motion. In my view fairness suggests that there should be deducted from the costs to which the defendants are entitled the amount which the plaintiff must pay Dr. Saad for late cancellation fees.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are entitled to their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RALPH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Semenoff Estate v. Bridgeman, [2013] B.C.J. No. 1217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12-15 and 18-22,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9044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1022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Semenoff, Executor of the Estate of Bill Semenoff, Deceased, Plaintiff, and Lewis J. Bridgeman, Defendant, and Michael William Semenoff and Marion Demosky,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20"/>
      <w:bookmarkEnd w:id="212"/>
      <w:r>
        <w:rPr>
          <w:rFonts w:ascii="arial" w:eastAsia="arial" w:hAnsi="arial" w:cs="arial"/>
          <w:b/>
          <w:color w:val="000000"/>
          <w:sz w:val="20"/>
          <w:lang w:val="en-US" w:eastAsia="en-US" w:bidi="ar-SA"/>
        </w:rPr>
        <w:t>Civil litigation — Civil procedure — Disposition without trial — Dismissal of action — Application by the third parties for dismissal of the plaintiff's case on the basis of insufficient evidence allowed — The plaintiff was the deceased's son and the executor of the deceased's estate — The defendant was at one time the deceased's lawyer — The plaintiff alleged that the defendant was negligent in providing legal services to the deceased — The defendant denied the claims but submitted that, if found negligent, the third parties were at least partly responsible — The third parties were the plaintiffs' siblings — The plaintiff provided no evidence to support any of his claims — Rules of Court, Rules 12-5(6), 12-5(7).</w:t>
      </w:r>
    </w:p>
    <w:p>
      <w:pPr>
        <w:jc w:val="both"/>
        <w:rPr>
          <w:rFonts w:ascii="arial" w:eastAsia="arial" w:hAnsi="arial" w:cs="arial"/>
          <w:sz w:val="20"/>
          <w:lang w:val="en-US" w:eastAsia="en-US" w:bidi="ar-SA"/>
        </w:rPr>
      </w:pPr>
      <w:bookmarkStart w:id="213" w:name="Legislation Cited_18"/>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3-5(12), Rule 12-5(6), Rule 12-5(7)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4" w:name="Counsel_20"/>
      <w:bookmarkEnd w:id="2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Self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Bridgeman: C.E. Selby.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Parties, Semenoff and Demosky: T.W. Pearkes.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20"/>
      <w:bookmarkEnd w:id="215"/>
      <w:r>
        <w:pict>
          <v:line id="_x0000_s1137"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R.A. McKINNON J."/>
            <w:bookmarkEnd w:id="216"/>
            <w:r>
              <w:rPr>
                <w:rFonts w:ascii="arial" w:eastAsia="arial" w:hAnsi="arial" w:cs="arial"/>
                <w:b/>
                <w:color w:val="000000"/>
                <w:sz w:val="30"/>
                <w:lang w:val="en-US" w:eastAsia="en-US" w:bidi="ar-SA"/>
              </w:rPr>
              <w:t>R.A. 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third parties apply under Rule 12-5(6)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for dismissal of the plaintiff's case on the basis that the evidence is insufficient to support the claim. The Rule simply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 evidence is insufficient to make out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12-5(7)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an application under subrule (6) may be made only after the defendant has elected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bar, the third parties made their election not to call evidence. The defendant said that he would not formally make his election until resolution of the third party application, but if the application was not successful, he would be calling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issue to resolve is whether the provisions of Rule 12-5(6) and (7) are available to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"Robert Semenoff, executor of the estate of Bill Semenoff, deceased". Robert is the son of Bill Semenoff. The defendant is Lewis J. Bridgeman, at one time Bill Semenoff's lawyer. The plaintiff alleges the defendant was negligent in providing legal services to Bill Semenoff in 1987 and 1990. The defendant denies all claims against him but says, if found negligent, the third parties bear some or all responsibilities for losses sustained. The third parties are Michael Semenoff and Marion Demosky, siblings of Bill Semenoff.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Semenoff family consisted of the matriarch Polly, her children William (Bill), Michael (Mike), Steve and Marion Demosky. Polly owned an acreage at Ootischenia BC, near Castlegar, which I will refer to as lot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Sometime in the 1970s, Polly transferred her interest in lot 20 to her four children, as joint tenants, taking back a life estate. According to Mike, the children were not involved in the transaction and had no idea why she put it into joint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Polly's death, sometime in 1979, Bill and his family moved into the home on lot 20 where he resided for many years. Later, Bill divorced and it appears from the evidence that, thereafter, he mostly lived alone on lot 20, although he spent periods of time working in other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Bill had two children, Robert, the plaintiff and Howard. Marion Demosky testified that neither boy had a strong relationship with their father. In later years, during the 1990s, when Bill's health was declining, Marion tried without success to get the boys to assist in their father's care. I was unable to discern whether their inability to assist was due to indifference or simply because they did not live nearby. I did have some evidence that Robert lived in Vancouver and Alberta for a time. In any event, the care, or lack thereof toward their father is not definitive of the issues I have to resolve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Marion spent considerable time assisting Bill when his health declined even to the point where she had him in her home in Grand Forks for four months. She and Mike made the various care arrangements for Bill, including placing him in care facilities as the need arose. Bill spent time in care homes in Castlegar and Trail. Marion testified that, when Bill was in Trail she would, at least once every two weeks, drive there with a picnic basket and take Bill back to the lot 20 home so that he could visit and continue to feel part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his declining health and after moving into the home on lot 20, Bill wanted to subdivide the acreage so that he could retain the home and a lot and the other three siblings could also each have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1987, Bill received some money from the sale of a home he and Mike had built on a lot at Taghum, BC. According to Mike, Bill wanted to pay his siblings for his use of the lot 20 property and to secure some arrangement that would recognize his right to a portion of that property. Accordingly, he instructed the defendant Bridgeman to prepare a document, which I will refer to as the 1987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opening paragraph of the 1987 agreement stipulates that it was prepared at the request of Mr. Bridgeman's client, Bill Semenoff and reflected what the siblings had agreed upon in respect to lot 20. It seems clear on the evidence that Mr. Bridgeman was not asked to negotiate anything, rather he was instructed to put the agreement in writing and ask each sibling to confirm the terms. The letter set out the following:</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"house" (lot 20) was presently registered "in all four names ...."</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as at the date of the letter (April 10, 1987) it could not be subdivided because of water problems.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Bill could remain living in the house and that he would (eventually when subdivided) buy it and to that end provide each of his three siblings with $7,000 towards an as yet undetermined sale price. The subdivision contemplated the creation of four lots of roughly equal size.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various appraisal provisions were expressed and a statement made that Bill was permitted continued occupation of the house.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provision #5 stated: "For the time being, until a subdivision can be effected, the registered ownership of the property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not disputed that the four Semenoff children were then registered as joint tenants but there is no evidence that Mr. Bridgeman was aware of this at the time he drafted the 1987 letter agreement. In any event he was told that the "registered ownership of the property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All siblings agreed with the contents of the letter and Bill proceeded to try to effect a subdivision. The problem was not just with potable water issues, rather the Agricultural Land Commission (ALR) refused to release the land from the agricultural land reserve and all Bill's efforts to effect release in the years after 1987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Mike Semenoff, by 1990, when it appeared a subdivision would be impossible, it was agreed that Bill could continue to live in the home and the money paid on "purchase" would now go towards occupational rent. Both Mike and Marion testified that they really didn't want any money from Bill but he insisted and so they "re characterized" his payments as occupational rent. All Bill's efforts to effect a subdivision were unsuccessful and by the late 1980s he had become frustrated with the process and abandoned further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Bill's health deteriorated such that by 1995, Marion and Mike arranged home care for him. The next year he went into a seniors' facility and finally in 1998 was moved to a special care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Sometime in 1995, Marion Demosky was appointed power of attorney over Bill's affairs. She testified that she tried to get one or both sons to take on the task but neither was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1990, Bill had the defendant Bridgeman prepare his Will which he signed on February 13, 1990. Clause 3 of that Will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DECLARE for greater certainty that I am one of the registered owners of property legally described as Lot 20, District lot 4598, Kootenay District, Plan 4882, but that I have a greater than one-quarter interest in such property by virtue of an agreement contained in a letter dated April 10, 1987 from my lawyer, Lewis J. Bridgeman, to my brothers, Mike Semenoff and Steve Semenoff and my sister Marion Demosky, and that the (sic) my interest pursuant to this agreement presently forms part of my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Bill died on September 15, 2006. The surviving siblings had a lawyer (not Mr. Bridgeman) effect transmission to them as surviving tenants. Subsequently, subdivision approval was obtained and four lots were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trial proceeded on the basis of the latest pleadings found under "Further Amended Notice of Civil Claim" filed February 6, 2013. The trial management judge was obliged to spend a great deal of time assessing and adjudicating upon these prolix pleadings. He made several orders in respect to the pleadings, striking out some and expanding others. My references to the "amended" pleadings track those pleadings that withstood the trial management Judge's scrutiny and thus some paragraphs to which I refer, are not sequential.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pleadings against Mr. Bridgeman allege, insofar as the 1987 agreement was concerned,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Bridgeman failed to properly advise or explain to the Deceased with regards to the relevant law of the 1987 agreement and failed to warn Bill of the risks concerning extrinsic evidence and uncertainty, or failing to adequately explain all the legal ramifications of the agreement as LJB had ultimately structured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alternative, the plaintiff submitted that Mr. Bridgeman was negligent in his preparation of the 1987 agreement, breaching an owed fiduciary duty and duty of care: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was partly unconscionable was lacking in sufficient terms, and was foreseeably unenforceable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entirely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Bridgeman,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reasonably competent solicitor would have recognized that the letter was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Insofar as the 1990 Will is concerned, the plaintiff alleges: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Bridgeman breached his fiduciary duty and duty of care in 1990;</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which was owned (sic) to beneficiaries, and the Estate;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various verbal reassurances to Bill, LJB disloyally and habitually created other self-serving documentation in his files at various relevant times, in order to evade responsibility later. In particular the sending of "confirmation" letters subtly contrary to his earlier verbal suggestions and which were intended to exculpate himself.</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Bill had independent legal advice.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in Failing to explain to them, through their agent or at all, facts and legal ramifications he knew that were necessary to interpret and enforce the 1987 purchase agreement, in particular:</w:t>
      </w:r>
    </w:p>
    <w:p>
      <w:pPr>
        <w:numPr>
          <w:numId w:val="5"/>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within the peculiar knowledge of the defendant.</w:t>
      </w:r>
    </w:p>
    <w:p>
      <w:pPr>
        <w:numPr>
          <w:numId w:val="6"/>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Bill was entitled to the entirety of Lot 20 by the failure to subdivide within some time period and what the time period was.</w:t>
      </w:r>
    </w:p>
    <w:p>
      <w:pPr>
        <w:numPr>
          <w:numId w:val="7"/>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[sic] no requirement for an appraisal.</w:t>
      </w:r>
    </w:p>
    <w:p>
      <w:pPr>
        <w:numPr>
          <w:numId w:val="8"/>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legal incidents as would have become apparent as between LJB and Bill or his executors.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negligent in making a representation to the Deceased which was false and/or misleading in that: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will states that "I HEREBY DECLARE, for the greater certainty that I am one of the registered owners of property legally described as Lot 20, district lot 4598, Kootenay District, Plan 4882, but that I have greater than one-quarter interest in such property by virtue of an agreement contained in a letter dated April 10, 1987 from my lawyer, Lewis J. Bridgeman, to my brothers, Mike Semenoff and Steve Semenoff and my sister Marion Demosky, and the (sic) my interest pursuant to this agreement presently forms part of my assets".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Bill did not derive any interest through the letter by itself, as the letter did not contain evidence of acceptance.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the defendant knew;</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failed to advise Bill as such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Defendant knew,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ought to have known that;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would rely on the representation and be induced by it:</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take further action as</w:t>
      </w:r>
    </w:p>
    <w:p>
      <w:pPr>
        <w:numPr>
          <w:numId w:val="14"/>
        </w:numPr>
        <w:tabs>
          <w:tab w:val="clear" w:pos="1480"/>
          <w:tab w:val="num" w:pos="3280"/>
        </w:tabs>
        <w:spacing w:before="120" w:line="260" w:lineRule="atLeast"/>
        <w:ind w:left="32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a charge registered on the land title.</w:t>
      </w:r>
    </w:p>
    <w:p>
      <w:pPr>
        <w:numPr>
          <w:numId w:val="15"/>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enter into a contract with LJB, as set out herein.</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Bridgeman further breached his fiduciary duty and duty of care to the Plaintiffs by neglecting to have taken necessary further steps to secure the property and ensure the enforceability of the 1987 agreement.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curry favour with Bill's siblings to expand his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pleadings go on for pages making all sorts of claims, including claims in contract. The trial management judge described them as "prolix". I agree and go further to label them, for the most part, incomprehensible, vexatious and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seems incapable of making simple claims which would be appropriate to his perceived view of the facts. When one wades through the prolix pleadings and considers the evidence proffered, the essence of his complaint is the failure of Mr. Bridgeman to investigate the state of title which, if done, ought to have prompted him to sever the joint tenancy and thereby protect the "estate" of Bill Semenoff. If that had been done, on Bill's death, his interest would have passed to his estate whose heirs are Robert and his brother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Bridgeman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"Amended Response to Further Amended Notice of Civil Claim". Those pleadings state that the defendant simply followed the instructions given to him by his client in respect to the 1987 letter agreement and in particular instructions that, "until a subdivision can be effected, the registered ownership will not change." The defendant's response is necessarily lengthy as it responds to the many claims advanced, denying all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Mr. Semenoff advised that he would be calling many witnesses, including a legal expert to testify as to the standard of care owed by a lawyer to a client, in fact he called only four witnesses, himself, the defendant Bridgeman, and the third parties Mike Semenoff and Marion Demosky.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His trial plan indicated the amount of time he would require for each witness, but it quickly became apparent that these estimates bore no relationship to reality. The trial was scheduled for four days, it took the better part of nine days, almost entirely devoted to the plaintiff's case. I allowed more than double the time estimates the plaintiff gave for those persons he called, but ultimately, had to limit his examination. Cross-examination did not occur with some witnesses and for others was limited to five to ten minutes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witness was the third party Mike Semenoff. Two days of examination in chief by the plaintiff resulted in nothing more germane to the claims than Mike's acknowledgment that he approved the terms contained in the 1987 agreement and in particular that until subdivision, "the registered ownership of the property will not change." According to Mike, his siblings likewise signified their agreement to these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Mike testified that sometime in 2002, he spoke with Mr. Bridgeman by phone to enquire as to the state of the title of lot 20 and "what would happen to the property if Bill passed away". According to Mike, Mr. Bridgeman advised that the Will would not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Exhibit #4 are personal notes made by Mike at the times indicated. The entry for March 15, 2002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15, 2002 I phoned Louis Bridgeman re joint tenant ownership. Marion called and asked to check title if joint tenants or not. I phoned Louis Bridgeman and asked him and he said passed on to surviving tenants, Will does not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Later, in cross examination by the defendant's counsel, Mike said that his notes of March 19, 2002, indicate a subsequent telephone call with Mr. Bridgeman during which, Mr. Bridgeman said, "generally speaking, joint tenancy property passes to survivors.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Marion Demosky was examined at length about her care of Bill, which clearly was extensive and lasted for several years. She reluctantly accepted his power of attorney when Bill and professionals attending him sought her agreement to take on the task. Marion felt it was something his sons should be doing but all her efforts to persuade them to accept that responsibility came to nought. During the course of her examination in chief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remember Bill expressing any complaint about his sons but he was very sad about being alone. His sons never came to visit him, if they did it was very, very seldom.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then described being "pretty close to Bill" and I have in my trial notes that at this point she is in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then went on at great length, examining Mrs. Demosky on matters entirely irrelevant to the proceedings. On many occasions, I had to stop his examination and direct him to stick to the matters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is preoccupied with conspiracy theories which include claims that Mrs. Demosky abused her position of trust as Bill's power of attorney, took advantage of Bill's advancing disability for her own (and her siblings) advantage and generally acted to deprive the plaintiff and his brother of an inheritance. Indeed, the plaintiff has commenced other actions against Mrs. Demosky that make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it remains to be determined whether he can prove any of these claims, my assessment of Mrs. Demosky on this trial was that she is a genuinely caring person who dearly loved her brother Bill. She consistently stepped up to the plate by sacrificing her own time and money over many years, to ensure that Bill received the best of care. For a time she not only had to look after Bill but also her husband who suffered from Alzheimer's disease, which eventually caused his death. I had nothing but admiration for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also suggested a conspiracy whereby Mr. Bridgeman caused a wills notice to disappear from the files of the Department of Vital Statistics and that Mr. Bridgeman was somehow involved in probating the Will of Bill Semenoff, before he actually died. Bizarre is an apt description of these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at some length complaining about; orders the case management judge had made, that he was unprepared for trial (notwithstanding the claim was commenced in 2007), that he could not locate any expert to testify to issues of professional care, and on and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spent hours describing his recollection of his father's life and proffered opinions in respect to his father's competence. He also attempted, through obtuse documentation and inadmissible opinion evidence, to show the defendant was historically negligent and must therefore be assumed negligent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proffered absolutely no evidence to support any of these claims. Indeed, he wasn't a witness to any of the activities that he is now bringing to the Court's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 examination, Robert conceded that he last saw his father in 1998, some eight years before his death. He also agreed that his father never spoke to him about either the 1987 agreement or his Will and that he had no personal information as to what was discussed between his father and Mr. Bridgeman.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Selby, counsel for Mr. Bridgeman, took the plaintiff through each of his claims and was able to obtain his concession that he had no personal evidence/information to support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Bridgeman was the final witness called by the plaintiff. Mr. Semenoff commenced by trying to elicit information about Mr. Bridgeman's former legal assistant, but that line of enquiry was stopped when it became apparent (to me) that it was entirely irrelevant to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Bridgeman conceded (not surprisingly) that he had almost no independent memory of events that took place twenty five years earlier. He explained his general practice in respect to documents, diary dates, how files were retrieved and his practice in dealing with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Semenoff then embarked upon a line of enquiry that he felt would demonstrate some historical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Although I am not entirely clear as to precisely what he sought, it appeared from his questioning and requests for the defendant's closed files that he wanted to examine all of the defendant's closed files for the past thirty or forty years to see if he could find instances where he could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a hopeless, completely inadmissible fishing expedition to which I gave short shrift.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focus then shifted to how billable hours were recorded, how notes of clients' instructions were recorded and dealt with and how active files were finally archived. Apart from observing that the pre computer age procedures differed considerably from post computer record keeping, it was an exercise in futility insofar as the issues at bar were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Bridgeman, acknowledged his signature whenever it was shown to him in various documents. He explained short hand terms used in notes shown to him such as TT meaning telephone to and PA meaning personal attendance. However, apart from documents that were self explanatory, he had no personal recollection of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also explained his practice in preparing and executing powers of attorney. His practice was to meet with the person seeking to grant a power of attorney, obtain the instructions and prepare documentation. He would then attend upon its execution and notify the donee, including instructions as to what responsibilities devolved upon the recipient donee. The witness was shown a letter dated January 22, 1996 which he agreed was a letter he wrote to Mrs. Demosky explaining that Bill had named her as his power of attorney and the responsibilities that ensued, which was precisely what the witness had said was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case concluded with Mr. Bridgeman's testimony, after which the third parties made their insufficient evidence motion which was "fully supported" by the defendant. I turn now to the question posed at paragraph 4, are the provisions of Rule 12-5(6) and (7) available to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have concluded that a third party is entitled to invoke an insufficient evidence motion at the close of the plaintiff's case. I reach this conclusion based upon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how those rules have been interpreted in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Rule 3-5(12)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third party who has filed a response to third party notice may, within the period for filing and serving a response to the third party notice, file and serve on all parties of record a response to civil claim to the plaintiff's notice of civil claim, </w:t>
      </w:r>
      <w:r>
        <w:rPr>
          <w:rFonts w:ascii="arial" w:eastAsia="arial" w:hAnsi="arial" w:cs="arial"/>
          <w:color w:val="000000"/>
          <w:sz w:val="20"/>
          <w:u w:val="single"/>
          <w:lang w:val="en-US" w:eastAsia="en-US" w:bidi="ar-SA"/>
        </w:rPr>
        <w:t>raising any defence open to a defendant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third parties at bar complied with the provisions of Rule 3-5(12) in their "response of third parties to amended notice of civil claim". This document denies the plaintiff's claims against the defendant Bridgeman and goes further to claim that Bill Semenoff knew his interest in lot 20 was joint with his siblings and that was precisely the way he wanted it to remain. Thus, not only was the defendant not in breach of any duty owed to Bill, he at all times complied with the directions he was given by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for the third parties cited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where Esson C.J. concurring with majority, commented upon the distinction between "no evidence motions" and "insufficient evidence motions". At paras. 62 and 63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The "no evidence" motion is an established aspect of the procedure in criminal trials. Because of the burden on the Crown to prove each element of the charge, and the absence of any burden on the accused, it is essential that the accused have the opportunity to argue "no evidence" before deciding whether to call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That consideration does not apply to civil trials in which each side is required to plead its case and has the burden of advancing its case. Historically, the prevailing view has been that the court should not entertain a no evidence motion in a civil trial unless the defendant elects to call no evidence. Where such an election is made, the distinction between "no evidence" and "insufficient evidence" effectively disappears. All the evidence for both parties being before the court, the evidence can be weighed and a conclusion reached as to whether the plaintiff has discharged the ultimate burden. Thus, the court may be spared the arid and often confusing intellectual exercise of having to decide whether the evidence heard to that point is, as a matter of law, "no evidence". And the parties are spared the risk of finding of "no evidence being reversed on appeal and of a new trial being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submissions in support of the motion, counsel for the third parties said that "the plaintiff has failed to lead evidence which is sufficient to prove all of the elements of the liability case against Mr. Bridgeman." This is the "insufficient evidence motion" which allows the Court to weigh and assess the evidence proffered but precludes the applicant from calling evidence. Counsel submitted his position in point form, some of which I replicate as follows:</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led no evidence that Mr. Bridgeman was a member of the Law Society of B.C. entitled to practice law at the relevant times alleged in the claim.</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establish any evidence of the terms of relationship between Bill and Bridgeman. Despite having Mr. Bridgeman testify in chief at some length, he was never asked what his instructions were from Bill. Thus there is no evidence as to precisely what Bridgeman was retained to do.</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inescapable inference to be drawn from the evidence of Mike, Marion and Bridgeman is that the siblings had already reached an agreement before Bridgeman was engaged and that when engaged he performed precisely as requested by Bill.</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Title to lot 20 was known by all siblings to be "joint" which was not to change until subdivision.</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proffered that Bridgeman knew the property was held in joint tenancy in 1987 and/or 1990. The thrust of the evidence is that Bill and his siblings wanted no change in ownership and merely requested of Bridgeman that he record that which they had agreed upon.</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as to the standard of care required in a comparable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claim against the third parties, is dependent upon a finding against him. The third parties say that they do not propose to call any evidence as there is "insufficient evidence" to establish any of the claims advanced against Mr. Bridgeman. It seems to me that at this juncture, the comments of Esson C.J. in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are applicable. The distinction between "no evidence" and "insufficient evidence" has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There is case law that prevents a party from invoking a non suit where there are several defendants and the results of that non suit would not effectively dispose of all issues between defendants: see </w:t>
      </w:r>
      <w:r>
        <w:rPr>
          <w:rFonts w:ascii="arial" w:eastAsia="arial" w:hAnsi="arial" w:cs="arial"/>
          <w:i/>
          <w:color w:val="000000"/>
          <w:sz w:val="20"/>
          <w:lang w:val="en-US" w:eastAsia="en-US" w:bidi="ar-SA"/>
        </w:rPr>
        <w:t>Ayer Mountain Estates Ltd. v. McElhanney Surveying &amp; Engineering Ltd.</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(1978), 7 B.C.L.R. 310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 v. MacLeod Construction Co.</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[1958] S.C.R. 737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Matsqui</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(1986), 4 B.C.L.R. (2d) 342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2009 BCSC 1888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third party motion at bar if granted, would dispose of all claims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has utterly failed to establish any of the many claims he has made. He failed to establish the nature and extent of the retainer between Bill and the defendant Bridgeman. He led no expert evidence as to the duty that might be owed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that he did proffer, leads me to conclude that Mr. Bridgeman was engaged to put in letter form that which the siblings had agreed upon. I also accept that Mr. Bridgeman was not aware at any relevant time just how ownership was recorded in the land titles office, nor, given the evidence that his retainer was limited in the manner I have set out, was he obliged to investigate the state of title. In any event, the plaintiff led no evidence as to the standard of care one should expect from a solicitor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inferences available to me from the evidence at trial is that the siblings, including Bill, knew the property was registered in joint tenancy, knew what a joint tenancy meant and were content to have it remain that way, at least until subdivision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result, I accept that the third party motion for dismissal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Costs follow the event, however, if desired, the parties may speak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McKINNON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Sidhu (Litigation guardian of) v. Hiebert, [2018] B.C.J. No. 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M082472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Arshdeep Singh Sidhu, an infant by his litigation guardian Kuljivan Singh Dhaliwal, Plaintiff, and Jan Abram Hiebert, Balwinder Kaur Sidhu, Rajvinder Singh Sidhu, Surinder Singh Rattan, Nissan Canada Inc., Nissan Motor Co., Ltd., Nissan North America, Inc., Abbotsford Nissan Ltd., ABC Company No. 1 and ABC Company No. 2, Defendants, and Insurance Corporation of British Columbia, Jan Abram Hiebert, Balwinder Kaur Sidhu, Rajvinder Singh Sidhu, Surinder Singh Rattan, Nissan Canada Inc., Nissan Motor Co., Ltd., Nissan North America, Inc. and Abbotsford Nissan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21"/>
      <w:bookmarkEnd w:id="217"/>
      <w:r>
        <w:rPr>
          <w:rFonts w:ascii="arial" w:eastAsia="arial" w:hAnsi="arial" w:cs="arial"/>
          <w:b/>
          <w:color w:val="000000"/>
          <w:sz w:val="20"/>
          <w:lang w:val="en-US" w:eastAsia="en-US" w:bidi="ar-SA"/>
        </w:rPr>
        <w:t>Civil Litigation — Civil procedure — Pleadings — Particulars — Application by Nissan defendants for further particulars of plaintiff's claim allowed in part — Plaintiff sustained serious spinal injury in motor vehicle accident while passenger in Nissan Pathfinder — Plaintiff alleged in claim that Pathfinder's rear seatbelt system was negligently designed and manufactured, and did not fit children of certain height and weight — Nissan defendants were entitled to particulars of age, height and weight of cohort of children who allegedly did not fit seatbelts --Particulars were required of literature or studies relied on by plaintiff for allegations of defects — Supreme Court Civil Rules, Rule 3-7(18).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8" w:name="Case Summary_19"/>
            <w:bookmarkEnd w:id="2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Nissan defendants for particulars of plaintiff's claim. The action arose from a motor vehicle accident in 2008. The plaintiff was nine years old at the time of the accident. He was a passenger sitting on the driver side rear seat of a 2006 Nissan Pathfinder owned by his father. The Pathfinder was struck by a vehicle operated by the defendant Hiebert. It is alleged that prior to the collision, the plaintiff lifted the shoulder belt of his seat belt off his left shoulder area, over his head, and placed it on his right shoulder. As a result of the collision the plaintiff sustained a near complete spinal cord transection resulting in him becoming a ventilator-dependent quadriplegic. The allegation was that the spinal cord injury was caused by the shoulder belt being improperly placed over his right shoulder instead of properly placed over his left shoulder. The plaintiff's claim against the Nissan defendant was that the Pathfinder and the rear seat belt system were negligently designed and manufactured and that there was a failure to warn. In particular, the plaintiff alleged that rear seat belts in the Pathfinder did not fit children of a certain size and weight. The Nissan defendants took the position that the claim included allegations regarding Nissan's knowledge and false or misleading misrepresentations made by Nissan. Nissan asserted that these were allegations of intentional deceit akin to pleadings of fraud. The Nissan defendants asserted that the allegations of oral misstatements by sales representatives and other agents required particulars of the misstatements and the circumstances in which they were made. The Nissan defendants sought particulars of the specific range of ages, weights and heights of the cohort of children who allegedly did not fit the seatbelts. The Nissan defendants also demanded particulars of the plaintiff's height and weight at the time of the collision. They sought particulars of all the other automobile industry literature alleged to identify the alleged defects in restraint systems and/or seat belts for children. The Nissan defendants sought particulars of each collision in which the plaintiff alleged a child was injured or killed while a passenger in a vehicle manufactured and sold by Nissan due to allegedly unsafe restraint systems. They further sought particulars of misleading representations made to the owner or purchaser of the Pathfinder.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9" w:name="Holdings of Court_17"/>
            <w:bookmarkEnd w:id="21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Particulars of the specific range of ages, weights and heights of the cohort of children should be provided. The Nissan defendants should not be required to guess the age ranges, the various entities or literature, such as booster seat manufacturers or automotive child safety literature, and the particular percentile guidelines. The parties were directed to reach an agreement on the particular height and weight or range of height and weight of the plaintiff on the date of the collision. It was necessary that the literature that the plaintiff relied upon to support the assertion of alleged defects in restraint systems and/or seat belts for children was identified. The plaintiff did not have to provide particulars of every accident it alleged that Nissan knew of. It was not necessary that the Nissan defendants have particulars on that assertion at this point. The plaintiff did not have to provide particulars of studies conducted by Nissan. Whether Nissan conducted studies was a matter within its exclusive knowledge. Further particulars were necessary on the allegations that the Nissan defendants misled the purchaser, owner, and/or users of the Pathfinder. However, these representations would have been made to the plaintiff's parents, who were both defendants in the action. Those particulars may be provided after the plaintiff examined the parents.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19"/>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3-1(2), Rule 3-7(2), Rule 3-7(18), Rule 3-7(19), Rule 3-7(20), Rule 3-7(22), Rule 3-7(23), Rule 3-7(24)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21"/>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Samuel J.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Parties Nissan Canada Inc., Nissan Motor Co., Ltd., Nissan North America, Inc., and Abbotsford Nissan Ltd.: Michael D. Parrish.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21"/>
      <w:bookmarkEnd w:id="222"/>
      <w:r>
        <w:pict>
          <v:line id="_x0000_s1142"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Nissan defendants for the plaintiff to deliver particulars pursuant to Rules 3-7(18) and (22)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am the case management and trial judge assigned to, what has become known as,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arises from a motor vehicle accident that occurred on March 30, 2008 (the "Collision"). The plaintiff was nine years old at the time. He was a passenger sitting on the driver side rear seat of a 2006 Nissan Pathfinder (the "Pathfinder") owned by his father, the defendant Rajvinder Sidhu, and operated by his mother, the defendant Balwinder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Pathfinder was struck by a vehicle operated by the defendant Jan Hiebert.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alleged that prior to the Collision, the plaintiff lifted the shoulder belt of his seat belt off his left shoulder area, over his head, and placed it on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alleged that at the time of the Collision, the shoulder seat belt rested on the plaintiff's right shoulder. As a result of the Collision the plaintiff sustained a near complete spinal cord transection resulting in him becoming a ventilator-dependent quadriplegic. The allegation is that the spinal cord injury was caused by the shoulder belt being improperly placed over his right shoulder instead of properly placed over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action was initially brought against the other defendants (the "Hiebert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24, 2015, the plaintiff commenced an action against the Nissan defendants (the "Nissan Action"). On March 31, 2015, the Nissan defendants filed a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15, 2016, the Nissan defendants delivered a demand for particulars to the plaintiff (the "First Demand") seeking numerous particulars of the allegations in the Nissan Action notice of civil claim (the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3, 2016, the plaintiff provided a detailed response letter to the First Demand (the "First Response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February 6, 2017, the parties to the Hiebert Action, the Nissan Action and other related actions entered into a Litigation Management Order (the "First Litigation Management Order"), by consent. This order merged the actions and created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February 20, 2017, the Nissan defendants delivered a list of documents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8, 2017, pursuant to the First Litigation Management Order, the plaintiff filed an amended notice of civil claim (the "ANOCC") in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18, 2017, the Nissan defendants filed their response to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accordance with the First Litigation Management Order, the First Demand and the plaintiff's First Response Letter were deemed to have been provided in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26, 2017, the Nissan defendants delivered a new demand for particulars, upon which this application is based (the "Second Demand"). On the same day, the Nissan defendants demanded production of certain literature, articles and documents relating to the answers provided in the First Response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1, 2017, the plaintiff provided a detailed response to the Second Demand noting that many of the demands were essentially the same as in the First Demand, which were already answered or objected to, and that the particulars already provided are more than sufficient (the "Second Response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9, 2018, the plaintiff served the Nissan defendants with a second combined list of documents adding more than 110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Claim against the Nissan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 disagreement between the parties as to the causes of action that the plaintiff is bringing against the Nissan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position is that the claims advanced are that the Pathfinder and the rear seat belt system were negligently designed and manufactured and that there was a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submits that the ANOCC and the particulars provided set out the following claims against the Nissan defendants: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installed rear seat belts in the Pathfinder that they knew did not fit children who had outgrown booster seats yet were smaller than the 50th percentile adult male;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knew seat belts that cross the neck or face are uncomfortable and children are likely to misuse them by moving the shoulder belt under their arm, behind their back, or to their opposite shoulder;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knew that the rear seat belts were easy for children to misuse by moving the shoulder belt under their arm, behind their back, or to their opposite shoulder;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provide a rear seat belt system in the Pathfinder that would fit the plaintiff and other children of his size that have outgrown boosters seats and that are too small for the rear seat belts systems in the Pathfinder;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include rear seat belt pretensioners in the Pathfinder that Nissan knew or ought to have known would have reduced or eliminated the severity of the plaintiff's injuries from the Collision;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include rear seat "Comfort Guides" in the Pathfinder that Nissan knew or ought to have known would have improved the fit of the rear seat belt shoulder strap and made it more difficult for the plaintiff to improperly route the shoulder strap of his seat belt over his right shoulder;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warn of the dangers posed to children by the rear seat belt system in the Pathfinder arising from improper fit;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warn of the dangers posed to children by the rear seat belt system in the Pathfinder arising from the absence of pretensioners in the rear seat belts system;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warn of the dangers posed to children by the rear seat belt system in the Pathfinder arising from the absence of countermeasures such as Comfort Guides.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asserts that he is not advancing a claim for damages resulting from the torts of negligent and/or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Nissan defendants assert that the claims advanced are that: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Pathfinder's rear seat belt system was defective and unsafe in that it failed to protect and secure children of a certain size and weight, and that this defect was caused by negligent design and manufacture of the Pathfinder;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Nissan negligently failed to warn users of the Pathfinder of the defects;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Nissan's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Nissan defendants claim that the Pathfinder and seat belt were reasonably safe and that the plaintiff's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for not wearing the seat belt properly and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Nissan defendants take the position that the ANOCC includes allegations regarding Nissan's knowledge and false or misleading misrepresentations made by Nissan. Nissan asserts that these are allegations of intentional deceit akin to pleadings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particular paragraphs of the ANOCC that the Nissan defendants contend raise allegations of false and misleading statements are paras. 58 and 59,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Automotive Defendants singly or in combination either directly or indirectly misled the purchaser, owner, and/or users of the Pathfinder to believe that the rear seats were equipped with pretensioners and/or that the rear seat restraints systems and/or seat belts were safe for use by children including the Plaintiff, thereby creating an illusion of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Manual misled the purchaser, owner, and/or users of the Pathfinder to believe that the rear seats were equipped with pretensioners and/or that the rear seat restraint system and/or seat belts were safe for use by children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First Response Letter provided the following particulars of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Nissan Defendants implicitly and/or explicitly marketed the Pathfinder as a safe vehicle for children through television and print advertisements, marketing material in dealerships, and on their website(s).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marketing included,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Oral representations made by sales representatives and other agents of the Nissan Defendants;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Nissan defendants assert that this allegation, along with the claim for punitive and aggravated damages at part 3, paras. 13 to 25 of the ANOCC, are equivalent to a fraud allegation in that they allege Nissan made the misstatements deliberately with the intention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Nissan defendants assert that the allegations of oral misstatements by sales representatives and other agents require particulars of the misstatements and the circumstances in which they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counsel provided an excellent summary of the legal principles and authorities, and I will quote extensively from their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applicable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3-7(2) The effect of any document or the purport of any conversation referred to in a pleading, if material, must be stated briefly and the precise words of the documents or conversation must not be stated, except insofar as those words are themselves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3-7(18) If the party pleading relies on misrepresentation, fraud, breach of trust, wilful default or undue influence, or if particulars may be necessary, full particulars, with dates and items if applicable, must be stated in the pleading.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3-7(19) If the particulars required under subrule (18) of debt, expenses or damages are lengthy, the party pleading may refer to this fact and, instead of pleading the particulars, must serve the particulars in a separate document either before or with the pleading.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3-7(20) Particulars need only be pleaded to the extent that they are known at the date of pleading, but further particulars</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served after they become known,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served within 10 days after a demand is made in writing.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3-7(22) The court may order a party to serve further and better particulars of a matter stated in a pleading.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3-7(23) Before applying to the court for particulars, a party must demand them in writing from the other party.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3-7(24) A demand for particulars does not operate as a stay of proceedings or give an extension of time, but a party may apply for an extension of time for serving a responding pleading on the ground that the party cannot answer the originating pleading until particulars are provided.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Object and Function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object and function of pleadings were well summarized by Voith J.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16-20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new Rules alter the structure in which pleadings are to be prepared. The core object of a notice of civil claim, however, remains the same. That object is concisely captured in Frederick M. Irvine, ed., </w:t>
      </w:r>
      <w:r>
        <w:rPr>
          <w:rFonts w:ascii="arial" w:eastAsia="arial" w:hAnsi="arial" w:cs="arial"/>
          <w:i/>
          <w:color w:val="000000"/>
          <w:sz w:val="20"/>
          <w:lang w:val="en-US" w:eastAsia="en-US" w:bidi="ar-SA"/>
        </w:rPr>
        <w:t>McLachlin and Taylor, British Columbia Practice</w:t>
      </w:r>
      <w:r>
        <w:rPr>
          <w:rFonts w:ascii="arial" w:eastAsia="arial" w:hAnsi="arial" w:cs="arial"/>
          <w:color w:val="000000"/>
          <w:sz w:val="20"/>
          <w:lang w:val="en-US" w:eastAsia="en-US" w:bidi="ar-SA"/>
        </w:rPr>
        <w:t>, 3rd ed., vol. 1 (Markham, Ont.: LexisNexis Canada Inc., 2006) at 3-4 - 3-4.1: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statement of claim (or, under the current Rules, a notice of civil claim) is to serve the ultimate function of pleadings, namely, the clear definition of the issues of fact and law to be determined by the court, the material facts of each cause of action relied upon should be stated with certainty and precision, and in their natural order, so as to disclose the three elements essential to every cause of action, namely, the plaintiff's right or title; the defendant's wrongful act violating that right or title; and the consequent damage, whether nominal or substantial. The material facts should be stated succinctly and the particulars should follow and should be identified as such...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These requirements serve two foundational purposes: efficiency and fairness. These purposes align with Rule 1-3 which confirms that "the object of [the] Supreme Court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emphasize efficiency because a proper notice of civil claim enables a defendant to identify the claim he or she must address and meet. The response filed by a defendant, together with the notice of civil claim and further particulars, if any, will confine the ambit of examinations for discovery and of the issues addressed at the trial itself. Proper pleadings limit the prospect of delay or adjournments. They allow parties to focus their resources on those matters that are of import and to ignore those that are not. They facilitate effective case management and the role of the trier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 proper notice of civil claim also advances the fairness of pre-trial processes and of the trial. Defendants should not be required to divine the claim(s) being made against them. They should not have to guess what it is they are alleged to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 B.C.L.R. (4th) 170</w:t>
        </w:r>
      </w:hyperlink>
      <w:r>
        <w:rPr>
          <w:rFonts w:ascii="arial" w:eastAsia="arial" w:hAnsi="arial" w:cs="arial"/>
          <w:color w:val="000000"/>
          <w:sz w:val="20"/>
          <w:lang w:val="en-US" w:eastAsia="en-US" w:bidi="ar-SA"/>
        </w:rPr>
        <w:t>, Justice Parrett confirmed that the essential purpose of pleadings is to define the issues, giving the opposing parties notice of the case they have to meet and to provide the "boundaries and the context for effective pre-trial case management, the extent of disclosure required, as well as the parameters or necessity of expert opinions" (para. 27).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Function of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Particulars are an extension of pleadings, the purpose of which is to ensure a fair and open proceeding conducted with clarity around the issues so that the parties may prepare their case without being taken by surprise. The functions of particulars, as summarized in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at para. 15 (C.A.)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are: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guiding principle to the exercise of the court's discretion is whether particulars are "necessary" to achieve one of the functions of particulars set out above: </w:t>
      </w:r>
      <w:r>
        <w:rPr>
          <w:rFonts w:ascii="arial" w:eastAsia="arial" w:hAnsi="arial" w:cs="arial"/>
          <w:i/>
          <w:color w:val="000000"/>
          <w:sz w:val="20"/>
          <w:lang w:val="en-US" w:eastAsia="en-US" w:bidi="ar-SA"/>
        </w:rPr>
        <w:t>G.W.L. Properties Ltd. v. W.R. Grace &amp; Co. of Canada Ltd.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1993 CanLII 187</w:t>
        </w:r>
      </w:hyperlink>
      <w:r>
        <w:rPr>
          <w:rFonts w:ascii="arial" w:eastAsia="arial" w:hAnsi="arial" w:cs="arial"/>
          <w:color w:val="000000"/>
          <w:sz w:val="20"/>
          <w:lang w:val="en-US" w:eastAsia="en-US" w:bidi="ar-SA"/>
        </w:rPr>
        <w:t xml:space="preserve"> at 3 (B.C.S.C.) [</w:t>
      </w:r>
      <w:r>
        <w:rPr>
          <w:rFonts w:ascii="arial" w:eastAsia="arial" w:hAnsi="arial" w:cs="arial"/>
          <w:i/>
          <w:color w:val="000000"/>
          <w:sz w:val="20"/>
          <w:lang w:val="en-US" w:eastAsia="en-US" w:bidi="ar-SA"/>
        </w:rPr>
        <w:t>G.W.L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function of particulars and the analysis to be made by the court in evaluating whether particulars ought to be ordered were discussed in </w:t>
      </w:r>
      <w:r>
        <w:rPr>
          <w:rFonts w:ascii="arial" w:eastAsia="arial" w:hAnsi="arial" w:cs="arial"/>
          <w:i/>
          <w:color w:val="000000"/>
          <w:sz w:val="20"/>
          <w:lang w:val="en-US" w:eastAsia="en-US" w:bidi="ar-SA"/>
        </w:rPr>
        <w:t>Cominco Ltd. v. Westinghouse Can. Ltd.</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1978 CanLII 234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leading decision on delivery of particulars in this province is set out in the judgment of Sheppard J.A. in </w:t>
      </w:r>
      <w:r>
        <w:rPr>
          <w:rFonts w:ascii="arial" w:eastAsia="arial" w:hAnsi="arial" w:cs="arial"/>
          <w:i/>
          <w:color w:val="000000"/>
          <w:sz w:val="20"/>
          <w:lang w:val="en-US" w:eastAsia="en-US" w:bidi="ar-SA"/>
        </w:rPr>
        <w:t>Anglo-Can. Timber Products Ltd. v. B.C. Elec. Co</w:t>
      </w:r>
      <w:r>
        <w:rPr>
          <w:rFonts w:ascii="arial" w:eastAsia="arial" w:hAnsi="arial" w:cs="arial"/>
          <w:color w:val="000000"/>
          <w:sz w:val="20"/>
          <w:lang w:val="en-US" w:eastAsia="en-US" w:bidi="ar-SA"/>
        </w:rPr>
        <w:t xml:space="preserve">. (1960), </w:t>
      </w:r>
      <w:hyperlink r:id="rId443" w:history="1">
        <w:r>
          <w:rPr>
            <w:rFonts w:ascii="arial" w:eastAsia="arial" w:hAnsi="arial" w:cs="arial"/>
            <w:i/>
            <w:color w:val="0077CC"/>
            <w:sz w:val="20"/>
            <w:u w:val="single"/>
            <w:shd w:val="clear" w:color="auto" w:fill="FFFFFF"/>
            <w:lang w:val="en-US" w:eastAsia="en-US" w:bidi="ar-SA"/>
          </w:rPr>
          <w:t>1960 CanLII 282</w:t>
        </w:r>
      </w:hyperlink>
      <w:r>
        <w:rPr>
          <w:rFonts w:ascii="arial" w:eastAsia="arial" w:hAnsi="arial" w:cs="arial"/>
          <w:color w:val="000000"/>
          <w:sz w:val="20"/>
          <w:lang w:val="en-US" w:eastAsia="en-US" w:bidi="ar-SA"/>
        </w:rPr>
        <w:t xml:space="preserve"> (BC CA), </w:t>
      </w:r>
      <w:hyperlink r:id="rId443" w:history="1">
        <w:r>
          <w:rPr>
            <w:rFonts w:ascii="arial" w:eastAsia="arial" w:hAnsi="arial" w:cs="arial"/>
            <w:i/>
            <w:color w:val="0077CC"/>
            <w:sz w:val="20"/>
            <w:u w:val="single"/>
            <w:shd w:val="clear" w:color="auto" w:fill="FFFFFF"/>
            <w:lang w:val="en-US" w:eastAsia="en-US" w:bidi="ar-SA"/>
          </w:rPr>
          <w:t>31 W.W.R. 604</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23 D.L.R. (2d) 656</w:t>
        </w:r>
      </w:hyperlink>
      <w:r>
        <w:rPr>
          <w:rFonts w:ascii="arial" w:eastAsia="arial" w:hAnsi="arial" w:cs="arial"/>
          <w:color w:val="000000"/>
          <w:sz w:val="20"/>
          <w:lang w:val="en-US" w:eastAsia="en-US" w:bidi="ar-SA"/>
        </w:rPr>
        <w:t xml:space="preserve"> (B.C.C.A.). Following a motion for the delivery of further and better particulars, the chambers judge in this court adjourned the defendant's application asking for particulars of the statement of claim until the defendant completed its examination for discovery of the plaintiffs officers. Such a ruling was held to be in error because discovery should only take place after the issues have been properly defined by the pleadings. One of the ways to clarify these issues is through delivery of further and better particulars. Therefore it was held that an examination for discovery is not a substitute for particulars and an application for particulars should not be defeated by an argument that the applicant can get the same particulars by way of the examination for discovery.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 The contest which has arisen here is of a different nature. Counsel for the plaintiff did not suggest the particulars of the statement of claim ought to be obtained by Northern through the discovery process instead of by way of written demand and reply. The plaintiff merely says many of the facts which the defendant seeks are not known to the plaintiff at this time. It states if it has an opportunity to examine the officers of Northern, then it will be able to give some or perhaps all of the particulars which Northern requests.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That kind of an argument calls for the consideration of different principles: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should frame his charge in the first instance with certainty and precision. He should not be permitted to bring an action [in] the hope he will be able to establish his claim by the admissions of the defendant on an examination for discovery. Such a process is in the nature of a "fishing expedition" and has always been viewed with disfavour by the law: </w:t>
      </w:r>
      <w:r>
        <w:rPr>
          <w:rFonts w:ascii="arial" w:eastAsia="arial" w:hAnsi="arial" w:cs="arial"/>
          <w:i/>
          <w:color w:val="000000"/>
          <w:sz w:val="20"/>
          <w:lang w:val="en-US" w:eastAsia="en-US" w:bidi="ar-SA"/>
        </w:rPr>
        <w:t>Somers v. Kingsbury</w:t>
      </w:r>
      <w:r>
        <w:rPr>
          <w:rFonts w:ascii="arial" w:eastAsia="arial" w:hAnsi="arial" w:cs="arial"/>
          <w:color w:val="000000"/>
          <w:sz w:val="20"/>
          <w:lang w:val="en-US" w:eastAsia="en-US" w:bidi="ar-SA"/>
        </w:rPr>
        <w:t xml:space="preserve">, 1923 CanLII 497 (ON CA), 54 O.L.R. 166 at 177, </w:t>
      </w:r>
      <w:hyperlink r:id="rId444" w:history="1">
        <w:r>
          <w:rPr>
            <w:rFonts w:ascii="arial" w:eastAsia="arial" w:hAnsi="arial" w:cs="arial"/>
            <w:i/>
            <w:color w:val="0077CC"/>
            <w:sz w:val="20"/>
            <w:u w:val="single"/>
            <w:shd w:val="clear" w:color="auto" w:fill="FFFFFF"/>
            <w:lang w:val="en-US" w:eastAsia="en-US" w:bidi="ar-SA"/>
          </w:rPr>
          <w:t>[1924] 2 D.L.R. 195</w:t>
        </w:r>
      </w:hyperlink>
      <w:r>
        <w:rPr>
          <w:rFonts w:ascii="arial" w:eastAsia="arial" w:hAnsi="arial" w:cs="arial"/>
          <w:color w:val="000000"/>
          <w:sz w:val="20"/>
          <w:lang w:val="en-US" w:eastAsia="en-US" w:bidi="ar-SA"/>
        </w:rPr>
        <w:t xml:space="preserve"> (C.A.); comments approved by Meredith J. in </w:t>
      </w:r>
      <w:r>
        <w:rPr>
          <w:rFonts w:ascii="arial" w:eastAsia="arial" w:hAnsi="arial" w:cs="arial"/>
          <w:i/>
          <w:color w:val="000000"/>
          <w:sz w:val="20"/>
          <w:lang w:val="en-US" w:eastAsia="en-US" w:bidi="ar-SA"/>
        </w:rPr>
        <w:t>Bremer v. Barrett</w:t>
      </w:r>
      <w:r>
        <w:rPr>
          <w:rFonts w:ascii="arial" w:eastAsia="arial" w:hAnsi="arial" w:cs="arial"/>
          <w:color w:val="000000"/>
          <w:sz w:val="20"/>
          <w:lang w:val="en-US" w:eastAsia="en-US" w:bidi="ar-SA"/>
        </w:rPr>
        <w:t xml:space="preserve">, [19751 W.W.D. 106, </w:t>
      </w:r>
      <w:hyperlink r:id="rId445" w:history="1">
        <w:r>
          <w:rPr>
            <w:rFonts w:ascii="arial" w:eastAsia="arial" w:hAnsi="arial" w:cs="arial"/>
            <w:i/>
            <w:color w:val="0077CC"/>
            <w:sz w:val="20"/>
            <w:u w:val="single"/>
            <w:shd w:val="clear" w:color="auto" w:fill="FFFFFF"/>
            <w:lang w:val="en-US" w:eastAsia="en-US" w:bidi="ar-SA"/>
          </w:rPr>
          <w:t>1975 CanLII 1081</w:t>
        </w:r>
      </w:hyperlink>
      <w:r>
        <w:rPr>
          <w:rFonts w:ascii="arial" w:eastAsia="arial" w:hAnsi="arial" w:cs="arial"/>
          <w:color w:val="000000"/>
          <w:sz w:val="20"/>
          <w:lang w:val="en-US" w:eastAsia="en-US" w:bidi="ar-SA"/>
        </w:rPr>
        <w:t xml:space="preserve"> (BC SC), </w:t>
      </w:r>
      <w:hyperlink r:id="rId445" w:history="1">
        <w:r>
          <w:rPr>
            <w:rFonts w:ascii="arial" w:eastAsia="arial" w:hAnsi="arial" w:cs="arial"/>
            <w:i/>
            <w:color w:val="0077CC"/>
            <w:sz w:val="20"/>
            <w:u w:val="single"/>
            <w:shd w:val="clear" w:color="auto" w:fill="FFFFFF"/>
            <w:lang w:val="en-US" w:eastAsia="en-US" w:bidi="ar-SA"/>
          </w:rPr>
          <w:t>59 D.L.R. (3d) 618</w:t>
        </w:r>
      </w:hyperlink>
      <w:r>
        <w:rPr>
          <w:rFonts w:ascii="arial" w:eastAsia="arial" w:hAnsi="arial" w:cs="arial"/>
          <w:color w:val="000000"/>
          <w:sz w:val="20"/>
          <w:lang w:val="en-US" w:eastAsia="en-US" w:bidi="ar-SA"/>
        </w:rPr>
        <w:t xml:space="preserve"> at 619 (B.C.).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a plaintiff on an examination for discovery is confined to the issues raised by the pleadings: albeit a wide and searching inquiry which may take a circuitous route. Still it is narrower than an inquiry into the "subject matter" of the action. As well it is not intended to give the inquiring party the right to conduct a "fishing expedition": </w:t>
      </w:r>
      <w:r>
        <w:rPr>
          <w:rFonts w:ascii="arial" w:eastAsia="arial" w:hAnsi="arial" w:cs="arial"/>
          <w:i/>
          <w:color w:val="000000"/>
          <w:sz w:val="20"/>
          <w:lang w:val="en-US" w:eastAsia="en-US" w:bidi="ar-SA"/>
        </w:rPr>
        <w:t>Dutton-Williams Bros. Ltd. v. Inland Natural Gas Co</w:t>
      </w:r>
      <w:r>
        <w:rPr>
          <w:rFonts w:ascii="arial" w:eastAsia="arial" w:hAnsi="arial" w:cs="arial"/>
          <w:color w:val="000000"/>
          <w:sz w:val="20"/>
          <w:lang w:val="en-US" w:eastAsia="en-US" w:bidi="ar-SA"/>
        </w:rPr>
        <w:t xml:space="preserve">. (1963), 42 W.W.R. 621 (B.C.), Lord J.; </w:t>
      </w:r>
      <w:r>
        <w:rPr>
          <w:rFonts w:ascii="arial" w:eastAsia="arial" w:hAnsi="arial" w:cs="arial"/>
          <w:i/>
          <w:color w:val="000000"/>
          <w:sz w:val="20"/>
          <w:lang w:val="en-US" w:eastAsia="en-US" w:bidi="ar-SA"/>
        </w:rPr>
        <w:t>McKercher v. Vancouver-Iowa Shingle Co.</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1929 CanLII 436</w:t>
        </w:r>
      </w:hyperlink>
      <w:r>
        <w:rPr>
          <w:rFonts w:ascii="arial" w:eastAsia="arial" w:hAnsi="arial" w:cs="arial"/>
          <w:color w:val="000000"/>
          <w:sz w:val="20"/>
          <w:lang w:val="en-US" w:eastAsia="en-US" w:bidi="ar-SA"/>
        </w:rPr>
        <w:t xml:space="preserve"> (BC SC), </w:t>
      </w:r>
      <w:hyperlink r:id="rId446" w:history="1">
        <w:r>
          <w:rPr>
            <w:rFonts w:ascii="arial" w:eastAsia="arial" w:hAnsi="arial" w:cs="arial"/>
            <w:i/>
            <w:color w:val="0077CC"/>
            <w:sz w:val="20"/>
            <w:u w:val="single"/>
            <w:shd w:val="clear" w:color="auto" w:fill="FFFFFF"/>
            <w:lang w:val="en-US" w:eastAsia="en-US" w:bidi="ar-SA"/>
          </w:rPr>
          <w:t>41 B.C.R. 252</w:t>
        </w:r>
      </w:hyperlink>
      <w:r>
        <w:rPr>
          <w:rFonts w:ascii="arial" w:eastAsia="arial" w:hAnsi="arial" w:cs="arial"/>
          <w:color w:val="000000"/>
          <w:sz w:val="20"/>
          <w:lang w:val="en-US" w:eastAsia="en-US" w:bidi="ar-SA"/>
        </w:rPr>
        <w:t xml:space="preserve"> at 253, </w:t>
      </w:r>
      <w:hyperlink r:id="rId446" w:history="1">
        <w:r>
          <w:rPr>
            <w:rFonts w:ascii="arial" w:eastAsia="arial" w:hAnsi="arial" w:cs="arial"/>
            <w:i/>
            <w:color w:val="0077CC"/>
            <w:sz w:val="20"/>
            <w:u w:val="single"/>
            <w:shd w:val="clear" w:color="auto" w:fill="FFFFFF"/>
            <w:lang w:val="en-US" w:eastAsia="en-US" w:bidi="ar-SA"/>
          </w:rPr>
          <w:t>[1929] 2 W.W.R. 287</w:t>
        </w:r>
      </w:hyperlink>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[1929] 4 D.L.R. 231</w:t>
        </w:r>
      </w:hyperlink>
      <w:r>
        <w:rPr>
          <w:rFonts w:ascii="arial" w:eastAsia="arial" w:hAnsi="arial" w:cs="arial"/>
          <w:color w:val="000000"/>
          <w:sz w:val="20"/>
          <w:lang w:val="en-US" w:eastAsia="en-US" w:bidi="ar-SA"/>
        </w:rPr>
        <w:t>, McDonald J.</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material may be considered on an application of this nature. As a general rule a court may act on an affidavit sworn only as to information and belief except when the applicant is seeking a final order. The success or failure of an application requesting an order for further and better particulars does not by itself result in the dismissal or success of an action. But if a plaintiff is ordered to give particulars and cannot do so his claim may be struck out on a subsequent motion because the statement of claim fails to allege facts specifying the essential ingredients the plaintiff must prove. If the plaintiff cannot win at trial on the facts as pleaded, better to dismiss the action now than later. That is one of the purposes of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these reasons I intend to ignore the affidavits as filed where they are based upon information and belief. Otherwise the ultimate result might be a final order against the plaintiff which had its foundation on hearsay evidence.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purposes of particulars is to tie the hands of the party compelled to deliver them so that his opposite number may confine him on the evidence he leads at trial and the questions he asks on examination for discovery. Occasionally the details which a defendant demands the plaintiff particularize may be well known to the defendant but not to the plaintiff. The plaintiff cannot escape delivery of particulars on this ground alone. A defendant is entitled to know what story his adversary is making against him. But in some cases the material may reveal a basis for the plaintiffs general allegation and the particulars sought are exclusively or almost exclusively within the knowledge of the defendant and not within the knowledge of the plaintiff. In these instances the law gives the court a discretion in postponing an order for delivery of particulars by the plaintiff until after his discovery of the defendant: </w:t>
      </w:r>
      <w:r>
        <w:rPr>
          <w:rFonts w:ascii="arial" w:eastAsia="arial" w:hAnsi="arial" w:cs="arial"/>
          <w:i/>
          <w:color w:val="000000"/>
          <w:sz w:val="20"/>
          <w:lang w:val="en-US" w:eastAsia="en-US" w:bidi="ar-SA"/>
        </w:rPr>
        <w:t>Golightly &amp; Knight Ltd. v. Irwin</w:t>
      </w:r>
      <w:r>
        <w:rPr>
          <w:rFonts w:ascii="arial" w:eastAsia="arial" w:hAnsi="arial" w:cs="arial"/>
          <w:color w:val="000000"/>
          <w:sz w:val="20"/>
          <w:lang w:val="en-US" w:eastAsia="en-US" w:bidi="ar-SA"/>
        </w:rPr>
        <w:t xml:space="preserve">, [1952] O.W.N. 89 at 90; and </w:t>
      </w:r>
      <w:r>
        <w:rPr>
          <w:rFonts w:ascii="arial" w:eastAsia="arial" w:hAnsi="arial" w:cs="arial"/>
          <w:i/>
          <w:color w:val="000000"/>
          <w:sz w:val="20"/>
          <w:lang w:val="en-US" w:eastAsia="en-US" w:bidi="ar-SA"/>
        </w:rPr>
        <w:t>Ross v. Stakes Motors Ltd.</w:t>
      </w:r>
      <w:r>
        <w:rPr>
          <w:rFonts w:ascii="arial" w:eastAsia="arial" w:hAnsi="arial" w:cs="arial"/>
          <w:color w:val="000000"/>
          <w:sz w:val="20"/>
          <w:lang w:val="en-US" w:eastAsia="en-US" w:bidi="ar-SA"/>
        </w:rPr>
        <w:t>, [1951] 2 All E.R. 689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Because of these conflicting rules and since an order for the delivery of further and better particulars is primarily one of discretion to be exercised in a judicial manner, it is necessary to review each of Northern's demands and decide whether: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delivered now, or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delivered following discovery of Northern by the plaintiff, or</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particulars have already been given.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Material facts are distinct from particulars. A material fact is one that is essential in order to formulate a complete cause of action. Particulars are information which allow a party to understand the case he or she must meet. The distinction was discussed in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paras. 25 and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material fact is one that is essential in order to formulate a complete cause of action. If a material fact is omitted, a cause of action is not effectively pled. The foregoing definition of "material fact" was specifically approved by the Court of Appeal in </w:t>
      </w:r>
      <w:r>
        <w:rPr>
          <w:rFonts w:ascii="arial" w:eastAsia="arial" w:hAnsi="arial" w:cs="arial"/>
          <w:i/>
          <w:color w:val="000000"/>
          <w:sz w:val="20"/>
          <w:lang w:val="en-US" w:eastAsia="en-US" w:bidi="ar-SA"/>
        </w:rPr>
        <w:t>Skybridge Investments Ltd.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Metro Motors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 9, </w:t>
      </w:r>
      <w:hyperlink r:id="rId190"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20, </w:t>
      </w:r>
      <w:hyperlink r:id="rId191" w:history="1">
        <w:r>
          <w:rPr>
            <w:rFonts w:ascii="arial" w:eastAsia="arial" w:hAnsi="arial" w:cs="arial"/>
            <w:i/>
            <w:color w:val="0077CC"/>
            <w:sz w:val="20"/>
            <w:u w:val="single"/>
            <w:shd w:val="clear" w:color="auto" w:fill="FFFFFF"/>
            <w:lang w:val="en-US" w:eastAsia="en-US" w:bidi="ar-SA"/>
          </w:rPr>
          <w:t>64 B.C.L.R. (4th) 157</w:t>
        </w:r>
      </w:hyperlink>
      <w:r>
        <w:rPr>
          <w:rFonts w:ascii="arial" w:eastAsia="arial" w:hAnsi="arial" w:cs="arial"/>
          <w:color w:val="000000"/>
          <w:sz w:val="20"/>
          <w:lang w:val="en-US" w:eastAsia="en-US" w:bidi="ar-SA"/>
        </w:rPr>
        <w:t xml:space="preserve">. That same definition was also referred to and applied by judges of this court in </w:t>
      </w:r>
      <w:r>
        <w:rPr>
          <w:rFonts w:ascii="arial" w:eastAsia="arial" w:hAnsi="arial" w:cs="arial"/>
          <w:i/>
          <w:color w:val="000000"/>
          <w:sz w:val="20"/>
          <w:lang w:val="en-US" w:eastAsia="en-US" w:bidi="ar-SA"/>
        </w:rPr>
        <w:t>Budgell v. British Columbia</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2007 BCSC 991</w:t>
        </w:r>
      </w:hyperlink>
      <w:r>
        <w:rPr>
          <w:rFonts w:ascii="arial" w:eastAsia="arial" w:hAnsi="arial" w:cs="arial"/>
          <w:color w:val="000000"/>
          <w:sz w:val="20"/>
          <w:lang w:val="en-US" w:eastAsia="en-US" w:bidi="ar-SA"/>
        </w:rPr>
        <w:t xml:space="preserve"> at para. 8, and in </w:t>
      </w:r>
      <w:r>
        <w:rPr>
          <w:rFonts w:ascii="arial" w:eastAsia="arial" w:hAnsi="arial" w:cs="arial"/>
          <w:i/>
          <w:color w:val="000000"/>
          <w:sz w:val="20"/>
          <w:lang w:val="en-US" w:eastAsia="en-US" w:bidi="ar-SA"/>
        </w:rPr>
        <w:t>Micka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Oliver &amp; District Community Economic Development Society</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BCSC 1623</w:t>
        </w:r>
      </w:hyperlink>
      <w:r>
        <w:rPr>
          <w:rFonts w:ascii="arial" w:eastAsia="arial" w:hAnsi="arial" w:cs="arial"/>
          <w:color w:val="000000"/>
          <w:sz w:val="20"/>
          <w:lang w:val="en-US" w:eastAsia="en-US" w:bidi="ar-SA"/>
        </w:rPr>
        <w:t xml:space="preserve"> at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At the same time, though the distinction can be difficult to apply, material facts are not particulars. In </w:t>
      </w:r>
      <w:r>
        <w:rPr>
          <w:rFonts w:ascii="arial" w:eastAsia="arial" w:hAnsi="arial" w:cs="arial"/>
          <w:i/>
          <w:color w:val="000000"/>
          <w:sz w:val="20"/>
          <w:lang w:val="en-US" w:eastAsia="en-US" w:bidi="ar-SA"/>
        </w:rPr>
        <w:t>McLachlin and Taylor</w:t>
      </w:r>
      <w:r>
        <w:rPr>
          <w:rFonts w:ascii="arial" w:eastAsia="arial" w:hAnsi="arial" w:cs="arial"/>
          <w:color w:val="000000"/>
          <w:sz w:val="20"/>
          <w:lang w:val="en-US" w:eastAsia="en-US" w:bidi="ar-SA"/>
        </w:rPr>
        <w:t xml:space="preserve"> at 3-6, the authors 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a distinction between material facts and particulars. A material fact is one that is essential in order to formulate a complete cause of action. If a material fact is omitted, a cause of action is not effectively pleaded. Particulars, on the other hand, are intended to provide the defendant with sufficient detail to inform him or her of the case he or she has to meet. Particulars are provided to disclose what the pleader intends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is a difference between material facts, allegations, particulars, and evidence, which was described by the Court of Appeal in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decisions delineate the difference between what is properly the subject matter of a Demand for Particulars and what is more properly the subject matter of a Demand for Discovery or material that should be obtained on an Examination for Discovery. At the heart of the distinction between the two lies the question whether the material demanded is intended to, and does, delineate the issues between the parties, or whether it requests material relating to the way in which the issues will be proved.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Particulars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An order for delivery of particulars is primarily one of discretion to be exercised in a judicial manner, and will be made where particulars are necessary to inform a party of the case it has to meet and in order to assist it to properly prepare for trial: </w:t>
      </w:r>
      <w:r>
        <w:rPr>
          <w:rFonts w:ascii="arial" w:eastAsia="arial" w:hAnsi="arial" w:cs="arial"/>
          <w:i/>
          <w:color w:val="000000"/>
          <w:sz w:val="20"/>
          <w:lang w:val="en-US" w:eastAsia="en-US" w:bidi="ar-SA"/>
        </w:rPr>
        <w:t>G.W.L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principles relevant to the exercise of the court's discretion to order particulars were set out in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[1994] B.C.J. No. 1892</w:t>
        </w:r>
      </w:hyperlink>
      <w:r>
        <w:rPr>
          <w:rFonts w:ascii="arial" w:eastAsia="arial" w:hAnsi="arial" w:cs="arial"/>
          <w:color w:val="000000"/>
          <w:sz w:val="20"/>
          <w:lang w:val="en-US" w:eastAsia="en-US" w:bidi="ar-SA"/>
        </w:rPr>
        <w:t xml:space="preserve"> at para. 68 (S.C.)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increasing number and complexity of cases brought before our court, any steps legitimately taken to clarify the issues and reduce the length of trial must be encouraged;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to an action must frame their pleadings with certainty and they are not permitted to bring or defend an action in the hope that the claim or defence will be established by admissions on a notice to admit or at an examination for discovery. In framing their pleadings, so much as is possible and practical, the parties must set out the facts but not the evidence on which they intend to rely to prove their claim or defence;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particulars is to require a party to clarify the issues raised by the pleadings so that the opposite party may be able to properly respond to the pleadings and to properly prepare for an examination for discovery and for trial;</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examination for discovery is not a substitute for an order for particulars and an application for particulars should not be defeated by an argument that the applicant can get the same particulars by way of conducting an examination for discovery.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particulars applied for are generally only known to the party making the application, that party may be required to give discovery prior to particulars being ordered.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for delivery of particulars is one of discretion to be exercised in a judicial manner. In exercising the discretion, the justice or master must be mindful of the stage of proceedings when determining whether or not: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particulars have been given, 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delivered now, or</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given following an examination for discovery, or</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particulars should be given now and others given later following discoveries.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Types of Particulars Requested and Refusals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Particulars of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Rule 3-7(18) requires that a party alleging misrepresentations provide full particulars of each instance on which an alleged misrepresentation was made. This requires providing the factual underpinnings of the misrepresentations, which are: the nature of the misrepresentations, the circumstances in which they were made, when, how and by whom they were made, and how they were relied on to the detriment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Harris v. Ray Kissack Memorial Housing Society</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According to Rule 19(11) a plaintiff who relies on misrepresentation is required to plead "full particulars", which are to include "dates and items if applicable". See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at para. 4 (S.C.). The reference to "dates" suggests that the intent of Rule 19(11) is to require a plaintiff who pleads misrepresentation to identify for the defendant, where feasible, the particular instance or instances on which the misrepresentations were allegedly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Nissan submits that the term "misrepresentation" was interpreted in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xml:space="preserve"> to mean any type of allegation relating to "inaccurate, false or misleading" statement[s]: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xml:space="preserve">, at paras. 20-22. I do note, however, that the plaintiff in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at para. 5, explicitly claimed inducement and reliance in the statement of claim, which is slightly different from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Where the alleged misstatement is contained in a document, plaintiffs have been held to provide particulars of the specific statement[s] in the document alleged to be false or misleading. As stated in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xml:space="preserve">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my view, paragraph 30 should be particularized in order to allow the defendant to know the nature of the case he has to meet. The defendant is entitled to know which of the representations is alleged to be inaccurate, false or misleading. The plaintiff should provide this information in the manner prescribed by Rule 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Further, where misstatements are alleged to be oral or in other documents, plaintiffs have been held to provide particulars of the facts and circumstances of such alleged misstatements. As stated in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Paragraph 35 appears to refer to representations made by the defendants in some context other than the disclosure statement and related documents. The plaintiff has not pleaded what those representations were, which defendant made them, or the circumstances in which they were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plaintiff should be required to set out the representations allegedly made outside the disclosure statement and by whom. It may be that this list will resemble that currently found in paragraph 37, but that must be made clear. Further, some particularization of the circumstances of the making of each representation is required. Taken together,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Border Enterprises</w:t>
      </w:r>
      <w:r>
        <w:rPr>
          <w:rFonts w:ascii="arial" w:eastAsia="arial" w:hAnsi="arial" w:cs="arial"/>
          <w:color w:val="000000"/>
          <w:sz w:val="20"/>
          <w:lang w:val="en-US" w:eastAsia="en-US" w:bidi="ar-SA"/>
        </w:rPr>
        <w:t xml:space="preserve"> stand for the proposition that a plaintiff may not allege that a defendant had made a misrepresentation without pleading some sort of factual underpinnings for those allegations. To paraphrase Tysoe J. in </w:t>
      </w:r>
      <w:r>
        <w:rPr>
          <w:rFonts w:ascii="arial" w:eastAsia="arial" w:hAnsi="arial" w:cs="arial"/>
          <w:i/>
          <w:color w:val="000000"/>
          <w:sz w:val="20"/>
          <w:lang w:val="en-US" w:eastAsia="en-US" w:bidi="ar-SA"/>
        </w:rPr>
        <w:t>Border Enterprises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such misrepresentations were made by [any of the defendants] to [her], the [plaintiff] should be aware of the nature of each misrepresentation, when it was made, who made it, to whom it was made and how the [plaintiff] relied on it to [her] detriment.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For the reasons given earlier, and on the basis of </w:t>
      </w:r>
      <w:r>
        <w:rPr>
          <w:rFonts w:ascii="arial" w:eastAsia="arial" w:hAnsi="arial" w:cs="arial"/>
          <w:i/>
          <w:color w:val="000000"/>
          <w:sz w:val="20"/>
          <w:lang w:val="en-US" w:eastAsia="en-US" w:bidi="ar-SA"/>
        </w:rPr>
        <w:t>McEachren, Yewdale</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[1979] B.C.J. No. 302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Border Enterprises</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[2003] B.C.J. No. 36</w:t>
        </w:r>
      </w:hyperlink>
      <w:r>
        <w:rPr>
          <w:rFonts w:ascii="arial" w:eastAsia="arial" w:hAnsi="arial" w:cs="arial"/>
          <w:color w:val="000000"/>
          <w:sz w:val="20"/>
          <w:lang w:val="en-US" w:eastAsia="en-US" w:bidi="ar-SA"/>
        </w:rPr>
        <w:t xml:space="preserve"> it is my view that the plaintiff should be ordered to provide particulars as to which defendants made such a representation and the circumstances in which they were made. Once again, if a representation of the sort alleged was made to the plaintiff, she should be able to describe when, how and by whom it was made. If the representations are alleged to have been contained solely within the disclosure statement and related documents, a pleading to that effect would likely suffice. If the representations were made in some other manner, the circumstances must be pled.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Particulars Asserted Not to Be Within the Pleader's Knowledge, Better Known to Demanding Party and/ or Only Determinable on Discovery or Through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 requirement to provide particulars is not excused because the plaintiff does not have the information within his knowledge. The plaintiff must plead his claim with precision and set out the facts within his knowledge. A plaintiff is not entitled to plead generally and then embark on a fishing expedition to determine whether there are facts supportive of his position: see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at para. 77,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first argument, it is not the rule that a party has only one opportunity to provide particulars. Particulars supplied are from time to time expanded as a party grows in factual knowledge of additional circumstances surrounding the claim or defence. The rule for this plaintiff is that she must state her claim with certainty and precision setting out the facts within her knowledge and upon which she bases her claim. She is not merely to plead the conclusions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matters and then embark on a "fishing expedition" with respect to the conduct of the action to determine whether or not there are any facts to support those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Where a plaintiff seeks to assert that he is unable to provide particulars because they are not within his knowledge, and seeks to delay the provision of particulars until after discovery, the plaintiff must provide an affidavit stating: (i) he is unable to provide the specific particulars requested; and (ii) his belief that there is a basis for the allegation and the grounds for that belief: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xml:space="preserve">, at para. 50, citing Southin J. in </w:t>
      </w:r>
      <w:r>
        <w:rPr>
          <w:rFonts w:ascii="arial" w:eastAsia="arial" w:hAnsi="arial" w:cs="arial"/>
          <w:i/>
          <w:color w:val="000000"/>
          <w:sz w:val="20"/>
          <w:lang w:val="en-US" w:eastAsia="en-US" w:bidi="ar-SA"/>
        </w:rPr>
        <w:t>Proconic Electronics Ltd. v. Wong</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(1986), 67 B.C.L.R. 237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Discovery is not a substitute for particulars. A demand for particulars should not be refused on the basis that what is sought is best known to the party demanding it. As held in </w:t>
      </w:r>
      <w:r>
        <w:rPr>
          <w:rFonts w:ascii="arial" w:eastAsia="arial" w:hAnsi="arial" w:cs="arial"/>
          <w:i/>
          <w:color w:val="000000"/>
          <w:sz w:val="20"/>
          <w:lang w:val="en-US" w:eastAsia="en-US" w:bidi="ar-SA"/>
        </w:rPr>
        <w:t>G.W.L</w:t>
      </w:r>
      <w:r>
        <w:rPr>
          <w:rFonts w:ascii="arial" w:eastAsia="arial" w:hAnsi="arial" w:cs="arial"/>
          <w:color w:val="000000"/>
          <w:sz w:val="20"/>
          <w:lang w:val="en-US" w:eastAsia="en-US" w:bidi="ar-SA"/>
        </w:rPr>
        <w:t>. at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Discovery is not a substitute for particulars. The contention that what is demanded can be obtained, or that it has been obtained, on discovery is no reason to refuse particulars properly sought. ... A party is entitled to know what case is made against it when (whether before or after discovery) the other side is in a position to give particulars of the facts it will prove at trial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Particulars may still be required where the information may subsequently be provided through expert evidence. As stated in </w:t>
      </w:r>
      <w:r>
        <w:rPr>
          <w:rFonts w:ascii="arial" w:eastAsia="arial" w:hAnsi="arial" w:cs="arial"/>
          <w:i/>
          <w:color w:val="000000"/>
          <w:sz w:val="20"/>
          <w:lang w:val="en-US" w:eastAsia="en-US" w:bidi="ar-SA"/>
        </w:rPr>
        <w:t>The Owners, Strata Plan BCS 1348 v. WVC Phase III Limited Partnership</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2016 BCSC 1053</w:t>
        </w:r>
      </w:hyperlink>
      <w:r>
        <w:rPr>
          <w:rFonts w:ascii="arial" w:eastAsia="arial" w:hAnsi="arial" w:cs="arial"/>
          <w:color w:val="000000"/>
          <w:sz w:val="20"/>
          <w:lang w:val="en-US" w:eastAsia="en-US" w:bidi="ar-SA"/>
        </w:rPr>
        <w:t xml:space="preserve"> at paras. 3 and 4 [</w:t>
      </w:r>
      <w:r>
        <w:rPr>
          <w:rFonts w:ascii="arial" w:eastAsia="arial" w:hAnsi="arial" w:cs="arial"/>
          <w:i/>
          <w:color w:val="000000"/>
          <w:sz w:val="20"/>
          <w:lang w:val="en-US" w:eastAsia="en-US" w:bidi="ar-SA"/>
        </w:rPr>
        <w:t>Strata Plan BCS 1348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For the most part I am satisfied that particulars sought ought to be provided because they are necessary to narrow the issues and, as was said in </w:t>
      </w:r>
      <w:r>
        <w:rPr>
          <w:rFonts w:ascii="arial" w:eastAsia="arial" w:hAnsi="arial" w:cs="arial"/>
          <w:i/>
          <w:color w:val="000000"/>
          <w:sz w:val="20"/>
          <w:lang w:val="en-US" w:eastAsia="en-US" w:bidi="ar-SA"/>
        </w:rPr>
        <w:t>Harris v. Ray Kissack Memorial Housing Society</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to tie the hands of the plaintiff so that it cannot, without leave, go into any matters not particularized. HBH needs to know, with some degree of precision, what it is that it is alleged to have done wrong.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I appreciate that most of the expert reports have been produced already and they address HBH's work on the project, but I agree with Ms. Bryden that what Mr. Justice Lowry said in G.</w:t>
      </w:r>
      <w:r>
        <w:rPr>
          <w:rFonts w:ascii="arial" w:eastAsia="arial" w:hAnsi="arial" w:cs="arial"/>
          <w:i/>
          <w:color w:val="000000"/>
          <w:sz w:val="20"/>
          <w:lang w:val="en-US" w:eastAsia="en-US" w:bidi="ar-SA"/>
        </w:rPr>
        <w:t>W.L. Properties v. W.R. Grace Co.</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1993 CanLII 187</w:t>
        </w:r>
      </w:hyperlink>
      <w:r>
        <w:rPr>
          <w:rFonts w:ascii="arial" w:eastAsia="arial" w:hAnsi="arial" w:cs="arial"/>
          <w:color w:val="000000"/>
          <w:sz w:val="20"/>
          <w:lang w:val="en-US" w:eastAsia="en-US" w:bidi="ar-SA"/>
        </w:rPr>
        <w:t xml:space="preserve"> (S.C.) is applicable. He was saying it with respect to discovery, but I think the same thing can be said with respect to expert evidence. Simply, evidence is not a substitute for particulars. The fact that HBH has some knowledge of what the evidence is going to be is not the point. Nor is the fact that expert evidence is going to be required to prove the allegations. Particulars serve a different purpose. Expert evidence is the proof; the particulars define the issue.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Particulars of Party's Alleged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previous case law, a party alleging that another party "knew or ought to have known" of a product's alleged hazards by reason of past incidents, events, representations, and documents was ordered to provide particulars of the alleged means of knowledge. In </w:t>
      </w:r>
      <w:r>
        <w:rPr>
          <w:rFonts w:ascii="arial" w:eastAsia="arial" w:hAnsi="arial" w:cs="arial"/>
          <w:i/>
          <w:color w:val="000000"/>
          <w:sz w:val="20"/>
          <w:lang w:val="en-US" w:eastAsia="en-US" w:bidi="ar-SA"/>
        </w:rPr>
        <w:t>G.W.L.</w:t>
      </w:r>
      <w:r>
        <w:rPr>
          <w:rFonts w:ascii="arial" w:eastAsia="arial" w:hAnsi="arial" w:cs="arial"/>
          <w:color w:val="000000"/>
          <w:sz w:val="20"/>
          <w:lang w:val="en-US" w:eastAsia="en-US" w:bidi="ar-SA"/>
        </w:rPr>
        <w:t>, at pp. 7-12, Lowry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then, to consider what particulars are necessary and ought to be given in respect of the facts pleaded by Grace in the context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Grace pleads that, at times which are material, the owners or their predecessor companies, that designed and constructed the buildings, and the Workers' Compensation Board that allowed the insulation to be used, knew, or ought to have known, that the product installed contained asbestos, asbestos could be hazardous to human health in certain circumstances, and asbestos-free products were available. It is pleaded they knew, or ought to have known, because: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Advice: They were advised accordingly by salesmen and other employees of companies that are now part of the Grace group of companies and by salesmen and employees of other entities.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owners seek particulars of the names of the persons who gave and who received the advice, by whom they were employed, when and where the advice was given, and the nature of the advice.</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 There was advertising and promotional material circulated by companies that are now part of the Grace group and by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owners seek particulars of the titles of the material, the times and places of publication and circulation, the persons who published and circulated the material, and the subject matter of each publication.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Publicity: There was, at all material times, wide publicity about the possible effects in certain circumstances of asbestos fibre on human health. There was publicity of a controversy with respect to one building constructed in Vancouver in 1971 concerning the possible health effects of using an asbestos-containing product. There was publicity about using asbestos-free products manufactured by Grace in other projects.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owners seek particulars of the nature of the publicity, the method of dissemination, the possible effects on human health, and the circumstances under which asbestos fibres could have an effect. They seek particulars of the nature of the controversy in 1971 and of the publicity including any publications about the incident. They have demanded particulars sufficient to identify the projects where asbestos-free products were used and the nature of the associated publicity.</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Knowledge: Concerns about the possible effects in certain circumstances of asbestos fibres on human health were a matter of common knowledge at all material times. The owners seek particulars of the nature of the knowledge, the character of the effects, and the circumstances.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Board: The WCB conducted inspections and testing at construction sites where the product containing asbestos was being applied and found the levels of air-borne asbestos to be within the applicable standards. It supervised the application of an asbestos-free product in one instance. It organized conferences, seminars, and courses as well as distributing publications, notices, and other information that related to the possible health effects of asbestos fibres.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owners seek particulars of the construction sites where the inspection and testing was done, the dates, the persons involved, the nature of the tests and inspections, the results, and the applicable standards. They seek particulars of the WCB's supervision of an asbestos-free product: the Board's involvement, the persons involved, the dates, the amount of product applied and where it was applied, and the name of the applicator. The owners also seek particulars of when and where the conferences, seminars, and courses were held and the subject matter of each. They seek particulars of when and where the publications and notices were published, the titles, and the subject matter. They seek as well some identification of the other information distributed by the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Grace says the material fact is that the owners, their predecessors, or the WCB, had, or ought to have had, knowledge of the nature of the insulation product and the availability of other products. Grace has pleaded the means of knowledge and is not required to plead more: the means need not be particularized. To do so, Grace says, would be to plead evidence or the mode by which the material fact is to be proven. Pleadings are to be a brief summary of material facts; the evidence in support is to be ascertained by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distinction Grace would [draw]. It appears to me that what the owners seek are, in large measure, facts that are material to the defence that Grace raises. The owners seek a statement of the facts that Grace must prove if the defence is to succeed. They do not seek the evidence by which the facts will be proven. For example, the owners are faced with a broad allegation that they knew the nature of the insulation and the existence of alternatives because they, or their predecessor companies, were given advice to that effect some time during the last 30 years or more. They seek the facts Grace must prove: what the advice was and when and by whom the advice was given, and, for that matter, by whom it was received. They do not seek the evidence by which those facts will be proven: the testimony to be given by the persons who gave the advice or the persons who received it or other persons who may have heard the advice being given, ie., the mode of proof. It may of course be that the mode of proof will, in any given instance, be obvious from the particulars given, but that is not a reason for refusing particulars as long as what is sought are facts that are intended, and will serve, to delineate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many of the facts sought are necessary to inform the owners of the case they have to meet and to enable them to properly prepare for trial. They need to tie Grace's hands: they need a statement of specifically what Grace will prove was the means whereby the alleged knowledge was or ought to have been acquired. Discretion should be exercised in favour of requiring Grace to provide the owners with a statement of facts that makes clear what advice, publications, publicity, and common knowledge it is that are material and that Grace will prove to establish its defence. In this case it is imperative that efforts be made to ensure the issues to be tried are focused and the element of surprise minimized. It is time for Grace to particularize the facts material to establishing the owners' knowledge of the product and the alternatives available with which the parties and the court will be concerned at the trial. In my view, the need for particulars in this regard will be met by Grace stating the following facts to the extent that such are to be proven at trial:</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advice that was given, the dates, the persons involved and in what capacity they were employed;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titles, the source, and the dates of the published material;</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possible effects on human health and the certain circumstances that were the subject of the publicity and the common knowledge that existed at all material times;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projects that were the source of publicity concerning the use of asbestos-free products and the content of the publicity associated with 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same token the owners are also entitled to a statement of the following:</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 where the WCB inspections and testing were undertaken when Grace's product containing asbestos was being applied;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 where the WCB conferences, seminars, and courses were organized and what and when publications, notices, and other materials were distributed which included discussion of the possible health effects of asbestos fibres.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McLachlin and Taylor</w:t>
      </w:r>
      <w:r>
        <w:rPr>
          <w:rFonts w:ascii="arial" w:eastAsia="arial" w:hAnsi="arial" w:cs="arial"/>
          <w:color w:val="000000"/>
          <w:sz w:val="20"/>
          <w:lang w:val="en-US" w:eastAsia="en-US" w:bidi="ar-SA"/>
        </w:rPr>
        <w:t xml:space="preserve"> where the authors state as follows at pages 396 and 3118: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defendants in hazardous products litigation were alleged by the plaintiffs to have had several means of knowledge of the potential hazards associated with their products, the chambers judge held that particulars as to the advice, publications, publicity and common knowledge alleged to be means of knowledge were material facts rather than evidence. The chambers judge ordered that the defendants provide those particulars because they were necessary to inform the plaintiffs of the case they had to meet and to enable them to properly prepare for trial; see </w:t>
      </w:r>
      <w:r>
        <w:rPr>
          <w:rFonts w:ascii="arial" w:eastAsia="arial" w:hAnsi="arial" w:cs="arial"/>
          <w:i/>
          <w:color w:val="000000"/>
          <w:sz w:val="20"/>
          <w:lang w:val="en-US" w:eastAsia="en-US" w:bidi="ar-SA"/>
        </w:rPr>
        <w:t>G.W.L. Properties Ltd. v. W.R. Grace &amp; Co.- Conn.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[1993] B.C.J. No. 1062</w:t>
        </w:r>
      </w:hyperlink>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79 B.C.L.R. (2d) 126</w:t>
        </w:r>
      </w:hyperlink>
      <w:r>
        <w:rPr>
          <w:rFonts w:ascii="arial" w:eastAsia="arial" w:hAnsi="arial" w:cs="arial"/>
          <w:color w:val="000000"/>
          <w:sz w:val="20"/>
          <w:lang w:val="en-US" w:eastAsia="en-US" w:bidi="ar-SA"/>
        </w:rPr>
        <w:t xml:space="preserve"> (S.C.). See too, </w:t>
      </w:r>
      <w:r>
        <w:rPr>
          <w:rFonts w:ascii="arial" w:eastAsia="arial" w:hAnsi="arial" w:cs="arial"/>
          <w:i/>
          <w:color w:val="000000"/>
          <w:sz w:val="20"/>
          <w:lang w:val="en-US" w:eastAsia="en-US" w:bidi="ar-SA"/>
        </w:rPr>
        <w:t>Reid v. British Columbia (Egg Marketing Board)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[2002] B.C.J. No. 1861</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23 C.P.C. (5th) 127</w:t>
        </w:r>
      </w:hyperlink>
      <w:r>
        <w:rPr>
          <w:rFonts w:ascii="arial" w:eastAsia="arial" w:hAnsi="arial" w:cs="arial"/>
          <w:color w:val="000000"/>
          <w:sz w:val="20"/>
          <w:lang w:val="en-US" w:eastAsia="en-US" w:bidi="ar-SA"/>
        </w:rPr>
        <w:t xml:space="preserve"> (S.C.), in which the chambers judge decided, on a consideration of </w:t>
      </w:r>
      <w:r>
        <w:rPr>
          <w:rFonts w:ascii="arial" w:eastAsia="arial" w:hAnsi="arial" w:cs="arial"/>
          <w:i/>
          <w:color w:val="000000"/>
          <w:sz w:val="20"/>
          <w:lang w:val="en-US" w:eastAsia="en-US" w:bidi="ar-SA"/>
        </w:rPr>
        <w:t>G.W.L. Properties Ltd. v. W.R. Grace &amp; Co.-Conn.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paragraphs in a statement of claim (now the facts and relief portion of a notice of civil claim) that set out the history of the organic egg industry in British Columbia, dealings over the years between the organic egg producers and graders and the Egg Marketing Board, alleged actions and efforts by the Board to injure the organic egg industry, and the harm said to have been done as a result, similarly set out the essentials of the case the Board had to meet.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broad statement of the function of pleadings has also been adopted in </w:t>
      </w:r>
      <w:r>
        <w:rPr>
          <w:rFonts w:ascii="arial" w:eastAsia="arial" w:hAnsi="arial" w:cs="arial"/>
          <w:i/>
          <w:color w:val="000000"/>
          <w:sz w:val="20"/>
          <w:lang w:val="en-US" w:eastAsia="en-US" w:bidi="ar-SA"/>
        </w:rPr>
        <w:t>Hayes Heli-Log Services Ltd. v. Aero Aerospace Inc. - Acro Aerospatiale Inc.</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[2006] B.C.J. No. 74</w:t>
        </w:r>
      </w:hyperlink>
      <w:r>
        <w:rPr>
          <w:rFonts w:ascii="arial" w:eastAsia="arial" w:hAnsi="arial" w:cs="arial"/>
          <w:color w:val="000000"/>
          <w:sz w:val="20"/>
          <w:lang w:val="en-US" w:eastAsia="en-US" w:bidi="ar-SA"/>
        </w:rPr>
        <w:t>, 24 C.P.C. (6th) 312 (S.C.),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at paras. 9, 37, and appendix para. 5(c).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Particulars of Unidentified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Rule 3-7(2) provides that the effect of any document referred to in a pleading must be stated. This suggests that a document cannot be alleged in a pleading without being identified. Thus, that rule states: "The effect of any document ... referred to in a pleading, if material, must be stated briefly and the precise words of the documents ... must not be stated, except insofar as those words are themselves material." Thus, if it is material, the document must be identified. If it is not material, the party should not be referring to the document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Additionally, in numerous cases, judges of this Court have relied upon the principles of particulars generally to order parties to provide particulars of documents referenced in pleadings. See, for example: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Strata Plan BCS 1348</w:t>
      </w:r>
      <w:r>
        <w:rPr>
          <w:rFonts w:ascii="arial" w:eastAsia="arial" w:hAnsi="arial" w:cs="arial"/>
          <w:color w:val="000000"/>
          <w:sz w:val="20"/>
          <w:lang w:val="en-US" w:eastAsia="en-US" w:bidi="ar-SA"/>
        </w:rPr>
        <w:t>, at para. 6: alleged non-compliant drawings, specifications, change orders and site directions;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at para. 82: data, measurements and photographic evidence, and school, employment and tax records alleged not to have been collected or assembled;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G.W.L.</w:t>
      </w:r>
      <w:r>
        <w:rPr>
          <w:rFonts w:ascii="arial" w:eastAsia="arial" w:hAnsi="arial" w:cs="arial"/>
          <w:color w:val="000000"/>
          <w:sz w:val="20"/>
          <w:lang w:val="en-US" w:eastAsia="en-US" w:bidi="ar-SA"/>
        </w:rPr>
        <w:t>, at page 11: titles and dates of published scientific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will break down each of the paragraphs of the ANOCC, setting out the outstanding demands, the positions of the parties, and my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Nissan seeks further and better particulars of the following material facts and allegations from para. 18 of the ANOCC which reads: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Plaintiff fell into a category of passengers referred to in the automotive industry literature as the Forgotten Children (the "Forgotten Children"). The term includes children who have outgrown boosters seats but are too small to be safely restrained in systems and/or seat belts designed for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Nissan demands particulars of the age, weight, and height, or range of age, weight, and height, of the cohort of children whom the plaintiff alleges are "Forgotten Children" and "have outgrown booster seats, but are too small to be safely restrained in restraint systems and/or seat belts designed for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provided particulars in the First Response Letter advising that the literature provided a range of different ages and that the size range included any child who is: "too large to fit in a booster seat as recommended by booster seat manufacturers, automotive industry/child safety literature, and/or government regulation and guidelines; and [s]maller in height than the 50th percentile adult 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Nissan's position is that it needs the specific range of ages, weights and heights so that it can properly prepare for trial. They provide the example of needing this information so that Nissan can conduct modelling, testing, or analysis of the impugned seat belt or the alleged alternative designs.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the particulars sought should be provided. I agree that Nissan should not be required to guess what the age ranges are, what the various entities or literature, such as booster seat manufacturers or automotive child safety literature, specify, and what the particular percentile guidelines are. For example, the description of the "50th percentile adult male" is vague and general. Without specifics, Nissan will be impeded in its ability to prepare for discovery and trial, and to obtain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the circumstances, particularization of these claims is necessary and consistent with the functions set out in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such as limiting the generality of the pleadings and preventing the other side from being taken by surprise. Moreover, it is consistent with the underlying principles of efficiency and fairness.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Nissan seeks further and better particulars of the following material facts and allegations from paras. 16-18 of the ANOCC. Paragraph 18 has been cited above, and paras. 16 and 17 read:</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Plaintiff was nine years old and a passenger in the rear seat on the driver side of the Pathfinder.</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Plaintiff was inadequately restrained in a three-point seat belt in the rear of the Pathfinder.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Nissan demanded particulars of the plaintiff's height and weight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responded to this request in the Second Response Letter advising that he did not know the exact height and weight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Nissan's position is that this response was non-responsive and that the plaintiff's claims centre on the allegation that this plaintiff was of a height and weight which made him too large for booster seats but too small to fit in the Pathfinder's seat belts. There is a further allegation that this plaintiff falls within the category of Forgotten Children, and as such, the plaintiff's height and weight are material and critical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Nissan disputes that it should have to review the documents to try and discern what the plaintiff's height and weight were at the time of the Collision. Nissan needs this information to defend the claim and to perform crash modelling, testing, or analysis of the impugned seat belt or alleged alternative designs.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agree that this information is crucial to this case. The problem is that the plaintiff advises that he does not know this information and suggests that this would be best obtained from his parents. His parents are both defendants in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the case management judge, I direct that the parties reach an agreement on the particular height and weight or range of height and weight of this plaintiff on the date of the Collision. Once an agreement is reached between the parties, the experts retained can all proceed on the same factual footing. Should this become an issue, it can be raised at the next case management conference in the Consolidated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Nissan seeks further and better particulars of the following material facts and allegations from para. 36 of the ANOCC. Paragraph 36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Automotive Defendants singly or in combination knew or should have known that automotive industry literature as early as 1994 identified the defects in the restraint systems and/or seat belts for children. The defects were identified by Meisner, U.; Stephens, G., and L. Alfredson, in </w:t>
      </w:r>
      <w:r>
        <w:rPr>
          <w:rFonts w:ascii="arial" w:eastAsia="arial" w:hAnsi="arial" w:cs="arial"/>
          <w:i/>
          <w:color w:val="000000"/>
          <w:sz w:val="20"/>
          <w:lang w:val="en-US" w:eastAsia="en-US" w:bidi="ar-SA"/>
        </w:rPr>
        <w:t>Children in Restraints</w:t>
      </w:r>
      <w:r>
        <w:rPr>
          <w:rFonts w:ascii="arial" w:eastAsia="arial" w:hAnsi="arial" w:cs="arial"/>
          <w:color w:val="000000"/>
          <w:sz w:val="20"/>
          <w:lang w:val="en-US" w:eastAsia="en-US" w:bidi="ar-SA"/>
        </w:rPr>
        <w:t xml:space="preserve"> (38th Annual Proceedings, Association for the Advancement of Automotive Medicine, 1994, Lyon, France). The authors stated that shoulder belts pass over the necks of children and that children were likely to move the shoulder belt behind their torso, to the opposite shoulder, under their arms, or away from their body when faced with the improperly fitted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Nissan sought particulars of all the other "automobile industry literature" alleged to identify the alleged defects in restraint systems and/or seat belts for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responded in the First Response Letter asserting that this demand was seeking evidence upon which the plaintiff will be relying to prove his claim, and as such, was not properly subject to particulars. Further, the plaintiff wrote that the literature was in the public domain, and was generally known and available to the Nissan defendants. The plaintiff provided references to two articles by Bidez, 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responded in the Second Response Letter further asserting that the specific automotive industry literature would be the evidence of the allegation, and as such, particulars of evidence need not be provided. He further asserts that the Nissan defendants had the knowledge of what literature it did or did not know and that this will be an area explored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Nissan's position is that the particulars are needed to inform it of the case it must meet, to prevent it from being surprised at trial, to delineate the issues, and to limit the pleadings. It further asserts that these particulars are needed to allow Nissan to conduct document discovery, prepare for discovery, and retain and instruct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plaintiff's position that the documents are in the public realm, Nissan asserts that it should not be forced to search the public realm and that it is entitled to know the case being made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agree that it is necessary that the literature that the plaintiff is relying upon to support this assertion is identified. It may well be that in the future, as a result of information provided by experts or arising from the discovery process, further literature is identified. The plaintiff is not restrained to only the literature listed in the answer to these particulars, as Rule 3-7(20) provides that particulars need only be pleaded to the extent that they are known at the date of the pleading.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Nissan seeks further and better particulars of the following allegations from para. 46 of the ANOCC. Paragraph 46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Automotive Defendants knew or ought to have known that their restraint systems and/or seat belts failed to protect children. By 1999 the Automotive Defendants singly or in combination knew or ought to have known that many children from ages 4 to 15 had been injured or killed every year in collisions because they were too small to be protected effectively by restraint systems and/or seat belts designed for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Nissan seeks particulars of each collision in which the plaintiff alleges a child was injured or killed while a passenger in a vehicle manufactured and sold by the Nissan defendants due to allegedly unsafe restraint systems and/or seat belts, by providing the following:</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the collision;</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collision;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child injured or killed;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of the child;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weight of the child;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seating positon of the child;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collision;</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injuries suffered by the child;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child was unrestrained or, if restrained in a car seat, a booster seat or a seat belt alone;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model and model year of the Nissan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in his First Response Letter advised that this was seeking evidence and therefore not appropriate. He further points out that the Nissan defendants would have this detailed information and that further information can be provided following the examinations for discovery of the Nissan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in his Second Response Letter advised that the reference to children being killed or injured because they are too small for the safety restraint system refers to the automotive industry in general and not specifically to the subject Pathfinder model or other Nissan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Nissan asserts that this paragraph alleges that it knew or ought to have known that many children are killed or injured every year in Nissan vehicles due to defective seat belts. The particulars are needed to inform Nissan of the case it must meet, to prevent it from being surprised at trial, to delineate the issues, to limit the pleadings, and to allow Nissan to conduct discovery, prepare for discovery, and retain and instruct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Nissan submits that this is asserting a means of knowledge based on prior incidents, and as such, the plaintiff must provide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With respect to the request to delay the production of the particulars until after discovery, the plaintiff has failed to adduce any affidavit evidence substantiating its belief in this allegation, which is required before the court should permit a delay: see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for the plaintiff, in his submissions, explained that this allegation is not asserting that Nissan knew of every accident, but that it is made in the context of the Blue Ribbon Panel, of which Mr. Robert Strassburger, Corporate Manager of Technical Affairs for Nissan North America, was a member. The allegation is based on the 1999 report of the Blue Ribbon Panel, whose mission, as submitted by counsel, was "to recommend ways to increase the proper use of seat belts for people ages 4 through 15". From this we can then infer that by 1999, there was an acknowledged problem with respect to seat belt wearing, and Nissan knew or ought to have known about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not agree that the plaintiff must provide particulars of every accident it alleges that Nissan knew of. The allegation relates to the general level of knowledge in 1999, as referenced in the Blue Ribbon Panel Report as stated by plaintiff's counsel. As a result, it is not necessary that Nissan have particulars on this assertion at this point. Furthermore, particularization of these details at this point would be disproportionate to the efficiency of these proceedings and would do relatively little in limiting the issues to be tried and in informing Nissan of the case it must meet.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Nissan seeks further and better particulars of the following allegations from para. 47 of the ANOCC. Paragraph 47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After the release of the Blue Ribbon Panel's recommendations, the Automotive Defendants, singly or in combination conducted studies on restraint systems/or seat belts. The results showed the restraint systems and/or seat belts were defective because they failed to safely restrain and protect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Nissan seeks particulars of:</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manner of the "studies" alleged to have been conducted by the Nissan defendants;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dates(s) of the alleged studies;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Nissan defendant alleged to have conducted the alleged studies;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alleged studies related to the subject Pathfinder Seatbelt specifically or restraint systems and seatbelts in Nissan vehicles generally;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manner in which the alleged studies "showed the restraint systems and/or seatbelts were defective because they failed to safely restrain and protect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in the Second Response Letter, asserts that the particulars demanded are either information or knowledge that is solely in the Nissan defendants' possession and/or evidence or arguments to be tendered or made by the plaintiff in support of its allegations. Since the plaintiff does not know that safety studies were done or their results, unless publicized, this is to be explored during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advised that he was not making the allegation that the Nissan defendants performed and publicized studies that showed that restraint systems were defective and failed to protect children. The plaintiff points out that this allegation was denied by the Nissan defendants in their response to the NOCC in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asserts that in respect of testing done by Nissan, the information would be the exclusive knowledge of Nissan unless the studies were published. The plaintiff has listed all studies he has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Nissan asserts that it needs this information on the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xml:space="preserve"> principles, and that in essence, the plaintiff is on a fishing expedition, hoping to compel production of studies with the aim of finding evidence against Nissan contrary to principles set out in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Based on the plaintiff's counsel's assurance that the plaintiff has listed any studies he currently has in his possession, I accept that whether Nissan conducted studies is a matter within its exclusive knowledge, and as such, in these circumstances the particulars of the "studies" should be provided only after:</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Nissan has responded to the plaintiff's demands for studies conducted by Nissan in the November 8, 2017 letter demanding additional documents;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of the Nissan representative(s) has been conducted.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Demands #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Nissan seeks particulars of paras. 58 and 59, cited above,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manner in which the Nissan defendants or any of them allegedly "misled" purchasers, owners and users of the Pathfinder to believe that the rear seats of the Pathfinder were equipped with pretensioners;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alleges that the Nissan defendants or any of them made any written statements alleged to be misleading, provide particulars of the following:</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description and title of the document(s) alleged to contain the alleged misleading statements;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date(s) the document (s) was/were published or issued by the Nissan defendants;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exact written words or statements in such documents alleged to be misleading.</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alleges that the Nissan defendants or any of them made any verbal statements alleged to be misleading, provide particulars of the following:</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maker(s) of the alleged verbal misstatement(s);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recipient(s) of the alleged verbal misstatement, if any;</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date(s) on which the alleged verbal misstatements were made; and</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exact words or statements alleged to be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responded in the First Response Letter that the Nissan defendants implicitly and/or explicitly marketed the Pathfinder as a safe vehicle for children through television and print advertisements, marketing material in dealerships, and on their website(s). Such marketing included:</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Explicit references to prospective owners' families;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children in photographs included in promotional materials for the Pathfinder and in sections of Nissan's website dealing with safety;</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Highlighting "Child Safety" in the sections of promotional materials for the Pathfinder dealing with safety features;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References to "U.S. NHTSA-certified 'Child Passenger Safety' technicians" in promotional materials for the Pathfinder;</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References in promotional materials to the Pathfinder's "five star" safety rating;</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Oral representations by sales representatives and other agents of the Nissan defendants;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as are within the knowledge of Nissan defendants and as the plaintiff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Nissan takes the position that paras. 58 and 59 of the ANOCC are allegations that Nissan intentionally misled the public and Pathfinder owners respecting the safety of the Pathfinder in Nissan's advertising materials. This allegation is tied to the claim made by the plaintiff for punitive and aggravated damages. As a result Nissan submits this is equivalent to a fraud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Nissan further submits that these paragraphs are claiming that misrepresentations were made by Nissan that "misled the purchaser, owner, and/or users of the Pathfinder...", and as such, particulars of the misrepresentations must be provided under Rule 3-7(18).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Nissan further submits that since the plaintiff is alleging that certain documents were false or misleading, the plaintiff must provide particulars of the documents alleged to contain the misstatements, including the alleged misleading passages in the Pathfinder owner's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Lastly, Nissan submits that the allegation of an oral misrepresentation requires that the particulars of the misrepresentations be provided and the circumstances of such be in accordance with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at para.11; see also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submits that the only causes of action advanced in the ANOCC are of negligent design, manufacture, and failure to warn. The plaintiff contends that he is not alleging the tort of negligent or fraudulent misrepresentation, and moreover, the success or failure of his claim does not turn on the existence or content of specific misrepresentations by Nissan or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further submits that to "mislead" (the wording used in the ANOCC) is not akin to a misrepresentation as contemplated by Rule 3-7(18), and that "misleading" may be done through omission, misdirection, or implicit suggestion to cause the wrong impression; whereas, "misrepresentation" involves a positive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cause of action for breaching the duty to warn was described by Mr. Justice La Forest in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It is well established in Canadian law that a manufacturer of a product has a duty in tort to warn consumers of dangers inherent in the use of its product of which it has knowledge or ought to have knowledge. This principle was enunciated by Laskin J. (as he then was), for the Court, in Lambert v. Lastoplex Chemicals Co., </w:t>
      </w:r>
      <w:hyperlink r:id="rId457" w:history="1">
        <w:r>
          <w:rPr>
            <w:rFonts w:ascii="arial" w:eastAsia="arial" w:hAnsi="arial" w:cs="arial"/>
            <w:i/>
            <w:color w:val="0077CC"/>
            <w:sz w:val="20"/>
            <w:u w:val="single"/>
            <w:shd w:val="clear" w:color="auto" w:fill="FFFFFF"/>
            <w:lang w:val="en-US" w:eastAsia="en-US" w:bidi="ar-SA"/>
          </w:rPr>
          <w:t>[1972] S.C.R. 569</w:t>
        </w:r>
      </w:hyperlink>
      <w:r>
        <w:rPr>
          <w:rFonts w:ascii="arial" w:eastAsia="arial" w:hAnsi="arial" w:cs="arial"/>
          <w:color w:val="000000"/>
          <w:sz w:val="20"/>
          <w:lang w:val="en-US" w:eastAsia="en-US" w:bidi="ar-SA"/>
        </w:rPr>
        <w:t>, at p. 574, where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Manufacturers owe a duty to consumers of their products to see that there are no defects in manufacture which are likely to give rise to injury in the ordinary course of use. Their duty does not, however, end if the product, although suitable for the purpose for which it is manufactured and marketed, is at the same time dangerous to use; and if they are aware of its dangerous character they cannot, without more, pass the risk of injury to the consumer.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to warn is a continuing duty, requiring manufacturers to warn not only of dangers known at the time of sale, but also of dangers discovered after the product has been sold and delivered; see Rivtow Marine Ltd. v. Washington Iron Works, </w:t>
      </w:r>
      <w:hyperlink r:id="rId458"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at p. 1200, per Ritchie J. All warnings must be reasonably communicated, and must clearly describe any specific dangers that arise from the ordinary use of the product; see, for example, Setrakov Construction Ltd. v. Winder's Storage &amp; Distributors Ltd. </w:t>
      </w:r>
      <w:hyperlink r:id="rId459" w:history="1">
        <w:r>
          <w:rPr>
            <w:rFonts w:ascii="arial" w:eastAsia="arial" w:hAnsi="arial" w:cs="arial"/>
            <w:i/>
            <w:color w:val="0077CC"/>
            <w:sz w:val="20"/>
            <w:u w:val="single"/>
            <w:shd w:val="clear" w:color="auto" w:fill="FFFFFF"/>
            <w:lang w:val="en-US" w:eastAsia="en-US" w:bidi="ar-SA"/>
          </w:rPr>
          <w:t>(1981), 11 Sask. R. 286</w:t>
        </w:r>
      </w:hyperlink>
      <w:r>
        <w:rPr>
          <w:rFonts w:ascii="arial" w:eastAsia="arial" w:hAnsi="arial" w:cs="arial"/>
          <w:color w:val="000000"/>
          <w:sz w:val="20"/>
          <w:lang w:val="en-US" w:eastAsia="en-US" w:bidi="ar-SA"/>
        </w:rPr>
        <w:t xml:space="preserve"> (C.A.); Meilleur v. U.N.I.-Crete Canada Ltd. </w:t>
      </w:r>
      <w:hyperlink r:id="rId460" w:history="1">
        <w:r>
          <w:rPr>
            <w:rFonts w:ascii="arial" w:eastAsia="arial" w:hAnsi="arial" w:cs="arial"/>
            <w:i/>
            <w:color w:val="0077CC"/>
            <w:sz w:val="20"/>
            <w:u w:val="single"/>
            <w:shd w:val="clear" w:color="auto" w:fill="FFFFFF"/>
            <w:lang w:val="en-US" w:eastAsia="en-US" w:bidi="ar-SA"/>
          </w:rPr>
          <w:t>(1985), 32 C.C.L.T. 126</w:t>
        </w:r>
      </w:hyperlink>
      <w:r>
        <w:rPr>
          <w:rFonts w:ascii="arial" w:eastAsia="arial" w:hAnsi="arial" w:cs="arial"/>
          <w:color w:val="000000"/>
          <w:sz w:val="20"/>
          <w:lang w:val="en-US" w:eastAsia="en-US" w:bidi="ar-SA"/>
        </w:rPr>
        <w:t xml:space="preserve"> (Ont. H.C.); Skelhorn v. Remington Arms Co. (1989), </w:t>
      </w:r>
      <w:hyperlink r:id="rId461" w:history="1">
        <w:r>
          <w:rPr>
            <w:rFonts w:ascii="arial" w:eastAsia="arial" w:hAnsi="arial" w:cs="arial"/>
            <w:i/>
            <w:color w:val="0077CC"/>
            <w:sz w:val="20"/>
            <w:u w:val="single"/>
            <w:shd w:val="clear" w:color="auto" w:fill="FFFFFF"/>
            <w:lang w:val="en-US" w:eastAsia="en-US" w:bidi="ar-SA"/>
          </w:rPr>
          <w:t>69 Alta. L.R. (2d) 298</w:t>
        </w:r>
      </w:hyperlink>
      <w:r>
        <w:rPr>
          <w:rFonts w:ascii="arial" w:eastAsia="arial" w:hAnsi="arial" w:cs="arial"/>
          <w:color w:val="000000"/>
          <w:sz w:val="20"/>
          <w:lang w:val="en-US" w:eastAsia="en-US" w:bidi="ar-SA"/>
        </w:rPr>
        <w:t xml:space="preserve"> (C.A.); McCain Foods Ltd. v. Grand Falls Industries Ltd. </w:t>
      </w:r>
      <w:hyperlink r:id="rId462" w:history="1">
        <w:r>
          <w:rPr>
            <w:rFonts w:ascii="arial" w:eastAsia="arial" w:hAnsi="arial" w:cs="arial"/>
            <w:i/>
            <w:color w:val="0077CC"/>
            <w:sz w:val="20"/>
            <w:u w:val="single"/>
            <w:shd w:val="clear" w:color="auto" w:fill="FFFFFF"/>
            <w:lang w:val="en-US" w:eastAsia="en-US" w:bidi="ar-SA"/>
          </w:rPr>
          <w:t>(1991), 116 N.B.R. (2d) 22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This can be distinguished from the tort of negligent misrepresentation that was described by the Court in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73-74: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 for negligent misrepresentation was first recognized by the decision of the House of Lords in Hedley Byrne, supra. The ingredients of a negligent misrepresentation set out in that case remain good law today. To quote from the speech of Lord Morris (at pp. 502-3):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Lords, I consider that it follows and that it should now be regarded as settled that if someone possessed of a special skill undertakes, quite irrespective of contract, to apply that skill for the assistance of another person who relies upon such skill, a duty of care will arise. The fact that the service is to be given by means of or by the instrumentality of words can make no difference. Furthermore, if in a sphere in which a person is so placed that others could reasonably rely upon his judgment or his skill or upon his ability to make careful inquiry, a person takes it upon himself to give information or advice to, or allows his information or advice to be passed on to, another person who, as he knows or should know, will place reliance upon it, then a duty of care will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applying Rule 3-7(18), this Court has distinguished between a claim for a failure to warn and a claim in negligent misrepresentation (see </w:t>
      </w:r>
      <w:r>
        <w:rPr>
          <w:rFonts w:ascii="arial" w:eastAsia="arial" w:hAnsi="arial" w:cs="arial"/>
          <w:i/>
          <w:color w:val="000000"/>
          <w:sz w:val="20"/>
          <w:lang w:val="en-US" w:eastAsia="en-US" w:bidi="ar-SA"/>
        </w:rPr>
        <w:t>Cantile v. Canadian Heating Products Inc.</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2017 BCSC 286</w:t>
        </w:r>
      </w:hyperlink>
      <w:r>
        <w:rPr>
          <w:rFonts w:ascii="arial" w:eastAsia="arial" w:hAnsi="arial" w:cs="arial"/>
          <w:color w:val="000000"/>
          <w:sz w:val="20"/>
          <w:lang w:val="en-US" w:eastAsia="en-US" w:bidi="ar-SA"/>
        </w:rPr>
        <w:t xml:space="preserve"> at paras. 199-219). I too take the view that pleadings alleging a failure to warn are not subject to the mandatory language of Rule 3-7(18). I accept that the plaintiff is not relying on claims of negligent misrepresentation in his pleadings, and as a result, the mandatory application of Rule 3-7(18) does not apply to paras. 58 and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However, I still may consider whether further particulars are "necessary" pursuant to Rule 3-7(18). Here, further particulars are necessary on the allegations that Nissan "misled" the purchaser, owner, and/or users of the Pathfinder. Furthermore, if there is an allegation that misleading oral representations were made by sales persons to the defendant parents, then particulars on the identity of these persons are appropriate. This is consistent with the function of particulars discussed and outlined in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such as to enable Nissan to know what evidence it ought to be prepared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noted, however, these representations would have been made to the plaintiff's parents, who are both defendants in the action. Therefore, these particulars may be provided after the plaintiff has examined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 summary of the orders granted is as follows: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21 days of this order, the plaintiff shall deliver to counsel for the Nissan defendants the following: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with respect to para. 18 of the ANOCC of the age, weight, and height, or range of age, weight, and height, of the cohort of children whom the plaintiff alleges are "Forgotten Children" and "have outgrown booster seats, but are too small to be safely restrained in systems and/or seat belts designed for adults";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with respect to para. 36 of the ANOCC of other "automotive industry literature" identify the alleged defects in restraint systems and/or seat belts for children;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with respect to paras. 58 and 59 of the ANOCC of the allegations that Nissan "misled" the purchaser, owner, and/or users of the Pathfinder.</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with respect to paras. 58 and 59 of the ANOCC of any allegation advanced for misleading oral representations made by sales persons to the defendant parents to be provided within 14 days after the plaintiff has conducted examinations for discovery of the defendant parents.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with respect to para. 47 of the ANOCC of whether Nissan conducted studies that showed that restraint systems were defective and failed to protect children need only be provided after the Nissan defendants have responded to the plaintiff's demands for studies conducted by the Nissan defendants in the November 8, 2017 letter, and within 14 days after examination for discovery of the Nissan representative(s) has been conducted.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order that the parties reach an agreement on the particular height and weight, or range of height and weight, of the plaintiff on the date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With respect to costs, the plaintiff provided extensive particulars prior to this application. Although an order has been made that some further particulars be provided, the extent of the particulars is restricted. In all of the circumstances, the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would also like to thank counsel for your very helpful submissions and succinct presentation of arguments, particularly the inclusion of schedule/appendix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Strata Corp. VR 2673 v. Comissiona, [2000] B.C.J. No. 1681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Levine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C991371 and C991372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B.C.L.R. (3d)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C.C.L.I. (3d)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1128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Corporation VR 2673, plaintiff, and Sergiu Comissiona and Robinne Comissiona, defendants, and Crane Canada Inc., third party (Vancouver Registry No. C991371) And between The Owners Strata Corporation VR 2673, plaintiff, and Man May Chan, defendant, and PCI Realty Corp. and the Wawanesa Mutual Insurance Company, third parties (Vancouver Registry No. C991372)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3" w:name="Keywords_22"/>
      <w:bookmarkEnd w:id="223"/>
      <w:r>
        <w:rPr>
          <w:rFonts w:ascii="arial" w:eastAsia="arial" w:hAnsi="arial" w:cs="arial"/>
          <w:b/>
          <w:color w:val="000000"/>
          <w:sz w:val="20"/>
          <w:lang w:val="en-US" w:eastAsia="en-US" w:bidi="ar-SA"/>
        </w:rPr>
        <w:t>Real property — Condominiums — Corporation — Liability of unit holders — For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4" w:name="Case Summary_20"/>
            <w:bookmarkEnd w:id="2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Comissiona and Chan, to dismiss the Strata Corporation's actions against them on the basis that strata corporations could not sue suite owners for damages that were the subject of insurance. Comissiona and Chan further claimed that the action had not been authorized by special resolution of the Strata Corporation. The Strata Corporation sued Comissiona and Chan, the owners of two suites, for damages caused by water leaking from the suites onto common property and other suites. The Strata Corporation claimed, on its own behalf and on behalf of owners of damaged suites, the amount of damages falling within the insurance deductible under the insurance policy maintained by the Strata Corporation. The Strata Property Act established a scheme under which the payment of an insurance deductible was a common expense, payable by all of the suite owners. However, the Act did not limit the capacity of the strata corporation to sue an owner to recover the deductible portion of an insurance claim if the owner was responsible for the loss or damage that gave rise to the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5" w:name="Holdings of Court_18"/>
            <w:bookmarkEnd w:id="225"/>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legal bar to the action by the Strata Corporation against the defendant suite owners for damages not covered by insurance because the damages claimed were within the deductible under the insurance policy. Furthermore, the alleged failure by the Strata Corporation to authorize the action by a special resolution was procedural and could be cured by an amendment obtaining the requisite consent.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6" w:name="Legislation Cited_20"/>
      <w:bookmarkEnd w:id="2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18A,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Condominium Act. R.S.B.C. 1996, c. 64, ss. 15(7)(b), 54, 54(1), 54(3),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Condominium Act, R.S.O. 1990, c. C.26, s.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472" w:history="1">
        <w:r>
          <w:rPr>
            <w:rFonts w:ascii="arial" w:eastAsia="arial" w:hAnsi="arial" w:cs="arial"/>
            <w:i/>
            <w:color w:val="0077CC"/>
            <w:sz w:val="20"/>
            <w:u w:val="single"/>
            <w:shd w:val="clear" w:color="auto" w:fill="FFFFFF"/>
            <w:lang w:val="en-US" w:eastAsia="en-US" w:bidi="ar-SA"/>
          </w:rPr>
          <w:t>S.B.C. 1998, c. 43, s. 158</w:t>
        </w:r>
      </w:hyperlink>
      <w:r>
        <w:rPr>
          <w:rFonts w:ascii="arial" w:eastAsia="arial" w:hAnsi="arial" w:cs="arial"/>
          <w:color w:val="000000"/>
          <w:sz w:val="20"/>
          <w:lang w:val="en-US" w:eastAsia="en-US" w:bidi="ar-SA"/>
        </w:rPr>
        <w:t>, 158(2).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Strata Titles Act, S.B.C. 1974, c. 89, ss. 30(9), 54(3).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7" w:name="Counsel_22"/>
      <w:bookmarkEnd w:id="2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J.D. Shields, for the plaintiff, Owners Strata Corporation VR2673. D. Taylor, for the defendants, Sergiu Comissiona and Robinne Comissiona. S. Griffin, for the third party, Crane Canada Inc. R. Pedersen, for the defendant, Man May Chan. M.D. Carnello, for the third party, the Wawanesa Mutual Insurance Company. N. Holland, for the third party, PCI Realty Corp.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8" w:name="Judgment_22"/>
      <w:bookmarkEnd w:id="228"/>
      <w:r>
        <w:pict>
          <v:line id="_x0000_s1147"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9" w:name="LEVINE J."/>
            <w:bookmarkEnd w:id="229"/>
            <w:r>
              <w:rPr>
                <w:rFonts w:ascii="arial" w:eastAsia="arial" w:hAnsi="arial" w:cs="arial"/>
                <w:b/>
                <w:color w:val="000000"/>
                <w:sz w:val="30"/>
                <w:lang w:val="en-US" w:eastAsia="en-US" w:bidi="ar-SA"/>
              </w:rPr>
              <w:t>LEVINE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both of these actions, the plaintiff strata corporation claims damages from the defendants, owners of suites in a condominium building managed by the plaintiff. It is not disputed that water leaking from the defendants' suites damaged common property and other owners' suites in the building. The strata corporation claims, on its own behalf and on behalf of owners of damaged suites, the amount of the damages falling within the insurance deductible under the insurance policy maintained by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pursuant to Rules 18 or 18A and 34 of the Rules of Court, to dismiss the plaintiff's actions on the basis that it is established law that a strata corporation cannot sue an owner for damages that are usually the subject of insurance in respect to similar properties. The defendants, Sergiu Commissiona and Robinne Comissiona, claim further that the action brought on behalf of owners of other suites has not been authorized by special resolution of the strata corporation, as required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third parties, Crane Canada Inc. and PCI Realty Corp., attended the hearing, but took no position. Counsel for the defendant, Man May Chan, attended the hearing, but submissions were made by counsel for the third party, Wawanesa Mutual Insurance Company, on behalf of both his client and Man May Chan.</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liability of the defendants for the loss caused by the water leakage on the grounds plead in the statement of claim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Rylands v. Fletcher, breach of statutory duty) is not in issue on this application. The issue is whether, in law, the plaintiff has a cause of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relationship of the strata corporation and the defendants is governed by statute and by bylaws, rules and regulations of the strata corporation. When the events occurred that gave rise to these actions, the statute in effect was the Condominium Act, </w:t>
      </w:r>
      <w:hyperlink r:id="rId473"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xml:space="preserve">. Effective July 1, 2000, the Condominium Act was replaced by the 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54 of the Condominium Act requires the strata corporation to obtain and maintain insurance for the benefit of the strata corporation and the owners of suites. Sections 54(1) and (3) provide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obtain and maintain insurance for the buildings, common facilities and any insurable improvements owned by the strata corporation to their replacement value against fire and against other perils as are usually the subject of insurance in respect of similar properties, and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may obtain and maintain insurance against other perils, including liability, to the amount it considers advisable.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terms of the policy, the following are deemed to be included as the named insured on a policy of insurance in force under subsection (1):</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and tenants from time to time of every strata lot shown on the strata plan;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persons normally occupying the strata lots.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Lalji-Samji v. Strata Plan VR-2135, </w:t>
      </w:r>
      <w:hyperlink r:id="rId474" w:history="1">
        <w:r>
          <w:rPr>
            <w:rFonts w:ascii="arial" w:eastAsia="arial" w:hAnsi="arial" w:cs="arial"/>
            <w:i/>
            <w:color w:val="0077CC"/>
            <w:sz w:val="20"/>
            <w:u w:val="single"/>
            <w:shd w:val="clear" w:color="auto" w:fill="FFFFFF"/>
            <w:lang w:val="en-US" w:eastAsia="en-US" w:bidi="ar-SA"/>
          </w:rPr>
          <w:t>[1992] B.C.J. No. 176</w:t>
        </w:r>
      </w:hyperlink>
      <w:r>
        <w:rPr>
          <w:rFonts w:ascii="arial" w:eastAsia="arial" w:hAnsi="arial" w:cs="arial"/>
          <w:color w:val="000000"/>
          <w:sz w:val="20"/>
          <w:lang w:val="en-US" w:eastAsia="en-US" w:bidi="ar-SA"/>
        </w:rPr>
        <w:t xml:space="preserve"> (S.C.), Meredith J. held that a strata corporation has no claim against an owner of a suite for damage caused by the owner to the common property where the damage was caused by "an obvious and ominous peril (take a leakage of water for instance) [that] would be usually the subject of insurance in respect to similar properties". The claim was disallowed because the owner of the suite was a named beneficiary under the insurance policy, pursuant to section 54(3) of the Condominium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Lalji-Samji case was an appeal from Small Claims Court. It is not apparent from the reasons of Meredith J. whether the strata corporation in that case had obtained and maintained insurance as required by statute, whether a claim had been made against the insurance, or whether the damages were not covered by insurance because of an exclusion clause or a deductible. In a commentary by a law firm provided by counsel for the third party, Wawanesa Mutual Insurance Company, the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did not file a Proof of Loss and the claim for recovery on the strata corporation's All Risk property policy was not commenced within the requisite one year period following the occurrence of the loss. Being without recovery on the strata corporation's policy, the Strata Council voted to commence action against the allegedly negligent strata lot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rely on the Lalji-Samji case as the basis for their position that the plaintiff has no cause of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the plaintiff did carry insurance which covered damage caused by water leakage. There is no evidence concerning whether the insurance maintained by the strata corporation covered damage to common property only, or included damage to owners' suites. In any event, the insurance covered a portion of the loss. The deductible under the insurance was $25,000 for each incident. The defendants do not argue that the deductible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Condominium Act makes no reference to the deductible under an insurance policy. The Strata Property Act, like its predecessor, requires a strata corporation to obtain and maintain insurance and provides that the owners of suites are named insureds in the strata corporation's insurance policy. In addition, section 158 expressly addresses the question of an insurance deductible, as follows:</w:t>
      </w:r>
      <w:r>
        <w:rPr>
          <w:rFonts w:ascii="arial" w:eastAsia="arial" w:hAnsi="arial" w:cs="arial"/>
          <w:sz w:val="20"/>
          <w:lang w:val="en-US" w:eastAsia="en-US" w:bidi="ar-SA"/>
        </w:rPr>
        <w:cr/>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regulations, the payment of an insurance deductible in respect of a claim on the strata corporation's insurance is a common expense to be contributed to by means of strata fees calculated in accordance with section 99(2) or 100(1).</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limit the capacity of the strata corporation to sue an owner in order to recover the deductible portion of an insurance claim if the owner is responsible for the loss or damage that gave rise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issue of recovery by a strata corporation for the deductible portion of insurance was addressed in Stevens et al. v. Simcoe Condominium Corporation No. 60, </w:t>
      </w:r>
      <w:hyperlink r:id="rId475" w:history="1">
        <w:r>
          <w:rPr>
            <w:rFonts w:ascii="arial" w:eastAsia="arial" w:hAnsi="arial" w:cs="arial"/>
            <w:i/>
            <w:color w:val="0077CC"/>
            <w:sz w:val="20"/>
            <w:u w:val="single"/>
            <w:shd w:val="clear" w:color="auto" w:fill="FFFFFF"/>
            <w:lang w:val="en-US" w:eastAsia="en-US" w:bidi="ar-SA"/>
          </w:rPr>
          <w:t>[1998] O.J. No. 5843</w:t>
        </w:r>
      </w:hyperlink>
      <w:r>
        <w:rPr>
          <w:rFonts w:ascii="arial" w:eastAsia="arial" w:hAnsi="arial" w:cs="arial"/>
          <w:color w:val="000000"/>
          <w:sz w:val="20"/>
          <w:lang w:val="en-US" w:eastAsia="en-US" w:bidi="ar-SA"/>
        </w:rPr>
        <w:t xml:space="preserve"> (Ont.Ct.-Gen.Div.). The Ontario Court analyzed the respective rights and obligations of the condominium owners and the condominium corporation in relation to insurance and liability for claims, as well as public policy, in reaching its conclusion that the condominium corporation could sue the owner for the deductible under the policy. The terms of the Ontario legislation are different from those in the B.C. legislation, in that the duty of the strata corporation under the Ontario Condominium Act, R.S.O. 1990, c. C. 26, section 27(1) was "to obtain and maintain insurance on its own behalf and on behalf of the owners of the units and common elements", and there is no reference to the owners being deemed to be included as named insureds under the policy of insurance. The Ontario Court stated, however, that the owners are the "primary beneficiaries"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 are two authorities not cited by counsel which I have found to be of some assistance in reviewing this matter. In Strata Plan No. NW 651 v. Beck's Mechanical Ltd., </w:t>
      </w:r>
      <w:hyperlink r:id="rId476" w:history="1">
        <w:r>
          <w:rPr>
            <w:rFonts w:ascii="arial" w:eastAsia="arial" w:hAnsi="arial" w:cs="arial"/>
            <w:i/>
            <w:color w:val="0077CC"/>
            <w:sz w:val="20"/>
            <w:u w:val="single"/>
            <w:shd w:val="clear" w:color="auto" w:fill="FFFFFF"/>
            <w:lang w:val="en-US" w:eastAsia="en-US" w:bidi="ar-SA"/>
          </w:rPr>
          <w:t>[1980] B.C.J. No. 46</w:t>
        </w:r>
      </w:hyperlink>
      <w:r>
        <w:rPr>
          <w:rFonts w:ascii="arial" w:eastAsia="arial" w:hAnsi="arial" w:cs="arial"/>
          <w:color w:val="000000"/>
          <w:sz w:val="20"/>
          <w:lang w:val="en-US" w:eastAsia="en-US" w:bidi="ar-SA"/>
        </w:rPr>
        <w:t xml:space="preserve"> (S.C.), Esson J. (as he then was) held that the insurers of the strata corporation could not bring a subrogated claim against an individual strata lot owner. The applicable statute, the Strata Titles Act, S.B.C. 1974, c. 89, precluded such a claim under section 30(9), which was repealed in 1977 and replaced with section 54(3), quoted above. Esson J. held that the strata lot owner, as an unnamed insured, was immune from a subrogated claim by the general law of insurance as well as by section 30(9) of the Act. There is no reference in the reasons of Esson J. to any deductible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Morley v. Moore, [1936] 2 K.B. 359 (C.A.), the English Court of Appeal held that an insured plaintiff has the right to sue a tortfeasor for damages to recover the deductible under the plaintiff's insurance policy, although the insurer had paid the full amount of the claim, less the deductible. This decision was cited with approval in Bourne v. Stanbridge, [1965] 1 All E.R. 241 (C.A.). In neither of these cases was the tortfeasor insured under the same policy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submissions of the defendants and the plaintiff and these authorities raise two questions: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a legal bar to a strata corporation bringing an action against an owner for the deductible portion of an insurance claim for damages to common property and other suites allegedly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owner, because the owner is deemed to be a named insured under the insurance policy obtained and maintained by the strata corporation?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no such legal bar, do the applicable statute and the bylaws, rules and regulations of the strata corporation bar such a claim?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My review of the authorities leads me to the conclusion that there is no legal bar to an action by a strata corporation against an owner of a suite in the condominium for damages that are covered by the strata corporation's insurance policy but are not payable by the insurer because they fall within the deductible under the policy. That is, the action is not barred because the suite owner is a named insured on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My conclusion derives from consideration of the following: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person has the right to sue another person who caused damage for the portion of the damages not paid by insurance because of a deductible clause (Morley v. Moore).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Lalji-Samji did not address the question of whether a strata corporation may sue a suite owner for the deductible portion of the loss.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Stevens, the Ontario Court made no reference to a legal bar to the action by the strata corporation. While the differences in the legislation and in the manner the case was presented by counsel may explain this omission, the analysis and result are consistent with my conclusions based on the other authorities I have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the actions by the strata corporation for the deductible are brought on its own behalf, for loss or damage not covered by the insurance it obtained and maintained in accordance with its statutory duty. In no sense is the claim of the strata corporation a subrogated claim by the insurer against an insured under the policy. The reasoning of Meredith J. in Lalji-Samji that the strata corporation has no claim because the insurer could have no subrogated claim against an insured under the policy simply has no application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strata corporation has no claim against the insurer for the deductible portion of the claim, but is liable to pay the persons who repair the damages to the extent of the deductible. If it were sued by those persons, the strata corporation would be entitled to join an owner whose act, default or omission gave rise to the claim against it (see section 15(4) of the Condominium Act). Lalji-Samji prohibits such a suit only where the strata corporation is or should have been insured.</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Bar by the Condominium Act, Bylaws, Rules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considering whether the Condominium Act, bylaws, rules and regulations bar the plaintiff's claim against the defendants, the matter to be determined is whether by contracting for insurance with a deductible, the owners, through the strata corporation, impliedly agreed with each other to, in effect, self-insure for that amount by sharing liability for the deductible, or intended that the owner responsible for any damage would bear the cost of the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Condominium Act is silent with respect to the liability for an insurance deductible. The Strata Property Act establishes a scheme under which the payment of an insurance deductible is a common expense, payable by all of the owners, but that does not limit the capacity of the strata corporation to sue an owner in order to recover the deductible portion of an insurance claim if the owner is responsible for the loss or damage that gave rise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section 158(2) does not create a right in the strata corporation to sue an owner; rather, it does not limit the capacity of the strata corporation to do so. Section 158(2) does not change the law. It sets out expressly what was not previously addressed by legislation, but was governed by common law. Whether a strata corporation can maintain such an action must be determined by all of the provisions of the applicable statute and the bylaws, rules and regulations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the defendants are subject to Part 5 of the Condominium Act, which sets out basic bylaws for every strata corporation, and other bylaws, rules and regulations adopted by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115 in Part 5 of the Condominium Act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115 An owner must do all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 and maintain the strata lot, including windows and doors, and areas allocated to the owner's exclusive use, and keep them in a state of good repair, reasonable wear and tear and damage by fire, storm, tempest or act of God excepted;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 and enjoy the common property, common facilities or other assets of the strata corporation in a manner that will not unreasonably interfere with their use and enjoyment by other owners, their families or visitors;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use the lot, or permit it to be used, in a manner or for a purpose that will cause a nuisance or hazard to any occupier of the lot, whether an owner or not, or his or her family;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strictly with these bylaws, and all other bylaws to the strata corporation, and with rules and regulations adopted from time to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Bylaw #8 allows the strata corporation to register a lien against the title of an owner's strata lot when an owner defaults in payment of his or her share of common expenses and expenses for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rules and regulations of the Strata Corporation provide in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damage to common property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owner, occupants of his strata lot, or his guests, will be charged to the owner of the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are no references in the Condominium Act or the bylaws, rules or regulations of the plaintiff to a loss deductible clause in the insurance or the liability of an owner for losses covered by insurance, as was the case in Stevens. In that case, the declaration expressly provided that the insurance the corporation was required to obtain and maintain "may be subject to a loss deductible clause". The declaration required each owner to maintain and repair his unit and to be responsible for all damage to all other units caused by the failure of the owner, but provided that the owner's liability shall not extend to damages "for which the cost of repairing same may be recovered under any policy of insurance held by the corporation". The declaration further required each owner to indemnify and save harmless the corporation for the cost and damage that the corporation may suffer from any act or omission of the owner "except for any loss, damage, injury or liability insured against by the corporation". The corporation had adopted the following specific rule with respect to air conditioners, which caused the damages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damage resulting from the installation or use of an air conditioner will be the liability of the unit owner or occupant, whether damage is limited to the owner's/occupant's unit or effects other units in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express references to insurance in the declaration in Stevens may arise because the strata owners are not deemed to be named insureds under the Ontario Condominium Act. Nonetheless, those provisions and the air conditioner rule make it very clear that an owner is liable for damages caused to both common property and other owners'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Rule 5.6 expressly provides that damage to common property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owner will be charged to the owner of a strata lot. There is no provision, however, that expressly imposes liability on an owner for damage caused to other owners' suites.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My understanding from counsel's submissions is that the issue on these applications relates only to that portion of the claim brought by the strata corporation for damages to the common property. In any event, it is not clear from the statement of claim or any other evidence or submissions what portion of the plaintiff's claim relates to damage to common property and what portion to damage other suites, nor whether the damages caused to other owners are a liability of the strata corporation under the deductible provision of the insurance policy. These matters and their implications will have to determined in other applications or at trial.</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ON BEHALF OF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Sergiu Comissiona and Robinne Comissiona, take the position that to the extent the strata corporation is suing on behalf of owners about matters affecting their individual strata lots, the action is not properly brought because there is no proof that it was authorized by special resolution of the strata corporation, as required by section 15(7)(b) of the Condominium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requirements of section. 15(7)(b) are procedural: see Strata Plan LMS 1320 v. Marco Polo Properties, </w:t>
      </w:r>
      <w:r>
        <w:rPr>
          <w:rFonts w:ascii="arial" w:eastAsia="arial" w:hAnsi="arial" w:cs="arial"/>
          <w:i/>
          <w:color w:val="000000"/>
          <w:sz w:val="20"/>
          <w:lang w:val="en-US" w:eastAsia="en-US" w:bidi="ar-SA"/>
        </w:rPr>
        <w:t>[2000] B.C.J. No. 977</w:t>
      </w:r>
      <w:r>
        <w:rPr>
          <w:rFonts w:ascii="arial" w:eastAsia="arial" w:hAnsi="arial" w:cs="arial"/>
          <w:color w:val="000000"/>
          <w:sz w:val="20"/>
          <w:lang w:val="en-US" w:eastAsia="en-US" w:bidi="ar-SA"/>
        </w:rPr>
        <w:t xml:space="preserve"> (S.C.) and Strata Plan No. NW 651 v. Beck's Mechanical Ltd., </w:t>
      </w:r>
      <w:hyperlink r:id="rId476" w:history="1">
        <w:r>
          <w:rPr>
            <w:rFonts w:ascii="arial" w:eastAsia="arial" w:hAnsi="arial" w:cs="arial"/>
            <w:i/>
            <w:color w:val="0077CC"/>
            <w:sz w:val="20"/>
            <w:u w:val="single"/>
            <w:shd w:val="clear" w:color="auto" w:fill="FFFFFF"/>
            <w:lang w:val="en-US" w:eastAsia="en-US" w:bidi="ar-SA"/>
          </w:rPr>
          <w:t>[1980] B.C.J. No. 46</w:t>
        </w:r>
      </w:hyperlink>
      <w:r>
        <w:rPr>
          <w:rFonts w:ascii="arial" w:eastAsia="arial" w:hAnsi="arial" w:cs="arial"/>
          <w:color w:val="000000"/>
          <w:sz w:val="20"/>
          <w:lang w:val="en-US" w:eastAsia="en-US" w:bidi="ar-SA"/>
        </w:rPr>
        <w:t>. If the requisite special resolution of the strata corporation has not been obtained, as stated by Esson J. at paragraph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defect can be cured either by obtaining the requisite consent and special resolution, or by applying to join the owners as parties plaintiff...</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applications of the defendants to dismiss the plaintiff's actions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legal bar to the action by the strata corporation against the defendants for damages not covered by insurance because they are within the deductible under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alleged failure to comply with section 15(7)(b) of the Condominium Act is procedural and can be cured by amendment. It is not grounds for dismissing the plaintiff's claim at this stage.</w:t>
      </w:r>
      <w:r>
        <w:rPr>
          <w:rFonts w:ascii="arial" w:eastAsia="arial" w:hAnsi="arial" w:cs="arial"/>
          <w:sz w:val="20"/>
          <w:lang w:val="en-US" w:eastAsia="en-US" w:bidi="ar-SA"/>
        </w:rPr>
        <w:cr/>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sought costs payable forthwith if it was successful. I order that the plaintiff is entitled to costs on scale 3 in any event of the cause, payable at the conclusion of the actions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LEVINE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Strata Plan LMS 2643 v. Harold Developments Ltd., [2009] B.C.J. No. 2207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L052627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1518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2973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576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Section 1 of the Owners, Strata Plan LMS 2643, Plaintiff, and Harold Developments Ltd., James Kwan, Yvonne Kwan, et al, Defendant, and Harold Developments Ltd., James Kwan, Yvonne Kwan, et al,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0" w:name="Keywords_23"/>
      <w:bookmarkEnd w:id="230"/>
      <w:r>
        <w:rPr>
          <w:rFonts w:ascii="arial" w:eastAsia="arial" w:hAnsi="arial" w:cs="arial"/>
          <w:b/>
          <w:color w:val="000000"/>
          <w:sz w:val="20"/>
          <w:lang w:val="en-US" w:eastAsia="en-US" w:bidi="ar-SA"/>
        </w:rPr>
        <w:t>Civil litigation — Civil procedure — Pleadings — Particulars — Application by defendants Kwan for particulars adjourned — Particulars sought with respect to fifth further amended statement of claim — Kwans filed extensive defence in response to original claim — Parties should have opportunity to examine each other first — Considering extensive defence delivered, this did not seem to be an instance where a defendant had no idea of the case it had to meet or could not plead or mount a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1" w:name="Case Summary_21"/>
            <w:bookmarkEnd w:id="2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Kwan for particulars. The Kwans were the shareholders and directors of Harold Developments Ltd. and Harold Holdings Ltd. The Kwans filed a statement of defence in response to the original statement of claim, in which they specifically denied the various allegations of the plaintiff, provided pleadings in the alternative to their denials,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for failure to maintain and failure to mitigate, betterment and remoteness of damages. In answer to requests to examine the male defendant for discovery the defendant insisted that the examination for discovery of him take place in a hospital in China. The particulars were being sought with respect to the fifth further amended statement of claim in these proceedings. The demand for particulars was extensive.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2" w:name="Holdings of Court_19"/>
            <w:bookmarkEnd w:id="232"/>
            <w:r>
              <w:rPr>
                <w:rFonts w:ascii="arial" w:eastAsia="arial" w:hAnsi="arial" w:cs="arial"/>
                <w:color w:val="000000"/>
                <w:sz w:val="20"/>
                <w:lang w:val="en-US" w:eastAsia="en-US" w:bidi="ar-SA"/>
              </w:rPr>
              <w:t>HELD: Application adjourned until the plaintiffs had had an opportunity to examine the male defendant and the Kwans had examined a representative of the plaintiffs.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Considering the extensive defence delivered, this did not seem to be an instance where a defendant had no idea of the case it had to meet or could not plead or mount a defence. In their application to join the lawsuit as plaintiffs, the Kwans sought to wholly adopt the plaintiff's statement of claim as their own had they been successful in their application. If this was the case, they could not now argue that they would be taken by surprise or that they were unaware of the claims they must meet.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3" w:name="Legislation Cited_21"/>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 Rule 19(11), Rule 19(11.), Rule 19(16), Rule 19(17)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4" w:name="Counsel_23"/>
      <w:bookmarkEnd w:id="2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Respondent Plaintiff: J. Whately and J. Mendes.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Applicant Defendants, James and Yvonne Kwan: D.F. Sutherland.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5" w:name="Judgment_23"/>
      <w:bookmarkEnd w:id="235"/>
      <w:r>
        <w:pict>
          <v:line id="_x0000_s1152"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6" w:name="MASTER G. TAYLOR"/>
            <w:bookmarkEnd w:id="236"/>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application the defendants James Kwan and Yvonne Kwan are applying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Kwan defendants are the shareholders &amp; directors of the developer, Harold Developments Ltd. and the holding company, Harold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the Kwan defendants are owners of over 40 of the strata in this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applicants first sought particulars by demand dated January 28, 2009. A follow-up letter renewing the demand for particulars was sent to the solicitors for the respondents on August 12, 2009. In all respects the particulars are being sought with respect to the fifth further amended statement of claim in these proceedings. The trial in this matter is set to commence on April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demand for particulars is extensive and takes up some eight and a half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fifth further amended statement of claim is some 25 pages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plaintiff/respondent oppose the application for particulars because they say the claims against the Kwan defendants have been sufficiently particularized; that the matters being sought by the Kwan defendants are not particulars of fact but matters of evidence; the matters in which the Kwan defendants seek particulars are within their knowledge; and the Court should exercise its discretion to order the particulars should be provided only after examinations for discovery are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3, 2008 an examination for discovery of Yvonne Kwan was conducted by counsel for the plaintiff. Some notable questions and answers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So Mrs. Kwan let me be a little more specific. I have been talking about development so maybe I'm being a little bit too specific. Do you have any recollection of being - of any involvement on your part in the construction or the design of the Lighthouse Place condominium?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don't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You can't remember. Okay. Do you have any memory today of the involvement of your husband in the construction or design of the Lighthouse Place condominium?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don't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Mrs. Kwan, I am just trying to get an understanding of whether you have any memory today of any involvement on your part of the construction, the development, or the design of the Lighthouse Place project.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can't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Apparently outstanding requests for information made at the examination for discovery of Yvonne Kwan arising from her examination for discovery on April 3rd, 2008 have yet to be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answer to requests to examine James Kwan for discovery it has been stipulated that the examination for discovery of Mr. Kwan take place in a hospital in China. To date inquiries into the nature of Mr. Kwan's alleged illness and request for some kind of medical verification since January 2009 have yet to be provided. It is also to be noted that Mr. Kwan has plead in a statement of defence and sworn in the affidavit of March 2008 that he resides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19 provides the framework for particulars and in particular Rule 19(11)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Where particulars necessary</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party pleading relies on misrepresentation, fraud, breach of trust, wilful default or undue influence, or where particulars may be necessary, full particulars, with dates and items if applicable, shall be stated in the pleading. If the particulars of debt, expenses or damages are lengthy, the party may refer to this fact and instead of pleading the particulars shall deliver the particulars in a separate document either before or with the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Further particulars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need only be pleaded to the extent that they are known at the date of pleading, but further particulars may be delivered after they become known, and shall be delivered within 10 days of a demand being made in writing.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Order for particulars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a party to deliver further and better particulars of a matter stated in a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Demand for particulars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applying to the court for particulars, a party shall demand them in writing from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19(16)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Kwan defendants filed a statement of defence in response to the original statement of claim, in which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they specifically deny the various allegations of the plaintiff, provide pleadings in the alternative to their denials,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for failure to maintain and failure to mitigate, betterment and remoteness of damages. This does not strike me as an example of an instance where a defendant has no idea of the case it has to meet or cannot plead or mount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this is a case where the Kwan defendants are playing cute. On the one hand, Yvonne Kwan has no recollection of the events of the development or construction of the building by the development company of which she and her husband were directors. On the other hand, Mr. Kwan, for reasons unknown, insists that he be examined in China and has made no effort to present himself for examination for discovery in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well, in their application to join the lawsuit as plaintiffs, the Kwan defendants sought to wholly adopt the plaintiff's statement of claim as their own had they been successful in their application. If this is the case, surely the Kwan defendants cannot now make the argument that they will be taken by surprise or that they are unaware of the claims they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defendant is entitled to know what story his adversary is making against him. But in some cases the material may reveal a basis for the plaintiff's general allegation and the particulars sought are exclusively or almost exclusively within the knowledge of the defendant and not within the knowledge of the plaintiff. In these instances, the law gives the Court a discretion in postponing an order for delivery of particulars by the plaintiff until after his discovery of the defendant: </w:t>
      </w:r>
      <w:r>
        <w:rPr>
          <w:rFonts w:ascii="arial" w:eastAsia="arial" w:hAnsi="arial" w:cs="arial"/>
          <w:i/>
          <w:color w:val="000000"/>
          <w:sz w:val="20"/>
          <w:lang w:val="en-US" w:eastAsia="en-US" w:bidi="ar-SA"/>
        </w:rPr>
        <w:t>Cominco Ltd. v. Westinghouse Can. Ltd. et al.</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6 B.C.L.R. 25</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Golightly &amp; Knight Ltd. v. Irwin</w:t>
      </w:r>
      <w:r>
        <w:rPr>
          <w:rFonts w:ascii="arial" w:eastAsia="arial" w:hAnsi="arial" w:cs="arial"/>
          <w:color w:val="000000"/>
          <w:sz w:val="20"/>
          <w:lang w:val="en-US" w:eastAsia="en-US" w:bidi="ar-SA"/>
        </w:rPr>
        <w:t xml:space="preserve"> [1952] O.W.N. 89 at 90 and </w:t>
      </w:r>
      <w:r>
        <w:rPr>
          <w:rFonts w:ascii="arial" w:eastAsia="arial" w:hAnsi="arial" w:cs="arial"/>
          <w:i/>
          <w:color w:val="000000"/>
          <w:sz w:val="20"/>
          <w:lang w:val="en-US" w:eastAsia="en-US" w:bidi="ar-SA"/>
        </w:rPr>
        <w:t>Ross v. Blakes Motors Ltd.</w:t>
      </w:r>
      <w:r>
        <w:rPr>
          <w:rFonts w:ascii="arial" w:eastAsia="arial" w:hAnsi="arial" w:cs="arial"/>
          <w:color w:val="000000"/>
          <w:sz w:val="20"/>
          <w:lang w:val="en-US" w:eastAsia="en-US" w:bidi="ar-SA"/>
        </w:rPr>
        <w:t>, [1951] 2 All E.R. 689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result, the application for particulars is adjourned until such time as the plaintiffs have had an opportunity to examine Mr. Kwan and the Kwan defendants have examined a representative of the plaintiffs. Once those examinations for discovery have been completed, the Kwan defendants may renew their application for particulars,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Varzari v. Vinh, [2004] B.C.J. No. 965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19 - 23,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S043164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965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2004 BCSC 641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131 A.C.W.S. (3d) 437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 Varzari and Gayle Varzari, plaintiffs, and Nghiem Vinh,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7" w:name="Keywords_24"/>
      <w:bookmarkEnd w:id="237"/>
      <w:r>
        <w:rPr>
          <w:rFonts w:ascii="arial" w:eastAsia="arial" w:hAnsi="arial" w:cs="arial"/>
          <w:b/>
          <w:color w:val="000000"/>
          <w:sz w:val="20"/>
          <w:lang w:val="en-US" w:eastAsia="en-US" w:bidi="ar-SA"/>
        </w:rPr>
        <w:t>Civil evidence — Witnesses — Credibility — Damages — General damages — For personal injuries — Non-pecuniary damages, including pain and suffering — Retroactive loss of income — Exemplary or punitive damages — When available — For torts — Affecting property — Personal property — Cost of repair or replacement — Physical injuries -- neck — Transportation law — Traffic regulation — Overtaking other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8" w:name="Case Summary_22"/>
            <w:bookmarkEnd w:id="2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Varzari for damages arising out of a April 1997 motor vehicle accident caused by the defendant Vinh when the latter made a sudden U-turn in front of Varzari. Varzari suffered mild to moderate soft-tissue sprains to his neck, back and shoulders, as well as a contusion to the scalp. He claimed that the injuries forced him to quit his job as an apprentice mechanic, and left him unable to complete the apprenticeship program. He sought $40,000 in general damages; $2,260 in special damages for health care expenses; $10,000 for repairs to the car, a restored 1971 Datsun; $40,000 for past income loss; and damages for future loss of earning capacity. Varzari also sought punitive damages from the Insurance Corporation of British Columbia, claiming that it had wrongly denied his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9" w:name="Holdings of Court_20"/>
            <w:bookmarkEnd w:id="23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Vinh was wholly liable for the accident. Varzari, however, had exaggerated the extent and duration of his injuries, which were largely resolved within six months after the accident. He was awarded $6,000 in general damages, and $155 in special damages, as any medical treatment after 1997 was not necessitated by injuries sustained in the accident. He was awarded $4,000 for the repair of the vehicle. With respect to past income loss, it was determined that Varzari had been laid off shortly before the accident, and had found alternative employment at another repair shop 12 weeks after the accident. Accordingly, compensation was limited to that 12-week period, resulting in an award of $5,760 for past loss of income. Varzari was not entitled to any damages for loss of future earnings, as his failure to complete his apprenticeship program was unrelated to the accident. No award for punitive damages was made, as there was no evidence that ICBC was guilty of morally reprehensible conduct in handling Varzari's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0" w:name="Legislation Cited_22"/>
      <w:bookmarkEnd w:id="2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492" w:history="1">
        <w:r>
          <w:rPr>
            <w:rFonts w:ascii="arial" w:eastAsia="arial" w:hAnsi="arial" w:cs="arial"/>
            <w:i/>
            <w:color w:val="0077CC"/>
            <w:sz w:val="20"/>
            <w:u w:val="single"/>
            <w:shd w:val="clear" w:color="auto" w:fill="FFFFFF"/>
            <w:lang w:val="en-US" w:eastAsia="en-US" w:bidi="ar-SA"/>
          </w:rPr>
          <w:t>R.S.B.C. 1996, c. 124, ss. 13</w:t>
        </w:r>
      </w:hyperlink>
      <w:r>
        <w:rPr>
          <w:rFonts w:ascii="arial" w:eastAsia="arial" w:hAnsi="arial" w:cs="arial"/>
          <w:color w:val="000000"/>
          <w:sz w:val="20"/>
          <w:lang w:val="en-US" w:eastAsia="en-US" w:bidi="ar-SA"/>
        </w:rPr>
        <w:t>, 14,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493" w:history="1">
        <w:r>
          <w:rPr>
            <w:rFonts w:ascii="arial" w:eastAsia="arial" w:hAnsi="arial" w:cs="arial"/>
            <w:i/>
            <w:color w:val="0077CC"/>
            <w:sz w:val="20"/>
            <w:u w:val="single"/>
            <w:shd w:val="clear" w:color="auto" w:fill="FFFFFF"/>
            <w:lang w:val="en-US" w:eastAsia="en-US" w:bidi="ar-SA"/>
          </w:rPr>
          <w:t>R.S.B.C. 1996, c. 231, s.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94" w:history="1">
        <w:r>
          <w:rPr>
            <w:rFonts w:ascii="arial" w:eastAsia="arial" w:hAnsi="arial" w:cs="arial"/>
            <w:i/>
            <w:color w:val="0077CC"/>
            <w:sz w:val="20"/>
            <w:u w:val="single"/>
            <w:shd w:val="clear" w:color="auto" w:fill="FFFFFF"/>
            <w:lang w:val="en-US" w:eastAsia="en-US" w:bidi="ar-SA"/>
          </w:rPr>
          <w:t>R.S.B.C. 1996, c. 318, ss. 157</w:t>
        </w:r>
      </w:hyperlink>
      <w:r>
        <w:rPr>
          <w:rFonts w:ascii="arial" w:eastAsia="arial" w:hAnsi="arial" w:cs="arial"/>
          <w:color w:val="000000"/>
          <w:sz w:val="20"/>
          <w:lang w:val="en-US" w:eastAsia="en-US" w:bidi="ar-SA"/>
        </w:rPr>
        <w:t>(1), 159.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1" w:name="Counsel_24"/>
      <w:bookmarkEnd w:id="2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 Varzari and Gayle Varzari acting on their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S.J. Morris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2" w:name="Judgment_24"/>
      <w:bookmarkEnd w:id="242"/>
      <w:r>
        <w:pict>
          <v:line id="_x0000_s1157"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3" w:name="EHRCKE J."/>
            <w:bookmarkEnd w:id="243"/>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Evidence-in-Chief of Eli Varzari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out of a motor vehicle accident that occurred on April 20, 1997, on Grandview Highway in Vancouver, British Columbia, when a 1971 Datsun 510 automobile owned by the plaintiff Gayle Varzari and driven by her son, the plaintiff Eli Varzari, collided with another vehicle that then sped away from the scene. Because the driver of the other vehicle fled, the style of cause of this action included "John Doe" as a defendant. At the opening of the trial, however, it was admitted that the defendant Nghiem Vinh was both the registered owner and the driver of the vehicle that left the scene.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Eli Varzari testified that on April 20, 1997, he borrowed the car of his mother, Gayle Varzari, to drive his girlfriend home to Surrey. He was travelling eastbound on 12th Avenue,</w:t>
      </w:r>
      <w:bookmarkStart w:id="244" w:name="Backward_fnref_fnr-star"/>
      <w:hyperlink w:anchor="Forward_fnref_fnr-star" w:history="1">
        <w:r>
          <w:rPr>
            <w:rFonts w:ascii="arial" w:eastAsia="arial" w:hAnsi="arial" w:cs="arial"/>
            <w:b/>
            <w:color w:val="BE161D"/>
            <w:sz w:val="20"/>
            <w:shd w:val="clear" w:color="auto" w:fill="FFFFFF"/>
            <w:vertAlign w:val="superscript"/>
            <w:lang w:val="en-US" w:eastAsia="en-US" w:bidi="ar-SA"/>
          </w:rPr>
          <w:t>*</w:t>
        </w:r>
      </w:hyperlink>
      <w:bookmarkEnd w:id="244"/>
      <w:r>
        <w:rPr>
          <w:rFonts w:ascii="arial" w:eastAsia="arial" w:hAnsi="arial" w:cs="arial"/>
          <w:color w:val="000000"/>
          <w:sz w:val="20"/>
          <w:lang w:val="en-US" w:eastAsia="en-US" w:bidi="ar-SA"/>
        </w:rPr>
        <w:t xml:space="preserve"> in Vancouver, approaching Rupert Street, when he noticed a vehicle stopped in the curb lane about a block ahead. There are three lanes of traffic in each direction at that location. Mr. Varzari said he was in the centre lane. After seeing the stopped vehicle, he moved to the far left lane, that is, the lane closest to the centre line. As he approached, he saw the driver of the other vehicle moving his head around, and when he came within a few car lengths, the other vehicle made an abrupt U-turn. Mr. Varzari slammed on the brakes and swerved, but the vehicles collided. The front of his vehicle was damaged, and the driver's side of the other vehicle was damaged. The defendant's vehicle spun around and ended up nose to nose with the plaintiffs'. After coming to a stop, the defendant started his vehicle, reversed, and drove away down the wrong side of the street. He was speeding and took a left at Rupert Street, continuing to drive on the wrong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the defendant fled, witnesses came forward to assist Mr. Varzari and his girlfriend. The police and ambulance also attended. Mr. Varzari gave the police the licence plate number and description of the other vehicle as well as a description of the driver. Mr. Varzari's mother came to the scene and drove him and his girlfriend to St. Paul's hospital. The hospital staff took x-rays and sent him home with Tylenol 3. The next morning, he woke up but was not able to move very much. He called work and told them about the accident. He told them he would be off work for an indeterminate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Varzari's first appointment with the Insurance Corporation of British Columbia ("ICBC") was on May 5, 1997. They took a statement from him, which he signed. He went to ICBC again on May 13, 1997, at which time the adjuster, Darryl Mathieson, took another signed statement from him. There was also a police officer there who showed him a photo line up. Mr. Varzari looked at the line up and picked out the driver who had fled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About one or two weeks later, Super Euro Auto Ltd., where the plaintiffs' car had been towed for repairs, called and asked the plaintiffs to return the courtesy car and to remove their Datsun from the shop, as ICBC had denied their claim. Mr. Varzari testified that he then called the ICBC adjuster, Mr. Mathieson, who told him the claim was denied and that the file was being transferred to another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next day, Mr. Varzari was at Queen Elizabeth Park and saw Darryl Mathieson there. Mr. Varzari thought Mr. Mathieson was following him (although in his testimony, Mr. Mathieson said it was a chance meeting, as he was simply going to a restaurant in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Varzari testified that from that point on, ICBC refused to pay for anything, leaving him injured, unable to afford the treatment he needed, and unable to return to his work, with no money for living expenses. Mr. Varzari testified that he lives with his mother, and she was able to give him a small amount of money to continue the treatments he had already started. However, she could not afford all the extra expenses, and he eventually had to stop his treatments. He claims that this has prolonged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the accident, Mr. Varzari was working 40 hours per week at Super Euro Auto Ltd. for $12 per hour as an apprentice in the auto collision repair technician program. He had nearly finished his course work and examinations, but he had only completed about three and one-half years of the required work as an apprentice working under the supervision of a journeyman. He still needed another six months (or approximately 750 hours) of work as an apprentice under a journeyman to complete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Varzari testified that after the accident he was put in a very bad position. He said his mother was angry with him because her car was not repaired, and he was unable to work to contribute to the household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Varzari testified that a few months after the accident, his injuries seemed to be getting worse. Nevertheless, he returned to school for the final six-week term, and he passed the final exam. He also set out to find a job. He could not return to Super Euro Auto Ltd., because the owner, David Tran, told him that he had already hired someone else. However, on August 14, 1997, he found a new job at Eurosport Auto, where he was paid $14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Varzari testified that he wanted to complete the final hours for his apprenticeship program so he could receive his journeyman ticket. However, he did not immediately inform the Industry Training Centre, which supervises the apprenticeship program, of his new position so that he could start getting apprenticeship credit for this work. He said he wanted to see if he liked it at Eurosport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Varzari testified that he tried to "hang in" for as long as possible at Eurosport despite extreme pain, but one day he could not take the pain any longer, and he quit his job at the end of April 1998. That leaves him short of the apprenticeship hours he needs, although he has passed all the tests and other requirements to become a journeyman.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Varzari said that after April 1998, he was not able to work again until a few years later. In 2001 he worked at a Chevron filling station for a few months, where he was paid $8.50 an hour. Later the same year he tried another job doing telemarketing for a few months, but he was unsatisfied with the $9 per hour wage, and in addition, this was not something he wanted to do. Now he stays at home most of the time taking care of his dog and doing odd jobs around the apartment building that his mother manages, such as vacuuming, cleaning windows, changing light bulbs, letting trades people in, showing apartments and answering the phone. He said he does this work to help his mother, although the work is all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Varzari testified that the car he was driving at the time of the accident was his mother's car, a 1971 Datsun that she purchased to be a project show car. The car was fully restored and had been shown in two car shows. He said he put a great deal of time and money into the restoration of the car before the accident. It had a special kind of three-coat paint applied. He said the car's approximate value is US$25,000.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Eli Varzari explained how his injuries continue to affect his life. When he gets up in the morning his lower back is in pain, and he needs to roll off the bed. He then puts one knee on the ground and uses the support of the bed and table while using his arms to lift himself to a standing position. He takes a warm shower to relieve some of the pain and then does stretching. When he stretches, he said various parts of his body make cracking or popping sounds, including his left elbow, the centre of his chest, his left knee and his left wrist. As well his neck makes a cracking sound. After stretching, he eats breakfast but can only eat a small amount because if he eats too much it causes his lower back to hurt. After breakfast he sits down to watch T.V., but while sitting on the couch he must constantly change position. After watching T.V. for one or two hours he tries to go to the gym, but 7 out of 10 times he is unable to do so because of the pain. When he goes to the gym, he does light cardio and then lifts weights. He then returns home to rest and spends time with friends or family for the remainder of the day. He said that he has to deal with pain constantly. When he gets home in the evening he goes to bed and then lies there for hours before falling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accident he had the following injuries: his entire back was sore except for a very small portion at the top of his back. His neck was stiff and swollen. He had a bump and bruise on the top of his head. His left and right shoulders and the centre of his chest were bruised from the four point seatbelt that goes over both shoulders. As well, his left and right elbows, his left and right hands, his left hip, his left knee and his left foot were sore. He estimates that he was travelling 40 - 50 km per hour immediately before the impact. He said that it was only at the very last moment that he saw the wheels of the other car turn so that he hit his brakes only a few feet before the impact. Accordingly, he said the impact was like hitting a wall at 40 to 50 km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two other important points that emerge from Mr. Varzari's evidence. First, he admitted that shortly after the accident, he lost his driver's licence due to traffic violations, and he still does not have his licence back. He admitted that having a driver's licence is essential for him to pursue his apprenticeship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Second, in April 1998, Mr. Varzari slipped and fell quite hard on a cement floor at his home when he was reaching for something. He landed on his right buttock and injured his back. He testified that this was after he had quit his job at Eurosport, but that does not accord with the clinical notes of his family physician, Dr. Kline and with Dr. Kline's own testimony. Dr. Kline's notes show that Mr. Varzari visited him on April 24, 1998, in relation to his fall at home. After describing the fall, the notes go on to say: "Sore. Over next 2 days stayed home. Sore. Not at work since feels can't work." Dr. Kline prescribed physio, and Mr. Varzari subsequently attended several sessions of massage therapy at Healing Way Therapy in Burnaby. I find as a fact that Mr. Varzari had not quit his job at Eurosport prior to his fall at home, and that, as he told Dr. Kline, the reason he stayed home from work after the fall was because of soreness from that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called David Tran as a witness. He is the owner of Super Euro Auto Ltd. He said that Eli Varzari worked for him starting when he was 16 years old. He said that his business is cyclical, and things were slow from April to August 1997. Accordingly, he laid Mr. Varzari off on April 15, 1997. That date, of course, is before the motor vehicle accident. He said that he requires his employees to have a valid driver's licence. By August 1997, when business started to pick up and when Mr. Varzari was again looking for work, Mr. Tran had already hired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Tran confirmed that Eli Varzari put a lot of time and work into fixing up his mother's Datsun. Despite the fact that the car was quite old, Mr. Varzari put many new parts into it, and it had a better paint job than when it was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Constance Martin was called as a witness for the plaintiffs. She is an independent witness to the accident. She said she was driving westbound on Grandview Highway around 7:00 p.m. on April 20, 1997. There was a lot of traffic, and she, along with the other traffic (including Mr. Varzari) was travelling about 20 to 25 miles per hour. She noticed a car going eastbound really fast. The next thing she knew, that car did a U-turn, hit Mr. Varzari's car, and then kept going. She said she spoke to Mr. Varzari after the accident. He said he was okay, but he looked visibly shaken. In cross-examination, she maintained the car that left the scene was travelling in the middle lane, and that it never stopped before the accident. This contradicts Mr. Varzari's account that when he first saw the other car, it was stopped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Kline is the family physician of Eli Varzari. He testified that he saw Mr. Varzari at various times when he was young, but had not seen him for some years before May 23, 1997, when Mr. Varzari visited him in relation to ongoing pain that he was suffering following the April 20, 1997 accident. His diagnosis at that time was soft-tissue strain of the neck, back, arms and legs; left hip pain; chest wall sprain; adductor muscle strain of the left knee; general strain of multiple muscles, tendons, and ligaments in the arms and wrists. He advised active physiotherapy at the Canadian Back Institute, and prescribed anti-inflammatories.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September 11, 1997, Dr. Kline diagnosed a tender ganglion of Mr. Varzari's left wrist. He said this could possibly be caused by the accident, but it is a condition that may also occur spontaneously or from work. Dr. Kline referred him to Dr. Van Laeken, a plastic surgeon. On examination in December 1997, Dr. Van Laeken could find no evidence of a ganglion, but she referred Mr. Varzari to a specialist in hand surgery, Dr. Boyle, for further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Boyle, in his report of February 5, 1998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history and physical examination, I can find no specific etiology for his ongoing symptoms. He has nothing localizing by history and physical examination. Plain film x-rays and Bone Scan are reported as normal. An Arthrogram was not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suggested to him there was nothing further I could add. There is unlikely anything I can find to account for his ongoing reported symptoms. He feels strongly that further tests need to be done and I eventually agreed to an MRI. I do not feel it is likely to find any significant pathology in light of his non localizing findings and negative investigations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 MRI was done, and the results were completely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January 1998, Dr. Kline wrote that Mr. Varzari qualifies for the diagnosis of "Fibromyalgia", which is a painful soft-tissue condition. In cross-examination, Dr. Kline agreed that in making that diagnosis, he depended upon the patient's subjective reports that an area is tender. Dr. Kline also stated that given the sort of injuries complained of by Mr. Varzari, he would normally expect recovery within six months to two years, but added that some patients suffer pain for longer time periods, depending on their psycho-social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March 1999, Dr. Kline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05, 1999, which is the most recent visit to my office, the patient was doing quite well. He was not complaining of any neck discomfort. The writs also seemed to be okay. He had been doing an exercise program with weights.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glad to see that the patient's symptoms have apparently resolved and the fact that I have not seen him since January indicates that he remains well. Given his young age, and the fact that all of the radiographs and scans have been normal, I would expect Mr. Varzari to continue to do well. I think the long term prognosis is good. Heavy physical labor should, in any event, be avoided as this certainly seemed to have contributed to his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Kline's final report was written March 31, 2004. In it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now has some complaints and symptoms that were not initially present in the weeks or months following his accident. It is hard to definitively link his chondromalacia, or the lateral cutaneous nerve entrapment to his initial accident. These are common conditions in the general population and are not usually caused by the sort of accident suffered by Mr. Varzari. His soft tissue complaints have persisted longer than is usual for young, healthy patients, and I cannot explain why that is apparently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Eli Varzari was also examined by an orthopaedic surgeon, Dr. Hawk. In his report of September 18, 1997, he concluded that Mr. Varzari had by that time recovered from any injuries suffered in the present accident and another previous accident in 1995.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his present examination, I believe that he has recovered from these soft tissue injuries. I find no evidence of persisting muscle spasm or restricted motion of his neck, back, shoulders or upper extremities. I believe that his recovery of the injuries he sustained in these two motor vehicle accidents will be full and complete and I do not believe that he will be left with any permanent problems or sequelae as a result of the injuries he sustained in these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his report dated March 8, 1998, Dr. Hawk stated that he found no evidence of fibromyalgia, as diagnosed by Dr. Kline.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Hawk saw Mr. Varzari again on November 20, 2003. At that time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my present examination, I find no objective physical findings to support his being physically impaired. I believe that he has recovered from the soft tissue injuries he reportedly sustained in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write: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his present examination, I find no reason to restrict his work. I believe that he is physically capable of working as an autobody detailer.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submissions, the plaintiffs pointed out that in the above-noted passage, Dr. Hawk referred to Mr. Varzari's work as an autobody detailer, which is different from an autobody repairman. In their submission, this error should lead me to place little weight on Dr. Hawk's opinion about the ability of Mr. Varzari to return to work. I do not agree with that submission. Earlier, on page 5 of the same report, Dr. Hawk wrote: "Mr. Varzari states that he returned to work as an autobody repairman on August 29, 1997 and worked for approximately one year." I am satisfied Dr. Hawk understood that Mr. Varzari's work was as an autobody repairman, and that his reference elsewhere to his being a detailer is of no particular significance. I note that in the plaintiffs' Amended Statement of Claim filed March 10, 1998, the plaintiff Eli Varzari is described as "a detailer."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Before getting to the issues of liability and damages in this case, it is necessary to say something about the credibility of Eli Varzari's testimony, as the plaintiffs' claim is based largely on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cross-examination, counsel for the defendants questioned Mr. Varzari about his criminal record, pursuant to s. 15 of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When his previous convictions were put to him, he initially answered that he did not recall. He eventually admitted that on June 30, 1998, he was convicted of attempted auto theft, and that on November 21, 2001, he was convicted of possession of a controlled substance and obstructing a peace officer, and that on December 20, 2002, he was convicted of dangerous driving. He added that the dangerous driving conviction is going to be appealed. He admitted that as a result of his dangerous driving conviction, he is subject to a two-year driving prohibition which does not expire until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defendants also cross-examined Mr. Varzari about information he gave to a counsellor at the Royal Oak Clinic in December 2002. Mr. Varzari's initial response was that he did not remember. Pursuant to ss. 13 and 14 and of the Evidence Act, I permitted counsel for the defendants to ask Mr. Varzari about statements he allegedly made to Ravinder Rai at the Royal Oak Clinic on Kingsway in December 2002. He was shown the form containing the questions and answers. He testified that he did not provide the information on that form relating to his income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Pursuant to the procedure in the Evidence Act, I permitted counsel for the defendants to call Ravinder Rai as a witness to prove the previous inconsistent statements. He testified that he met with Eli Varzari at the clinic in December 2002, at which time Mr. Varzari told him that he had expenses of $100 to $200 a day and that he obtained the money from part-time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the evidence of Mr. Rai as truthful and accurate, and I find as a fact that Eli Varzari made the statements attributed to him about his employment in December 2002. Those statements contradict Eli Varzari's testimony that he had not worked since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assessing Eli Varzari's credibility, I take no account of the reason for his attendance at the Royal Oak Clinic. I do take into account, however, the fact that the evidence he gave at trial concerning his employment and income since the accident is inconsistent with statements he made to Mr. Rai in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were numerous other inconsistencies in Mr. Varzari's evidence. I will not catalogue them all, but merely give a few examples. Mr. Varzari testified that after leaving his job at Super Euro Auto Ltd. in April 1998, he was not able to return to the apprenticeship program or look for employment because of his injuries from the motor vehicle accident. In contrast is the letter at Tab 28 of Exhibit 1 written by Eli Varzari on December 3, 1999, to his apprenticeship counsellor, Lynn Ranger, in which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last employer laid more than 5 people off in the summer. Unfortunately, they are still not looking to replace anyone. I have looked extensively in my area and there is nothing that looks promising as yet. There is good promise for the new year at a few possible employers. I have been looking at relocating to another province, if nothing comes up by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Another example is this. Eli Varzari testified that he never drove a motor vehicle in the year 2003. Yet his physician, Dr. Kline testified that when Mr. Varzari attended his office in December 2003, he told him that his left knee makes cracking noises when he drives a car and uses the left foot clutch.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During his testimony there were frequent occasions on which Mr. Varzari paused for an extended period of time before giving an answer to a seemingly straightforward question. There were numerous occasions on which his answer in cross-examination was "I do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Eli Varzari is not a trustworthy witness. I find as a fact that where there is an inconsistency between his evidence and other independent evidence at trial, I prefer the other independent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submit that the issue of liability in this case is straightforward in that the plaintiff, Eli Varzari was lawfully travelling on Grandview Highway when the defendant Nghiem Vinh made an illegal U-turn in front of him, struck his vehicle, and then left the scene of the accident. The defendants submit that the issue of liability is not open and shut, because there is conflicting evidence as to the events leading up to the accident. They point out that there is conflicting evidence as to which lane Mr. Varzari was travelling in and which lane the defendant Vinh was in prior to the accident. There is also conflicting evidence as to whether Mr. Vinh's vehicle was stopped before he made the U-turn, as Mr. Varzari testified, or whether Mr. Vinh made the sudden U-turn without first stopping. In my view it is unnecessary to resolve those discrepancies since on either account, Mr. Vinh's negligent decision to make a sudden U-turn into the path of Mr. Varzari's vehicle was the clear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defendants submit that even if liability is found against the defendant Vinh, the plaintiff Eli Varzari should be found 25% at fault. The defendants suggest that Mr. Varzari should have exercised more care in attempting to pass the defendant's vehicle, and rely on ss. 157(1) and 159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when overtaking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(1) Except as provided in section 158,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driver of a vehicle overtaking another vehicle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Passing on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A driver of a vehicle must not drive to the left side of the roadway in overtaking and passing another vehicle unless the driver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my view there is no evidence to support a finding that Mr. Varzari was contributorily negligent. The evidence of the independent witness, Constance Martin, discloses nothing untoward about Mr. Varzari's driving on this occasion. According to her evidence, he was driving the speed limit, and the only thing that caught her attention was the manner of driving of the defendant, Mr. Vinh. Mr. Varzari and his passenger were both wearing seatbelts. Indeed, Mr. Varzari was wearing a four point seatbelt. There is, in my view,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 find the defendant Nghiem Vinh 100%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supports a finding that Mr. Varzari suffered mild to moderate soft-tissue sprains to his neck, back, and shoulders, as well as a contusion to the left scalp region. In my view the most reliable evidence as to the extent of those injuries is that of the orthopedic surgeon, Dr. Hawk. In his opinion, the soft-tissue injuries had resolved by September 18, 1997. Unlike Dr. Kline, Dr. Hawk found no evidence of fibromyalgia when he examined Mr. Varzari in September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was some evidence of a left wrist dorsal ganglion, but when Mr. Varzari was referred to Dr. Van Laeken on December 12, 1997, she found no evidence of a ganglion, nor signs of dorsal tendonitis. Nevertheless, Dr. Van Laeken referred Mr. Varzari to another specialist, Dr. Boyle. His examination in February 1998 did not disclose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Varzari underwent a large battery of tests including several x-rays, a whole body scan, and an MRI. The results of all those tests were normal. I am satisfied that the injuries suffered by the plaintiff Eli Varzari as a result of the motor vehicle accident had largely resolved within six months after the accident. This is consistent with the undisputed fact that Mr. Varzari returned to work in a physically demanding job in August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If Mr. Varzari had a ganglion that persisted into 1998, it has not been established that it was caused by the motor vehicle accident. The evidence of Dr. Kline was that although the ganglion may possibly be caused by the accident, it could also occur spontaneously or be caused by work. Dr. Van Laeken was not able to determine the exact etiology of Mr. Varzari's wrist discomfort. The normal test to assist in the accurate diagnosis would have been an arthrogram of the wrist, but Mr. Varzari refused to have that procedure completed. Dr. Boyle, in turn, could find nothing to account for Mr. Varzari's ongoing reported symptoms in February 1998. He nevertheless agreed to an MRI, the results of which were normal. Accordingly, I find that the plaintiffs have not established on a balance of probabilities that any symptoms experienced by Mr. Varzari after October 1997 were in fact attributable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plaintiffs submit that the appropriate award for general damages should be $40,000. The defendants submit that the appropriate range is $3,500 - $6,000, and rely upon the following cases: Dowell v. Knight, </w:t>
      </w:r>
      <w:hyperlink r:id="rId495" w:history="1">
        <w:r>
          <w:rPr>
            <w:rFonts w:ascii="arial" w:eastAsia="arial" w:hAnsi="arial" w:cs="arial"/>
            <w:i/>
            <w:color w:val="0077CC"/>
            <w:sz w:val="20"/>
            <w:u w:val="single"/>
            <w:shd w:val="clear" w:color="auto" w:fill="FFFFFF"/>
            <w:lang w:val="en-US" w:eastAsia="en-US" w:bidi="ar-SA"/>
          </w:rPr>
          <w:t>[2002] B.C.J. No. 2547</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2002 BCSC 1566</w:t>
        </w:r>
      </w:hyperlink>
      <w:r>
        <w:rPr>
          <w:rFonts w:ascii="arial" w:eastAsia="arial" w:hAnsi="arial" w:cs="arial"/>
          <w:color w:val="000000"/>
          <w:sz w:val="20"/>
          <w:lang w:val="en-US" w:eastAsia="en-US" w:bidi="ar-SA"/>
        </w:rPr>
        <w:t xml:space="preserve">; McAvena v. Kabatoff, </w:t>
      </w:r>
      <w:hyperlink r:id="rId496" w:history="1">
        <w:r>
          <w:rPr>
            <w:rFonts w:ascii="arial" w:eastAsia="arial" w:hAnsi="arial" w:cs="arial"/>
            <w:i/>
            <w:color w:val="0077CC"/>
            <w:sz w:val="20"/>
            <w:u w:val="single"/>
            <w:shd w:val="clear" w:color="auto" w:fill="FFFFFF"/>
            <w:lang w:val="en-US" w:eastAsia="en-US" w:bidi="ar-SA"/>
          </w:rPr>
          <w:t>[2003] B.C.J. No. 986</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2003 BCSC 629</w:t>
        </w:r>
      </w:hyperlink>
      <w:r>
        <w:rPr>
          <w:rFonts w:ascii="arial" w:eastAsia="arial" w:hAnsi="arial" w:cs="arial"/>
          <w:color w:val="000000"/>
          <w:sz w:val="20"/>
          <w:lang w:val="en-US" w:eastAsia="en-US" w:bidi="ar-SA"/>
        </w:rPr>
        <w:t xml:space="preserve">; and Mangat v. Jackson, </w:t>
      </w:r>
      <w:hyperlink r:id="rId497" w:history="1">
        <w:r>
          <w:rPr>
            <w:rFonts w:ascii="arial" w:eastAsia="arial" w:hAnsi="arial" w:cs="arial"/>
            <w:i/>
            <w:color w:val="0077CC"/>
            <w:sz w:val="20"/>
            <w:u w:val="single"/>
            <w:shd w:val="clear" w:color="auto" w:fill="FFFFFF"/>
            <w:lang w:val="en-US" w:eastAsia="en-US" w:bidi="ar-SA"/>
          </w:rPr>
          <w:t>[2004] B.C.J. No. 467</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2004 BCSC 319</w:t>
        </w:r>
      </w:hyperlink>
      <w:r>
        <w:rPr>
          <w:rFonts w:ascii="arial" w:eastAsia="arial" w:hAnsi="arial" w:cs="arial"/>
          <w:color w:val="000000"/>
          <w:sz w:val="20"/>
          <w:lang w:val="en-US" w:eastAsia="en-US" w:bidi="ar-SA"/>
        </w:rPr>
        <w:t>. I am satisfied that the award for non-pecuniary damages should be assessed at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submissions, the plaintiffs originally claimed $2,260 as special damages for medical expenses and attendance at a gym. It was pointed out to the plaintiffs that they had led no evidence to support the claim for gym expenses. The plaintiffs, who were not represented by counsel at trial, were asked whether they wished to reopen their case to lead further evidence, but they declined to do so. Accordingly, the claim for medical expenses must be confined to the evidence supported by receipts at Tab 32 of Exhibit 1. That includes treatments in the summer of 1997 at the Canadian Back Institute totaling $125, treatments at the Massage Therapy Centre in the summer of 1997 totaling $30, and treatments in 1998 at Healing Way Therapy totaling $225. However, I have already found as a fact that the attendance at Healing Way Therapy was necessitated not by injuries from this motor vehicle accident, but rather from an unrelated slip and fall at home in April 1998. Accordingly, special damages for medical treatment will be awarded only for the 1997 expenses in the amount of $155, plus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also claim special damages for the cost to repair Mrs. Varzari's Datsun that was damaged in the accident. The amount of these damages is more difficult than usual to assess, because the car itself was unusual. On the one hand, it was a very old 1971 Datsun 510. On the other hand, the undisputed evidence is that it had, prior to the accident, been lovingly restored by the plaintiffs and was in unusually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One week after the accident, on April 28, 1997, an estimator employed by ICBC examined the plaintiffs' vehicle and wrote up an estimate of the costs of repair both for parts and labour. The total amount recorded on an ICBC Form CL14 came to $2,788.50.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Alfred Stolz was the estimator who prepared that report. He testified at trial. He has extensive experience, having been involved in the automotive industry since 1985. I listened to him carefully as he gave his evidence. I was impressed with his thoroughness and attention to detail. He was extensively cross-examined by the plaintiffs. Repeatedly, suggestions were put to him that he had not properly taken into account all of the damage caused by the accident and had not given proper credit for the unusually good condition of this 1971 Datsun. The effect of his evidence, and in particular his cross-examination, does not support the plaintiffs' contention that his repair estimate for ICBC was either lacking in thoroughness or unfairly low. On the contrary, he pointed out several items in the CL14 Form where he made allowance for various additional procedures at additional repair expense in order to take account of the fact that this was not an ordinary 1971 automobile. I had the distinct impression that Mr. Stolz had as much of a fondness for automobiles as does the plaintiff Eli Varzari, and that he could understand Mr. Varzari's frustration when his lovingly restored vehicle was damaged in the accident. I conclude that Mr. Stolz's estimate was a fair one and was based on objective criteria. The plaintiffs supplied at Tab 3 of Exhibit 1 their own estimate for repairs to the vehicle. It is unsupported by any receipts. On one calculation, the plaintiffs' estimate comes to $5,228.82. On the next page, another estimate is given of $7,415.83. In submissions, the plaintiffs took the position that an award of $10,000 would be reasonable at today's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that the estimate of Mr. Stolz is closer to the true cost of repairs than the estimates of the plaintiffs. In his evidence at trial, Mr. Stolz fairly conceded that the estimate that he prepared in 1997 would need to be adjusted upwards to account for today's prices. He also agreed that the special paint used on the plaintiffs' Datsun is unusually expensive and should be accounted for. He estimated that the cost of repair in today's dollars may be as high as $3,500. He also agreed that there should be an additional allowance for the special tri-coat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impossible to calculate the award for repair of this car with precision. It may be impossible to fully restore the car to its pre-accident condition due to the limited availability of parts for a vehicle that is now over 30 years old. In my view, a fair award based on all of the evidence is $4,000 for repair of the vehicle, plus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should add that the plaintiff, Eli Varzari, gave evidence that at some point in 1998 he took the Datsun for a test drive and the engine seized. He claimed that this was due to hidden damage from the accident when the radiator support was pushed against the distributor. Mr. Stolz was specifically cross-examined on this point, and he did not agree that the radiator was pushed back in the way described by Mr. Varzari. In assessing the award of damages for repair of the vehicle, I have done so on the basis that no damage to the engine is attributable to the motor vehicle accident of April 20,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Eli Varzari claims that he lost his job at Super Euro Auto Ltd. as a result of the injuries he suffered in this motor vehicle accident. He is currently unemployed and claims that apart from the period from August 1997 to April 1998 when he worked for Eurosport and apart from brief jobs at Chevron and as a telemarketer in 2001, he has been and remains unable to work due to his injuries from the accident. In submissions, the plaintiffs claimed damages for past income loss in the amount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found as a fact that Mr. Varzari's accident related injuries had largely resolved by October 1997. This is supported both by the medical evidence and by the fact that in August 1997 he started a new job in the same industry at Eurosport Auto making $2 per hour more than he did at Super Euro Auto Ltd.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accept Mr. Varzari's evidence that his injuries from the motor vehicle accident were the cause of his eventually quitting his job at Eurosport in April 1998. I find as a fact that the pain he was suffering at the end of April 1998 was due to his fall at home that was unrelated to the motor vehicle accident. I have already found as a fact that this fall occurred just before he stopped working at Eurosport.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only period of job loss to be considered, then, is the period between the accident on April 20, 1997, and when Mr. Varzari started working at Eurosport Auto on August 14, 1997. I cannot accept Mr. Varzari's claim that the loss of his job at Super Euro Auto Ltd. is attributable to the accident. The evidence of David Tran is quite clear: Eli Varzari was laid off from Super Euro Auto Ltd. due to a seasonal slow down in business on April 15, 1997, several days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Nevertheless, it may well be that had it not been for the soft-tissue injuries that Eli Varzari was suffering from in the months immediately after the accident, he might have been rehired at Super Euro Auto Ltd. or, alternatively, he may have found other work earlier than August 1997. For that reason, I find that he is entitled to compensation for past wage loss for a period of 12 weeks, to be calculated at the rate of pay he was earning at Super Euro Auto Ltd. prior to the accident, namely, $12 per hour, 40 hours per week. I therefore find that he is entitled to damages for past wage loss in the amount of $5,760 plus court order interest. That amount is calculated on Eli Varzari's gross income, in accordance with s. 53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as amended, as the cause of action in this case arises out of an accident that occurred prior to June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doubt that if Eli Varzari had completed his apprenticeship his earning capacity would be greater than it is today. I heard evidence at trial from Lynn Ranger, who was Eli Varzari's apprenticeship counsellor from 1997 to 1999. It is clear from her evidence that after the motor vehicle accident Mr. Varzari was given ample opportunity to complete his apprenticeship. Indeed, he was given an extension of 12 months, which was well beyond the usual six-month time frame for finding a new employer. For whatever reason, Mr. Varzari chose not to take the opportunity to complete his apprenticeship. On the basis of the facts as I have found them, I am satisfied that his reason for failing to complete his apprenticeship is unrelated to the motor vehicle accident. Accordingly, there is no basis to make an award in this case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it is not necessary for me to answer the question of why Mr. Varzari did not complete his apprenticeship, counsel for the defendants has offered one possible explanation, and that is the fact that Mr. Varzari lost his driver's licence due to his own traffic violations, and he has not recovered his licence since. Possession of a valid driver's licence is, on the evidence, necessary to complete his apprenticeship.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Whatever may be the reason, it should be noted that Lynn Ranger's evidence was that notwithstanding the passage of time from 1997 until now, Mr. Varzari may still apply to have his file reopened and complete the apprenticeship program. He will still get credit for the work and courses he has already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the plaintiffs sought punitive damages, apparently on the basis that they felt ICBC unreasonably denied their claim. I heard evidence at this trial from Darryl Mathieson, who was an adjuster with ICBC handling this claim for the plaintiffs in 1997. He was vigorously cross-examined by the plaintiffs. He explained that there were problems with this claim. Mr. Varzari had changed his name shortly before this accident. That made investigation of his past claims history more difficult. As well, there were issues as to whether Gayle Varzari, in whose name the registration and insurance for the Datsun were taken out, was indeed the true owner and principle operator. Finally, there was uncertainty as to the circumstances of the accident itself, such as, whether the defendant Vinh's vehicle was stopped or moving immediately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order to award punitive damages here I would have to find that ICBC was guilty of morally reprehensible conduct in the handling of this claim. The evidence before me does not support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Vorvis v. Insurance Corporation of British Columbia, </w:t>
      </w:r>
      <w:hyperlink r:id="rId49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Mr. Justice McIntyre for the majority wrote at pp. 1104 - 1105: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all authorities accept the proposition that an award of punitive damages should always receive the most careful consideration and the discretion to award them should be most cautiously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say at pp. 1105 - 1106: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then can punitive damages be awarded? It must never be forgotten that when awarded by a judge or a jury, a punishment is imposed upon a person by a Court by the operation of the judicial process. What is it that is punished? It surely cannot be merely conduct of which the Court disapproves, however strongly the judge may feel. Punishment may not be imposed in a civilized community without a justification in law. The only basis for the imposition of such punishment must be a finding of the commission of an actionable wrong which caused the injury complained of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at pp. 1107 - 1108 McIntyre J.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punitive damages may only be awarded in respect of conduct which is of such nature as to be deserving of punishment because of its harsh, vindictive, reprehensible and malicious nature. I do not suggest that I have exhausted the adjectives which could describe the conduct capable of characterizing a punitive award, but in any case where such an award is made the conduct must be extreme in its nature and such that by any reasonable standard it is deserving of full condemnation and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in this case led evidence of other prior dealings between Eli Varzari and ICBC. They put in evidence a consent order dated October 23, 2002, in Insurance Corporation of British Columbia v. Eli William Varzari also known as Eliah Vincent Kerluck, Vancouver Registry No. C994349. There is nothing in the evidence to suggest that whatever happened in that lawsuit has any bearing on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evidence in this case, I can find no basis for an award of punitive damages, and I dismiss that aspect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Unless there are matters of which I am unaware, the plaintiffs are entitled to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58" style="position:absolute;z-index:25188659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5" w:name="Forward_fnref_fnr-star"/>
      <w:hyperlink w:anchor="Backward_fnref_fnr-star" w:history="1">
        <w:r>
          <w:rPr>
            <w:rFonts w:ascii="arial" w:eastAsia="arial" w:hAnsi="arial" w:cs="arial"/>
            <w:b/>
            <w:color w:val="BE161D"/>
            <w:sz w:val="18"/>
            <w:shd w:val="clear" w:color="auto" w:fill="FFFFFF"/>
            <w:lang w:val="en-US" w:eastAsia="en-US" w:bidi="ar-SA"/>
          </w:rPr>
          <w:t>*</w:t>
        </w:r>
      </w:hyperlink>
      <w:bookmarkEnd w:id="245"/>
      <w:r>
        <w:rPr>
          <w:rFonts w:ascii="arial" w:eastAsia="arial" w:hAnsi="arial" w:cs="arial"/>
          <w:sz w:val="20"/>
          <w:lang w:val="en-US" w:eastAsia="en-US" w:bidi="ar-SA"/>
        </w:rPr>
        <w:tab/>
      </w:r>
      <w:r>
        <w:rPr>
          <w:rFonts w:ascii="arial" w:eastAsia="arial" w:hAnsi="arial" w:cs="arial"/>
          <w:color w:val="6D6E71"/>
          <w:sz w:val="18"/>
          <w:lang w:val="en-US" w:eastAsia="en-US" w:bidi="ar-SA"/>
        </w:rPr>
        <w:t>Although Mr. Varzari testified that the accident occurred on 12th Avenue, the pleadings say Grandview Highway and other independent evidence confirms that that was the location. I make nothing of this discrepancy, as I take judicial note of the fact that 12th Avenue effectively becomes Grandview Highway at a point near where the accident occurred. I also note that in his statement to the Insurance Corporation of British Columbia, Mr. Varzari referred to the accident location as Grandview Highway.</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911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Visser v. Loblaws Inc. (c.o.b. The Real Canadian Superstore), [2001] B.C.J. No. 2728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S046020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575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Wilhelmina M. Visser, plaintiff, and Loblaws Inc. doing business as The Real Canadian Superstore, Westfair Properties (Pacific) Ltd. and Westfair Foods Ltd., defendants, and Kawal Persaud Office Products Ltd. and T.G. Metal Fabricating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6" w:name="Keywords_25"/>
      <w:bookmarkEnd w:id="246"/>
      <w:r>
        <w:rPr>
          <w:rFonts w:ascii="arial" w:eastAsia="arial" w:hAnsi="arial" w:cs="arial"/>
          <w:b/>
          <w:color w:val="000000"/>
          <w:sz w:val="20"/>
          <w:lang w:val="en-US" w:eastAsia="en-US" w:bidi="ar-SA"/>
        </w:rPr>
        <w:t xml:space="preserve">Torts — Occupiers' liability for dangerous premises — Duty of occupier, to visitor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Duty of care — Unsafe accessories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7" w:name="Case Summary_23"/>
            <w:bookmarkEnd w:id="2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customer for damages for personal injuries suffered when the chair on which she was sitting in the pharmacy area of the defendant's store broke, causing her to fall to the floor. The 78-year-old customer experienced bruising to her neck, arm and upper back. There had been no prior complaints about the chair and nothing unusual was noticed about it during cleaning and moving. The customer argued that pursuant to section 3(2)(b) of the Occupier's Liability Act, the store owed a duty to take care that she was reasonably safe in relation to the activity of waiting for her prescription on the store's premises. The store denied that the statutory duty was owed. The store admitted that it owed a common law duty to use reasonable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8" w:name="Holdings of Court_21"/>
            <w:bookmarkEnd w:id="248"/>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statutory duty was owed to the customer. Sitting on a chair while waiting for a prescription was not an "activity" within the meaning of section 3(2)(b) of the Act. The store did not breach its common law duty. The evidence did not establish that the store exposed its customers to unreasonable risk of harm by supplying the particular chair, that it did not use reasonable care in the selection of the chair, or that it knew or ought to have known that the chair would break.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23"/>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506" w:history="1">
        <w:r>
          <w:rPr>
            <w:rFonts w:ascii="arial" w:eastAsia="arial" w:hAnsi="arial" w:cs="arial"/>
            <w:i/>
            <w:color w:val="0077CC"/>
            <w:sz w:val="20"/>
            <w:u w:val="single"/>
            <w:shd w:val="clear" w:color="auto" w:fill="FFFFFF"/>
            <w:lang w:val="en-US" w:eastAsia="en-US" w:bidi="ar-SA"/>
          </w:rPr>
          <w:t>R.S.B.C. 1996, c. 337, ss. 1</w:t>
        </w:r>
      </w:hyperlink>
      <w:r>
        <w:rPr>
          <w:rFonts w:ascii="arial" w:eastAsia="arial" w:hAnsi="arial" w:cs="arial"/>
          <w:color w:val="000000"/>
          <w:sz w:val="20"/>
          <w:lang w:val="en-US" w:eastAsia="en-US" w:bidi="ar-SA"/>
        </w:rPr>
        <w:t>, 3(1), 3(2)(b).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25"/>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Voss, for the plaintiff. I. Hallam,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25"/>
      <w:bookmarkEnd w:id="251"/>
      <w:r>
        <w:pict>
          <v:line id="_x0000_s1163"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DILLON J."/>
            <w:bookmarkEnd w:id="252"/>
            <w:r>
              <w:rPr>
                <w:rFonts w:ascii="arial" w:eastAsia="arial" w:hAnsi="arial" w:cs="arial"/>
                <w:b/>
                <w:color w:val="000000"/>
                <w:sz w:val="30"/>
                <w:lang w:val="en-US" w:eastAsia="en-US" w:bidi="ar-SA"/>
              </w:rPr>
              <w:t>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personal injury suffered when the chair in which she was sitting in the pharmacy area of the defendant's Real Canadian Superstore at 1301 Lougheed Highway, Coquitlam, B.C., broke, causing the 78 year old plaintiff to fall to the floor. The Real Canadian Superstore ("Superstore") is a supermarket owned and operated by the defendant, Westfair Foods Ltd. ("Westfair"). There is no contest that Westfair is an "occupier" under section 1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Third party proceedings were not pursued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12, 1997, the plaintiff was at the Superstore to fill a prescription. She preferred the store because of the prices and convenience of shopping while she waited for her prescriptions. On this day, she did not shop, but sat down on one of three chairs offered for customers waiting for their prescriptions. The chair collapsed beneath her, sending the plaintiff to the ground. Her arm, shoulder, and back immediately hurt. Her head struck the floor. Her legs were in the air, causing embarrassment. She refused help to get up, concerned that they would pull her and injure her hip. The manager of the store came and offered help but the plaintiff wanted to go home on her own. She drove home and called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Superstore had placed three chairs near the pharmacy for use by customers while they waited for their prescriptions. These were metal chairs that had been brought from the store's leisure department some time before 1994. They were standard office stacking-type chairs made of grey metal with a stiff fabric-covered seat. The chairs were moved daily for cleaning. Nothing unusual was noticed about them although any inspection was for cleanliness and not for safety. Although well used, there had been no complaints about them. According to the manager of the store who viewed the chair afterwards, all four metal welds holding the right side chair legs were broken or buckled. The fabric on the seat was intact. The store manager prepared an incident report. The actual chair was inadvertently thrown away. There was no expert report before me as to why the chair broke. A similar chair was placed in evidence before me and the manager testified to his observations of where the chair had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had significant medical problems prior to her fall. She had a triple lumbar fusion in 1963. She had osteoarthritis since the early 1990's. She had left hip osteoarthritis and a right hip replacement in 1994. She had degenerative disk disease of her neck and lumbar area. Following a car accident in November 1996, she required epidural steroid injections to manage lower back pain. She received homecare as a result of this accident until December 1997. She had degenerative lumbar spondylosis with spondylolisthesis. In February 1997, her general practitioner described right leg weakness, a limp when walking, use of a cane, and difficulty raising herself from a seated position. In March 1997, she was described by her neurosurgeon as being in constant lower back pain which increased with bending. The pain extended into the right lower extremity which caused difficulty walking so that the plaintiff frequently used a cane. In May 1997, a medical assessment described that the plaintiff was severely limited in her ability to walk and be mobile. She had severe back pain from minor lifting such as a gallon of milk. She used a cane or cart to get around. She was limping. One day prior to the fall, she was given an epidural steroid injection in the lumbrosacral angle to relieve pain. On this date, she was described as having difficulty walking more than a block, doing housework and gardening. As expected, the injection resulted in considerable improvement in her symptoms for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fall, the plaintiff was bruised in the neck, arm and upper back. Her left shoulder hurt. She had a headache. She was told to take aspirin. No other treatment was immediately prescribed. One week after the fall, the plaintiff still complained of headaches but she had normal range of movement. Her general practitioner concluded that she suffered soft tissue injury of the trapezius and resultant headache as a result of the fall. It also contributed to a flare-up of her lower back pain in the fall of 1997. The plaintiff attended ten physiotherapy sessions over the next five months. The plaintiff said that she stopped going to physiotherapy because she felt good and did not need more treatment. Her general practitioner concluded that the plaintiff suffered shoulder pain and restriction of motion for four to six months after the fall. Her last attendance upon the plaintiff related to the fall was in December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Shortly after the fall, the plaintiff left on a planned trip to Europe. She said that she felt well before she left. Her housekeeper also thought that she was in good shape before her departure. However, during the trip she tried to keep up with relatives and was very active walking. She overdid herself and suffered consequent pain. She had not brought a cane and was required to purchase one. On her return, she attended for more epidural injection treatments. The neurosurgeon did not distinguish this pain from what he had treated before the fall. In fact, he did not mention the fall in his assessment of the plaintiff on December 22, 1997. Her general practitioner testified that there was significant relief in the first few months after the fall and that the fall played no or an insignificant role in the incapacity suffered by the plaintiff upon her return from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required some help with the heavier work at home after the fall. Her son, who had moved in when she returned from Europe for reasons unrelated to the fall, assisted her. The plaintiff slept on a couch in the living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said that section 3(2)(b) of the Occupier's Liability Act, applied so that the defendant owed a duty to take care that the plaintiff was reasonably safe in relation to the activity of waiting for her prescription while on the defendant's premises. The defendant denied that the statutory duty was owed in the circumstances involving use of a chair while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relevant provisions of s. 3 of the Act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Wiley v. Tymar Management Inc. </w:t>
      </w:r>
      <w:hyperlink r:id="rId507" w:history="1">
        <w:r>
          <w:rPr>
            <w:rFonts w:ascii="arial" w:eastAsia="arial" w:hAnsi="arial" w:cs="arial"/>
            <w:i/>
            <w:color w:val="0077CC"/>
            <w:sz w:val="20"/>
            <w:u w:val="single"/>
            <w:shd w:val="clear" w:color="auto" w:fill="FFFFFF"/>
            <w:lang w:val="en-US" w:eastAsia="en-US" w:bidi="ar-SA"/>
          </w:rPr>
          <w:t>(1997), 87 B.C.A.C. 313</w:t>
        </w:r>
      </w:hyperlink>
      <w:r>
        <w:rPr>
          <w:rFonts w:ascii="arial" w:eastAsia="arial" w:hAnsi="arial" w:cs="arial"/>
          <w:color w:val="000000"/>
          <w:sz w:val="20"/>
          <w:lang w:val="en-US" w:eastAsia="en-US" w:bidi="ar-SA"/>
        </w:rPr>
        <w:t>, the Court of Appeal dismissed an appeal from the trial decision of Allan J. (</w:t>
      </w:r>
      <w:hyperlink r:id="rId508" w:history="1">
        <w:r>
          <w:rPr>
            <w:rFonts w:ascii="arial" w:eastAsia="arial" w:hAnsi="arial" w:cs="arial"/>
            <w:i/>
            <w:color w:val="0077CC"/>
            <w:sz w:val="20"/>
            <w:u w:val="single"/>
            <w:shd w:val="clear" w:color="auto" w:fill="FFFFFF"/>
            <w:lang w:val="en-US" w:eastAsia="en-US" w:bidi="ar-SA"/>
          </w:rPr>
          <w:t>(1994), 1 B.C.L.R. (3d) 201</w:t>
        </w:r>
      </w:hyperlink>
      <w:r>
        <w:rPr>
          <w:rFonts w:ascii="arial" w:eastAsia="arial" w:hAnsi="arial" w:cs="arial"/>
          <w:color w:val="000000"/>
          <w:sz w:val="20"/>
          <w:lang w:val="en-US" w:eastAsia="en-US" w:bidi="ar-SA"/>
        </w:rPr>
        <w:t>) and concluded that there was no basis for a claim under the Act in the case of a collapsed chair at a bingo hall. The trial judge found that sitting in a chair was not an "activity" conducted on the premises within the meaning of s. 3(2)(b) of the Act and that a chattel such as a chair is not included in "premises" in s. 1 of the Act. There was no statutory duty to ensure that the chair upon which the plaintiff sat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Howells v. Southland Canada, Inc., </w:t>
      </w:r>
      <w:hyperlink r:id="rId509" w:history="1">
        <w:r>
          <w:rPr>
            <w:rFonts w:ascii="arial" w:eastAsia="arial" w:hAnsi="arial" w:cs="arial"/>
            <w:i/>
            <w:color w:val="0077CC"/>
            <w:sz w:val="20"/>
            <w:u w:val="single"/>
            <w:shd w:val="clear" w:color="auto" w:fill="FFFFFF"/>
            <w:lang w:val="en-US" w:eastAsia="en-US" w:bidi="ar-SA"/>
          </w:rPr>
          <w:t>[1995] B.C.J. No. 397</w:t>
        </w:r>
      </w:hyperlink>
      <w:r>
        <w:rPr>
          <w:rFonts w:ascii="arial" w:eastAsia="arial" w:hAnsi="arial" w:cs="arial"/>
          <w:color w:val="000000"/>
          <w:sz w:val="20"/>
          <w:lang w:val="en-US" w:eastAsia="en-US" w:bidi="ar-SA"/>
        </w:rPr>
        <w:t xml:space="preserve"> (S.C.) involved a plaintiff falling from a broken chair that had been provided for patrons of a Seven-Eleven store while they ate their snacks. Sigurdson J. followed Allan J. in Wiley and said that no statutory duty was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can find no basis to distinguish either Wiley or Howells as to the activity undertaken in this case. Sitting on a chair while waiting for a prescription is basically the same as sitting on a chair while playing bingo or eating a snack.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Cisecki v. Nipawin (Town) </w:t>
      </w:r>
      <w:hyperlink r:id="rId510" w:history="1">
        <w:r>
          <w:rPr>
            <w:rFonts w:ascii="arial" w:eastAsia="arial" w:hAnsi="arial" w:cs="arial"/>
            <w:i/>
            <w:color w:val="0077CC"/>
            <w:sz w:val="20"/>
            <w:u w:val="single"/>
            <w:shd w:val="clear" w:color="auto" w:fill="FFFFFF"/>
            <w:lang w:val="en-US" w:eastAsia="en-US" w:bidi="ar-SA"/>
          </w:rPr>
          <w:t>(2000), 192 Sask. R. 161</w:t>
        </w:r>
      </w:hyperlink>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2000 SKQB 119</w:t>
        </w:r>
      </w:hyperlink>
      <w:r>
        <w:rPr>
          <w:rFonts w:ascii="arial" w:eastAsia="arial" w:hAnsi="arial" w:cs="arial"/>
          <w:color w:val="000000"/>
          <w:sz w:val="20"/>
          <w:lang w:val="en-US" w:eastAsia="en-US" w:bidi="ar-SA"/>
        </w:rPr>
        <w:t>, a goal judge's chair bolted to the hockey rink boards was found to be an unusual danger under the principles of occupier's liability. The issues of whether the chair was a chattel or whether the plaintiff was engaged in an activity were not specifically addressed. However, the goal judge's chair was not equated with an ordinary chair as it had a particular apparatus and purpose distinct from that of an ordinary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Following the decisions in Wiley and Howells, I conclude that no statutory duty was owed the plaintiff in this case. But, that is not the end of the analysis. There is a common law duty to use reasonable care. The defendant admits that it owes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It is not the law that steps must be taken to avoid all accidents. The standard imposed is of reasonable conduct. No one is bound to act so to rule out any possibility of accident (Swift v. MacDougall, </w:t>
      </w:r>
      <w:hyperlink r:id="rId511" w:history="1">
        <w:r>
          <w:rPr>
            <w:rFonts w:ascii="arial" w:eastAsia="arial" w:hAnsi="arial" w:cs="arial"/>
            <w:i/>
            <w:color w:val="0077CC"/>
            <w:sz w:val="20"/>
            <w:u w:val="single"/>
            <w:shd w:val="clear" w:color="auto" w:fill="FFFFFF"/>
            <w:lang w:val="en-US" w:eastAsia="en-US" w:bidi="ar-SA"/>
          </w:rPr>
          <w:t>[1976] 1 S.C.R. 240</w:t>
        </w:r>
      </w:hyperlink>
      <w:r>
        <w:rPr>
          <w:rFonts w:ascii="arial" w:eastAsia="arial" w:hAnsi="arial" w:cs="arial"/>
          <w:color w:val="000000"/>
          <w:sz w:val="20"/>
          <w:lang w:val="en-US" w:eastAsia="en-US" w:bidi="ar-SA"/>
        </w:rPr>
        <w:t>). The question is whether the defendant took reasonable care to ensure that the chairs used by its patrons were reasonably safe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analysis must begin with the recognition that "a chair is not an inherently unsafe object" (Wiley (B.C.S.C.), supra at para. 40; Howells, supra at para. 26). There is no evidence before me as to why this particular chair broke. It is a standard chair in common use. There is no evidence that there was an inherent defect or that it was unsuitable. I do not know why the chair broke. In Wiley, supra at para. 9, Lambert, J.A. said that it was not possible to find that there was a breach of a duty of care in similar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difficulty presented to the appellant in pressing its argument is that there was no evidence from which a conclusion can be drawn about why this chair collapsed. We know is [sic] was a folding chair. It may have collapsed because it was not properly unfolded. It may have collapsed because of an inherent defect that could not have been noticed by inspection. It may have collapsed because it became unsuitable for its purpose and if that is so that might have been a matter that could have been determined by inspection or it might not have been a matter that could have been determined by inspection. In the end we just do not know why the chair collapsed. Without that knowledge it is not possible to find that there was breach of a duty of care and I could not say that the trial judge erred in principle or was clearly wrong in finding that there was no breach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circumstance, the fact that the defendant did not carry out an inspection for safety and that the chair had been in heavy use for considerable time is not determinative of anything because it cannot be determined whether an inspection would have revealed the break or whether the chairs could have been expected to break over time with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does not establish that the defendant was exposing its customers to unreasonable risk of harm by supplying this chair or that it did not use reasonable care in the selection of the chair or that it knew or ought to have known that the chair would break. The facts do disclose that this chair and others like it had been in regular use for a long time without incident. There was no evidence that this type of chair deteriorates over time. Without evidence as to why the chair broke, I cannot infer that the chair was unsafe or that the defendant knew or ought to have known that it was unsafe. The chair was cleaned and moved almost daily. There was no evidence that any such chair was broken in such a way that regular inspection during cleaning would have revealed a defect. I cannot conclude that a reasonable maintenance and inspection system would have revealed that the chair was in need of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did not plead and did not argue res ipsa loquitur. However, I would not find it applicable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not necessary for me to decide damages. However, I will do so to expedite any further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extent of the plaintiff's injuries was described above. Based upon the opinion of her general practitioner, the plaintiff suffered shoulder pain and restriction of motion for four to six months after her fall. She suffered headaches for a period of time and bruises. The plaintiff felt well a month or so after the fall prior to her departure on a European holiday. Given the very serious nature of her back problem before this incident, she would have had considerable difficulty walking and travelling generally in any event of this fall. She ceased physiotherapy in December 1997. Although the general practitioner said that this fall contributed to the flare-up of back pain in the fall of 1997 for which the plaintiff was extensively treated prior to this incident, this contribution was minor to the point of almost being insignificant. The ongoing back pain of the plaintiff is not causally related to this incident after December 1997. All symptoms resultant from this fall had resolved within six months. There was not a continuing contribution to the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decision of Mr. Justice Smith (as he then was) in Way v. Frigon, </w:t>
      </w:r>
      <w:hyperlink r:id="rId512" w:history="1">
        <w:r>
          <w:rPr>
            <w:rFonts w:ascii="arial" w:eastAsia="arial" w:hAnsi="arial" w:cs="arial"/>
            <w:i/>
            <w:color w:val="0077CC"/>
            <w:sz w:val="20"/>
            <w:u w:val="single"/>
            <w:shd w:val="clear" w:color="auto" w:fill="FFFFFF"/>
            <w:lang w:val="en-US" w:eastAsia="en-US" w:bidi="ar-SA"/>
          </w:rPr>
          <w:t>[2001] B.C.J. No. 1629</w:t>
        </w:r>
      </w:hyperlink>
      <w:r>
        <w:rPr>
          <w:rFonts w:ascii="arial" w:eastAsia="arial" w:hAnsi="arial" w:cs="arial"/>
          <w:color w:val="000000"/>
          <w:sz w:val="20"/>
          <w:lang w:val="en-US" w:eastAsia="en-US" w:bidi="ar-SA"/>
        </w:rPr>
        <w:t xml:space="preserve"> provides a review of the range of damages in similar cases. Non-pecuniary damages are assessed at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Special damages were agreed at $314.64.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action is dismissed. The defendant is entitled to costs on the scale of three should it wish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Wang v. Epoch Press Ltd., [2017] B.C.J. No. 148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2016 (Vancouver, B.C.);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4, 2017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S153227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Yu Zhi Wang, Plaintiff, and Epoch Press Ltd., formerly known as Xin San Cai Enterprises Ltd., Frank Cui, Ying Lian Sun, Sue Zhang and Vanstar Printers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26"/>
      <w:bookmarkEnd w:id="253"/>
      <w:r>
        <w:rPr>
          <w:rFonts w:ascii="arial" w:eastAsia="arial" w:hAnsi="arial" w:cs="arial"/>
          <w:b/>
          <w:color w:val="000000"/>
          <w:sz w:val="20"/>
          <w:lang w:val="en-US" w:eastAsia="en-US" w:bidi="ar-SA"/>
        </w:rPr>
        <w:t>Civil litigation — Civil procedure — Pleadings — Striking out pleadings or allegations — Grounds — Application by defendants to strike notice of civil claim allowed with leave to amend to properly plead causes of action that were not derivative in nature — Plaintiff alleged that she and defendants incorporated company, that she was owed money for loans and salary and that she was ousted as director —  — Without clarity as to what causes of action plaintiff alleged, in what capacity, against which party in what capacity and on what facts, court could not properly assess viability of claims — Supreme Court Civil Rules, Rule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24"/>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notice of civil claim. The plaintiff alleged that she and the defendants incorporated a company to print a religious periodical, that she was owed money for loans and salary and that she was ousted as a director. Her claims included conspiracy to cause economic harm, intentional interference with economic and contractual interests, deceit,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breach of fiduciary duty, breach of contract, breach of employment obligations and numerous derivative claims on behalf of the company. She brought the claims in her capacities as an employee, director, shareholder and creditor and sued the defendants in their roles as individuals, directors, shareholders, officers or employees, contracting parties and co-religionists. She had not obtained leave to bring the derivative claims.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22"/>
            <w:bookmarkEnd w:id="255"/>
            <w:r>
              <w:rPr>
                <w:rFonts w:ascii="arial" w:eastAsia="arial" w:hAnsi="arial" w:cs="arial"/>
                <w:color w:val="000000"/>
                <w:sz w:val="20"/>
                <w:lang w:val="en-US" w:eastAsia="en-US" w:bidi="ar-SA"/>
              </w:rPr>
              <w:t>HELD: Application allowed with leave to amend to properly plead causes of action that were not derivative in nature.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fundamental difficulty with the notice of civil claim was that it failed to make clear what claims were being made against which defendants and in which capacity each defendant was alleged to be liable. It was often unclear as to the capacity in which the plaintiff was advancing the claims. It was often unclear as to what facts were relied on in relation to the causes of action. The plaintiff wished to bring derivative claims on behalf of the company, but had not obtained leave for that purpose. It was unknown what personal claims might remain if leave were not granted. Without clarity as to what causes of action the plaintiff alleged, in what capacity, against which party in what capacity and on what facts, the court could not properly assess the viability of the claims. The defendants were unable to understand the case they had to meet.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Legislation Cited_24"/>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520" w:history="1">
        <w:r>
          <w:rPr>
            <w:rFonts w:ascii="arial" w:eastAsia="arial" w:hAnsi="arial" w:cs="arial"/>
            <w:i/>
            <w:color w:val="0077CC"/>
            <w:sz w:val="20"/>
            <w:u w:val="single"/>
            <w:shd w:val="clear" w:color="auto" w:fill="FFFFFF"/>
            <w:lang w:val="en-US" w:eastAsia="en-US" w:bidi="ar-SA"/>
          </w:rPr>
          <w:t>S.B.C. 2002, c. 57, s. 227</w:t>
        </w:r>
      </w:hyperlink>
      <w:r>
        <w:rPr>
          <w:rFonts w:ascii="arial" w:eastAsia="arial" w:hAnsi="arial" w:cs="arial"/>
          <w:color w:val="000000"/>
          <w:sz w:val="20"/>
          <w:lang w:val="en-US" w:eastAsia="en-US" w:bidi="ar-SA"/>
        </w:rPr>
        <w:t>(3), s. 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 Rule 9-5(1) (a), Rule 9-5(1)(b), Rule 9-5(1)(c),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B.C. Reg. 221/90, Rule 19(24)(b), Rule 19(24)(c)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7" w:name="Counsel_26"/>
      <w:bookmarkEnd w:id="2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K.D.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Epoch Press Ltd., formerly known as Xin San Cai Enterprises Ltd., Frank Cui and Ying Lian Sun and Vanstar Printers Inc.: L.J. Wihak.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Sue Zhang: C.M. Ansley.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26"/>
      <w:bookmarkEnd w:id="258"/>
      <w:r>
        <w:pict>
          <v:line id="_x0000_s1168"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F.E. VERHOEVEN J."/>
            <w:bookmarkEnd w:id="259"/>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Epoch Press Ltd. ("Epoch"), Frank Cui ("Cui"), Ying Lian Sun ("Sun"), and Vanstar Printers Inc. ("Vanstar") apply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 9-5 (1) (a), (b) and (d) to strike out and dismiss all or parts of this action. Alternatively the applicants seek an order requiring the plaintiff to amend the Notice of Civil Claim ("NOCC") to disclose a cause of action within 30 days of the order. The application is supported by the remaining defendant, Sue Zhang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refer to Cui, Sun and Zhang as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acknowledges that some amendments to the NOCC are necessary, and has presented a proposed Amended NOCC (the "proposed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NOCC makes a number of claims that are personal to the plaintiff, all arising out of her relationship with Epoch and the personal defendants. The NOCC and the proposed ANOCC also set out claims that are intended to form the basis of a derivative action on behalf of Epoch, as against the personal defendants and Vanstar. However, the plaintiff has not obtained leave of the court to bring such claims under s. 232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as is required. The applicants argue that in the absence of the required leave, the derivative claims are clearly improper, without merit, and must be struck. The applicants argue that the remainder of the NOCC should also be struck out,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argues that the application should be adjourned in order to allow her to obtain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Rule 9-5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provides in part as follows: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mentioned, the applicants rely on subrules (a), (b) and (d)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adopt my comments in </w:t>
      </w:r>
      <w:r>
        <w:rPr>
          <w:rFonts w:ascii="arial" w:eastAsia="arial" w:hAnsi="arial" w:cs="arial"/>
          <w:i/>
          <w:color w:val="000000"/>
          <w:sz w:val="20"/>
          <w:lang w:val="en-US" w:eastAsia="en-US" w:bidi="ar-SA"/>
        </w:rPr>
        <w:t>Lessor v. Toll Estate</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2015 BCSC 427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As noted, [the applicant] applies pursuant to Rule 9-5(1)(a) and (d) for an order striking the pleadings on the basis that they fail to disclose a reasonable cause of action, or, alternatively, that they constitute an abuse of process. On an application under Rule 9-5(1)(a), no evidence is admissible: Rule 9-5(2).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Pleadings must clearly define the issues of fact and law. Rule 3-1(2) requires that a notice of civil claim must: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819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adopt my comments in </w:t>
      </w:r>
      <w:r>
        <w:rPr>
          <w:rFonts w:ascii="arial" w:eastAsia="arial" w:hAnsi="arial" w:cs="arial"/>
          <w:i/>
          <w:color w:val="000000"/>
          <w:sz w:val="20"/>
          <w:lang w:val="en-US" w:eastAsia="en-US" w:bidi="ar-SA"/>
        </w:rPr>
        <w:t>Stoneman v. Denman Island Trust Committee</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concerning the purpose of pleadings: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purpose of pleadings is to clearly define the issues of fact and law to be determined by the court. The issues must be defined for each cause of action relied upon by the plaintiff: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paras. 59-60, citing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K. Smith J. stated at para.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Chief Justice McLachlin emphasized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that the plaintiff must clearly plead the facts upon which it relies in making its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A claimant is not entitled to rely on the possibility that new facts may turn up as the case progresses. The claimant may not be in a position to prove the facts pleaded at the time of the motion. It may only hope to be able to prove them. </w:t>
      </w:r>
      <w:r>
        <w:rPr>
          <w:rFonts w:ascii="arial" w:eastAsia="arial" w:hAnsi="arial" w:cs="arial"/>
          <w:color w:val="000000"/>
          <w:sz w:val="20"/>
          <w:u w:val="single"/>
          <w:lang w:val="en-US" w:eastAsia="en-US" w:bidi="ar-SA"/>
        </w:rPr>
        <w:t>But plead them it must</w:t>
      </w:r>
      <w:r>
        <w:rPr>
          <w:rFonts w:ascii="arial" w:eastAsia="arial" w:hAnsi="arial" w:cs="arial"/>
          <w:color w:val="000000"/>
          <w:sz w:val="20"/>
          <w:lang w:val="en-US" w:eastAsia="en-US" w:bidi="ar-SA"/>
        </w:rPr>
        <w:t>. The facts pleaded are the firm basis upon which the possibility of success of the claim must be evaluated. If they are not pleaded, the exercise cannot be properly conducted.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As observed by Justice Frankel in </w:t>
      </w:r>
      <w:r>
        <w:rPr>
          <w:rFonts w:ascii="arial" w:eastAsia="arial" w:hAnsi="arial" w:cs="arial"/>
          <w:i/>
          <w:color w:val="000000"/>
          <w:sz w:val="20"/>
          <w:lang w:val="en-US" w:eastAsia="en-US" w:bidi="ar-SA"/>
        </w:rPr>
        <w:t>British Columbia (Director of Civil Forfeiture) v. Flynn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2013 BCCA 91</w:t>
        </w:r>
      </w:hyperlink>
      <w:r>
        <w:rPr>
          <w:rFonts w:ascii="arial" w:eastAsia="arial" w:hAnsi="arial" w:cs="arial"/>
          <w:color w:val="000000"/>
          <w:sz w:val="20"/>
          <w:lang w:val="en-US" w:eastAsia="en-US" w:bidi="ar-SA"/>
        </w:rPr>
        <w:t xml:space="preserve"> at para. 10, the test for striking pleadings because they fail to disclose a reasonable cause of action is well-known. In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McLachlin C.J.C. enunciated the test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parties agree on the test applicable on a motion to strike for not disclosing a reasonable cause of action under r. 19(24)(a) [now Rule 9-5(1) (a)] of the B.C. Supreme Court Rules.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 Another way of putting the test is that the claim has no reasonable prospect of success. Where a reasonable prospect of success exists, the matter should be allowed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at para. 40, Justice Kirkpatrick provided the following guidelines for determining whether it is "plain and obvious" that a claim will fail: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the claim at trial is beyond a reasonable doubt;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serious questions of law or questions of general importance are raised or if facts should be known before rights are decided;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pleadings might be amended;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 element of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 successful application under Rule 9-5(1)(a) can lead to an order striking the pleadings with leave to amend, or an order dismissing the claim outright. If the defect in the pleading may be cured by amendment, the court may grant leave to amend: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2012 BCSC 1401</w:t>
        </w:r>
      </w:hyperlink>
      <w:r>
        <w:rPr>
          <w:rFonts w:ascii="arial" w:eastAsia="arial" w:hAnsi="arial" w:cs="arial"/>
          <w:color w:val="000000"/>
          <w:sz w:val="20"/>
          <w:lang w:val="en-US" w:eastAsia="en-US" w:bidi="ar-SA"/>
        </w:rPr>
        <w:t xml:space="preserve"> at para. 38. If, however, the claim is without legal foundation regardless of how it is pleaded the court may dismiss the claim: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meaning of the terms used in subrules 19(24)(b) and (c) of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now R. 9-5(1)(b) and (c)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was discussed by Romilly J.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w:t>
      </w:r>
      <w:r>
        <w:rPr>
          <w:rFonts w:ascii="arial" w:eastAsia="arial" w:hAnsi="arial" w:cs="arial"/>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(B.C.C.A.). An allegation which is scandalous will not be struck if it is relevant to the proceedings. It will only be struck if irrelevant as well as scandalous: </w:t>
      </w:r>
      <w:r>
        <w:rPr>
          <w:rFonts w:ascii="arial" w:eastAsia="arial" w:hAnsi="arial" w:cs="arial"/>
          <w:i/>
          <w:color w:val="000000"/>
          <w:sz w:val="20"/>
          <w:lang w:val="en-US" w:eastAsia="en-US" w:bidi="ar-SA"/>
        </w:rPr>
        <w:t>College of Dental Surgeons of B.C. v. Cleland</w:t>
      </w:r>
      <w:r>
        <w:rPr>
          <w:rFonts w:ascii="arial" w:eastAsia="arial" w:hAnsi="arial" w:cs="arial"/>
          <w:color w:val="000000"/>
          <w:sz w:val="20"/>
          <w:lang w:val="en-US" w:eastAsia="en-US" w:bidi="ar-SA"/>
        </w:rPr>
        <w:t xml:space="preserve"> (1968), 66 W.W.R. 499 (B.C.C.A.). 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(Q.L.) (B.C.S.C.). A pleading that is superfluous will not be struck out if it is not necessarily unnecessary or otherwise objectionable: </w:t>
      </w:r>
      <w:r>
        <w:rPr>
          <w:rFonts w:ascii="arial" w:eastAsia="arial" w:hAnsi="arial" w:cs="arial"/>
          <w:i/>
          <w:color w:val="000000"/>
          <w:sz w:val="20"/>
          <w:lang w:val="en-US" w:eastAsia="en-US" w:bidi="ar-SA"/>
        </w:rPr>
        <w:t>Lutz v. Canadian Puget Sound Lumber and Timber Co</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 A pleading is "frivolous" if it is obviously unsustainable, not in the sense that it lacks an evidentiary basis, but because of the doctrine of estoppel: </w:t>
      </w:r>
      <w:r>
        <w:rPr>
          <w:rFonts w:ascii="arial" w:eastAsia="arial" w:hAnsi="arial" w:cs="arial"/>
          <w:i/>
          <w:color w:val="000000"/>
          <w:sz w:val="20"/>
          <w:lang w:val="en-US" w:eastAsia="en-US" w:bidi="ar-SA"/>
        </w:rPr>
        <w:t>Chrisgian v. B.C. Rail Ltd. et al.</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(6 July 1992), Prince George Registry 20714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modern view is that novel claims should not be struck at the pleadings stage: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 40, citing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 and obvious" test also applies to applications under the other subrules of R. 9-5(1): see </w:t>
      </w:r>
      <w:r>
        <w:rPr>
          <w:rFonts w:ascii="arial" w:eastAsia="arial" w:hAnsi="arial" w:cs="arial"/>
          <w:i/>
          <w:color w:val="000000"/>
          <w:sz w:val="20"/>
          <w:lang w:val="en-US" w:eastAsia="en-US" w:bidi="ar-SA"/>
        </w:rPr>
        <w:t>Parmar v. Blenz the Canadian Coffee Co.</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2007 BCSC 1190</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to abuse of process, I adopt my comments in </w:t>
      </w:r>
      <w:r>
        <w:rPr>
          <w:rFonts w:ascii="arial" w:eastAsia="arial" w:hAnsi="arial" w:cs="arial"/>
          <w:i/>
          <w:color w:val="000000"/>
          <w:sz w:val="20"/>
          <w:lang w:val="en-US" w:eastAsia="en-US" w:bidi="ar-SA"/>
        </w:rPr>
        <w:t>Acumar Consulting Engineers Ltd. v. The Association of Professional Engineers and Geoscientists of British Columbia (APEGBC)</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2014 BCSC 814</w:t>
        </w:r>
      </w:hyperlink>
      <w:r>
        <w:rPr>
          <w:rFonts w:ascii="arial" w:eastAsia="arial" w:hAnsi="arial" w:cs="arial"/>
          <w:color w:val="000000"/>
          <w:sz w:val="20"/>
          <w:lang w:val="en-US" w:eastAsia="en-US" w:bidi="ar-SA"/>
        </w:rPr>
        <w:t xml:space="preserve"> at paras. 28-30: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Judges have an inherent and residual discretion to prevent an abuse of the court's process: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at para. 35. There, Arbour J.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...This concept of abuse of process was described at common law as proceedings "unfair to the point that they are contrary to the interest of justice"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at p. 616), and as "oppressive treatment" (</w:t>
      </w:r>
      <w:r>
        <w:rPr>
          <w:rFonts w:ascii="arial" w:eastAsia="arial" w:hAnsi="arial" w:cs="arial"/>
          <w:i/>
          <w:color w:val="000000"/>
          <w:sz w:val="20"/>
          <w:lang w:val="en-US" w:eastAsia="en-US" w:bidi="ar-SA"/>
        </w:rPr>
        <w:t>R. v. Conway</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xml:space="preserve">, at p. 1667). McLachlin J. (as she then was) expressed it this way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at p. 1007: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abuse of process may be established where: (1) the proceedings are oppressive or vexatious; and, (2) violate the fundamental principles of justice underlying the community's sense of fair play and decency. The concepts of oppressiveness and vexatiousness underline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As can be seen from the above-noted comments of McLachlin J., there is no bright line dividing vexatious proceedings from those that are an abuse of the court's process. The factors that signal a vexatious proceeding may also signal an abusive process. However abuse of process is a wider concept which can capture any circumstance in which the court's process is used for an improper purpose: </w:t>
      </w:r>
      <w:r>
        <w:rPr>
          <w:rFonts w:ascii="arial" w:eastAsia="arial" w:hAnsi="arial" w:cs="arial"/>
          <w:i/>
          <w:color w:val="000000"/>
          <w:sz w:val="20"/>
          <w:lang w:val="en-US" w:eastAsia="en-US" w:bidi="ar-SA"/>
        </w:rPr>
        <w:t>Freshway Specialty Foods Inc. v. Map Produce LLC, et al</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2005 BCSC 1485</w:t>
        </w:r>
      </w:hyperlink>
      <w:r>
        <w:rPr>
          <w:rFonts w:ascii="arial" w:eastAsia="arial" w:hAnsi="arial" w:cs="arial"/>
          <w:color w:val="000000"/>
          <w:sz w:val="20"/>
          <w:lang w:val="en-US" w:eastAsia="en-US" w:bidi="ar-SA"/>
        </w:rPr>
        <w:t xml:space="preserve"> at para. 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categories of abuse of process are open. Abuse of process may be found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noted, the plaintiff's claims arise out of her relationship with Epoch and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Some of the basic facts asserted in the NOCC are as follows:</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the personal defendants and three other persons incorporated or founded Epoch (as Xin San Cai Enterprises Ltd.) on June 2, 2004. These individuals were appointed as the company's directors and remain so (NOCC para. 1.28). (Or the personal defendants were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directors, (NOCC para. 3.22); (the NOCC is ambiguous about this).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Epoch was incorporated for these primary business purposes: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commercial printing company;</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print a religious periodical called the "Epoch Times"; and</w:t>
      </w:r>
    </w:p>
    <w:p>
      <w:pPr>
        <w:numPr>
          <w:numId w:val="1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employment and profits for the founders of the company.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personal defendants are devout Falun Gong practitioners. Epoch was operated entirely by Falun Gong practitioners.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contributed $180,000 (whether this is Canadian or US funds is not clear) for shares in the company.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the company's President and the managing director of its business from 2005 until she was ousted on March 3, 2009.</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owed salary of $224,900 by Epoch.</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invested or loaned $267,000 USD to Epoch in 2005. Of this $120,000 USD was provided by an anonymous investor. The plaintiff was to receive shares in Epoch for the loans or investments, but the shares were not issued to her. Most of the money was not repaid.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Beginning in 2008 the personal defendants conspired to terminate the plaintiff's control of the business of the company and to remove her as a director.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Operations Manager, Cui, along with the other personal defendants, failed to collect receivables owed to the company in the amount of $400,000, resulting in the need for the company to issue shares to Sun, thus diluting the shareholdings of the plaintiff.</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defendants caused a lawsuit to be brought against Epoch by a newspaper, the Asian Pacific Post, which Epoch was under contract to print.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defendants misappropriated $18,000 from Epoch.</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3, 2009 the personal defendants prepared a forged shareholders' resolution purporting to remove her as a director, and terminated her employment and position as President with Epoch.</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2009 the personal defendants and Epoch agreed to pay the plaintiff unpaid accumulated salary as well as repay her shareholder loans. These contractual obligations were breached.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defendants have refused to provide audited financial statements for Epoch, or financial reporting or information.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defendants transferred Epoch's assets and its business to Vanstar, rendering Epoch insolvent.</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Sun is the sole director of Vanstar.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Cui, Zhang and Sun defamed the plaintiff in 2007 - 2009 by making various defamatory comments about the plaintiff (the plaintiff proposes to abandon the defamation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makes numerous claims, expressed in terms of numerous legal causes of action. These include, non-exhaustively: conspiracy to cause economic harm; intentional interference with economic and contractual interests; deceit;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 knowing assistance in breach of fiduciary duty; knowing receipt; breach of fiduciary duty by the personal defendants to the plaintiff, and to Epoch; breaches of contracts; breach of employment obligations by Cui; and numerous derivative claims on behalf of Epoch. The NOCC also seeks orders for financial audits; the rectification of Epoch's corporate records; and injunctive relief against Vanstar.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proposed ANOCC abandons the defamation claims but adds claims for relief against oppression under s. 227(3)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and claims for breach of fiduciary duty against the personal defendants based upon their relationship with the plaintiff as Falun Gong co-religionists.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acknowledges that she brings her claims in four distinct legal capacities: as an employee of Epoch; as a director of Epoch; as a shareholder; and as a creditor.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the basis of the pleadings, the personal defendants also occupied several distinct legal roles: as individuals; as directors, or perhaps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directors; as shareholders; as officers or employees of the company (i.e. in the case of Cui); as contracting parties with the plaintiff, or perhaps as guarantors or indemnitors of Epoch's obligations; and as co-religionists.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fundamental difficulty with the NOCC is that it fails to make clear what claims are being made against which defendants, and in which capacity each defendant is alleged to be liable. The NOCC is also often unclear as to the capacity in which the plaintiff is advancing the claims, or seeking to do so. Similarly it is often unclear as to what facts are relied on in relation to the myriad causes of action and remedies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proposed ANOCC adds further claims and is not a significant improvement in terms of clarity.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Generally, the NOCC and the proposed ANOCC are unclear as to whether the plaintiff is seeking to advance claims on her own behalf or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example, in relation to the allegations of "conspiracy to cause harm to the plaintiff" in paras. 58-59 of Part 1 of the NOCC, the plaintiff blends allegations that seem to relate to personal loss to her, such as matters relating to her termination as President and a director and the company's failure to issue shares to her, and allegations that seem to relate to loss to Epoch, such as allegations that the personal defendants advised Epoch's staff that the company was insolvent and encouraged the staff to strike. These allegations are lumped together in the NOCC and collectively defined as the "Harmful Acts". The Harmful Acts and several other groups of allegations (defined as "Misrepresentation", "[Asian Pacific Post] Incident", "Fraudulent Termination", "Failed Dissolution" and "Unlawful Conversion") are alleged to form the bases of personal claims on behalf of the plaintiff in some capacity against the personal defendants in some capacity, but also to form the basis for the intended derivative action on behalf of Epoch.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Another fundamental difficulty is that the plaintiff wishes to bring proceedings on behalf of the company as a derivative action, but has not sought and obtained leave of the court for that purpose. This is not a case where the plaintiff is seeking to advance personal claims for oppression, which might potentially in some circumstances also be grounds for derivative claims. Here, the plaintiff wishes to assert both types of claims, but has not distinguished them. If the claims are fundamentally derivative in nature, in that they are for loss to the company and do not form the basis for personal claims by the plaintiff, then unless leave is granted, they should be struck: </w:t>
      </w:r>
      <w:r>
        <w:rPr>
          <w:rFonts w:ascii="arial" w:eastAsia="arial" w:hAnsi="arial" w:cs="arial"/>
          <w:i/>
          <w:color w:val="000000"/>
          <w:sz w:val="20"/>
          <w:lang w:val="en-US" w:eastAsia="en-US" w:bidi="ar-SA"/>
        </w:rPr>
        <w:t>Hoet v. Vogel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[1995] B.C.J. No. 621</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aff'g </w:t>
      </w:r>
      <w:hyperlink r:id="rId538" w:history="1">
        <w:r>
          <w:rPr>
            <w:rFonts w:ascii="arial" w:eastAsia="arial" w:hAnsi="arial" w:cs="arial"/>
            <w:i/>
            <w:color w:val="0077CC"/>
            <w:sz w:val="20"/>
            <w:u w:val="single"/>
            <w:shd w:val="clear" w:color="auto" w:fill="FFFFFF"/>
            <w:lang w:val="en-US" w:eastAsia="en-US" w:bidi="ar-SA"/>
          </w:rPr>
          <w:t>2006 BCSC 1538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Robak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unknown what if any claims the plaintiff might be granted leave to advance on behalf of Epoch. It is unknown what personal claims might remain if leave is not granted. As noted there is much overlap or potential for overlap between her personal claims and the claims she seeks to advance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Another difficulty is that on the basis of the NOCC as filed and the proposed ANOCC, the plaintiff is suing Epoch at the same time as she is proposing to bring claims on its behalf. This may be a factor for the court to consider if an application is made for leave to commence a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applicants contend that several of the apparent claims are without merit. For example, they argue that pursuant to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67 E.R. 189 (Ch.)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 director or shareholder of a corporation does not have a personal cause of action for loss of investment or share value based on a wrong done to the corporation. The applicants rely on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R.L.T.V. Investments Inc. v. Saskatchewan Telecommunications</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2009 SKCA 83</w:t>
        </w:r>
      </w:hyperlink>
      <w:r>
        <w:rPr>
          <w:rFonts w:ascii="arial" w:eastAsia="arial" w:hAnsi="arial" w:cs="arial"/>
          <w:color w:val="000000"/>
          <w:sz w:val="20"/>
          <w:lang w:val="en-US" w:eastAsia="en-US" w:bidi="ar-SA"/>
        </w:rPr>
        <w:t xml:space="preserve"> for this proposition. They argue that to the extent that the plaintiff is seeking to advance such claims, they are without merit. They argue, relying on </w:t>
      </w:r>
      <w:r>
        <w:rPr>
          <w:rFonts w:ascii="arial" w:eastAsia="arial" w:hAnsi="arial" w:cs="arial"/>
          <w:i/>
          <w:color w:val="000000"/>
          <w:sz w:val="20"/>
          <w:lang w:val="en-US" w:eastAsia="en-US" w:bidi="ar-SA"/>
        </w:rPr>
        <w:t>Robak</w:t>
      </w:r>
      <w:r>
        <w:rPr>
          <w:rFonts w:ascii="arial" w:eastAsia="arial" w:hAnsi="arial" w:cs="arial"/>
          <w:color w:val="000000"/>
          <w:sz w:val="20"/>
          <w:lang w:val="en-US" w:eastAsia="en-US" w:bidi="ar-SA"/>
        </w:rPr>
        <w:t xml:space="preserve"> at para. 38, that in order to establish a personal claim for loss of her investment as a shareholder, the plaintiff must have both an independent relationship with the wrongdoer, and a loss that is independent to that of the company to which the wrong has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applicants point out that there is a distinction between claims that are alleged to be derivative, and claims based upon oppression, citing </w:t>
      </w:r>
      <w:r>
        <w:rPr>
          <w:rFonts w:ascii="arial" w:eastAsia="arial" w:hAnsi="arial" w:cs="arial"/>
          <w:i/>
          <w:color w:val="000000"/>
          <w:sz w:val="20"/>
          <w:lang w:val="en-US" w:eastAsia="en-US" w:bidi="ar-SA"/>
        </w:rPr>
        <w:t>1043325 Ontario Ltd. v. CSA Building Sciences Western Ltd.</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2016 BCCA 258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CSA Building Sciences</w:t>
      </w:r>
      <w:r>
        <w:rPr>
          <w:rFonts w:ascii="arial" w:eastAsia="arial" w:hAnsi="arial" w:cs="arial"/>
          <w:color w:val="000000"/>
          <w:sz w:val="20"/>
          <w:lang w:val="en-US" w:eastAsia="en-US" w:bidi="ar-SA"/>
        </w:rPr>
        <w:t xml:space="preserve">] at paras. 48, 54, 71-78. To the extent the plaintiff wishes to advance claims for oppression, the applicants argue that she must "show particular prejudice or damage beyond the diminution in value of his or her shares as a result of the allegedly oppressive conduct" as set out at para. 78 of </w:t>
      </w:r>
      <w:r>
        <w:rPr>
          <w:rFonts w:ascii="arial" w:eastAsia="arial" w:hAnsi="arial" w:cs="arial"/>
          <w:i/>
          <w:color w:val="000000"/>
          <w:sz w:val="20"/>
          <w:lang w:val="en-US" w:eastAsia="en-US" w:bidi="ar-SA"/>
        </w:rPr>
        <w:t>CSA Building Sciences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applicants also argue that Canadian law is clear that directors do not owe fiduciary duties to their fellow directors. Rather, directors owe a duty of care and fiduciary duty to act in the best interests of the company; here the applicants rely on </w:t>
      </w:r>
      <w:r>
        <w:rPr>
          <w:rFonts w:ascii="arial" w:eastAsia="arial" w:hAnsi="arial" w:cs="arial"/>
          <w:i/>
          <w:color w:val="000000"/>
          <w:sz w:val="20"/>
          <w:lang w:val="en-US" w:eastAsia="en-US" w:bidi="ar-SA"/>
        </w:rPr>
        <w:t>Peoples Department Stores Inc. (Trustee of) v. Wise</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2004 SCC 68</w:t>
        </w:r>
      </w:hyperlink>
      <w:r>
        <w:rPr>
          <w:rFonts w:ascii="arial" w:eastAsia="arial" w:hAnsi="arial" w:cs="arial"/>
          <w:color w:val="000000"/>
          <w:sz w:val="20"/>
          <w:lang w:val="en-US" w:eastAsia="en-US" w:bidi="ar-SA"/>
        </w:rPr>
        <w:t>. Furthermore, the applicants submit that the actions of the directors of the company are the actions of the company; a company can only act through its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Finally, the applicants argue that if the plaintiff now wishes to add claims of breach of fiduciary duty based upon the personal defendants being Falun Gong co-religionists, then that claim is also without merit because the proposed pleading does not disclose a recognized category of fiduciary duty or plead any of the elements necessary to establish a new category, and because there is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any of the elements exist. They rely on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In this respect a difficulty on this application is that the proposed ANOCC has not been filed and, as a result of my judgment on this application, a different pleading will be required. It is premature to assess the viability of this apparently novel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argues that her claims are complex, legally and factually, because the material events took place over several years, because she advances her claims under a number of causes of action and in various capacities, and because the defendants also occupied varying roles. Therefore, if I understand the argument correctly, the plaintiff argues that the court should allow her latitude in relation to her pleadings at this stage. The plaintiff suggests that the pleadings can be amended and refined over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without clarity as to what causes of action the plaintiff alleges, in what capacity, and against which party in what capacity, and on what facts, the court cannot properly assess the viability of the plaintiff's claims. The defendants are unable to understand the case they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NOCC and the proposed ANOCC fail to fulfill the basic purposes of pleadings, that is, to clearly define the issues of fact and law to be determined by the court. The plaintiff's pleadings fail to set out the material facts relating to the various, and numerous, causes of action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Justice Voith's comments in </w:t>
      </w:r>
      <w:r>
        <w:rPr>
          <w:rFonts w:ascii="arial" w:eastAsia="arial" w:hAnsi="arial" w:cs="arial"/>
          <w:i/>
          <w:color w:val="000000"/>
          <w:sz w:val="20"/>
          <w:lang w:val="en-US" w:eastAsia="en-US" w:bidi="ar-SA"/>
        </w:rPr>
        <w:t>Canfor Pulp Limited Partnership v. Siemens Building Technologies Ltd.</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2016 BCSC 2089</w:t>
        </w:r>
      </w:hyperlink>
      <w:r>
        <w:rPr>
          <w:rFonts w:ascii="arial" w:eastAsia="arial" w:hAnsi="arial" w:cs="arial"/>
          <w:color w:val="000000"/>
          <w:sz w:val="20"/>
          <w:lang w:val="en-US" w:eastAsia="en-US" w:bidi="ar-SA"/>
        </w:rPr>
        <w:t xml:space="preserve"> are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several causes of action are being alleged against multiple parties, a statement of claim or third party notice must clearly identify what facts relate to what cause of action and to which party. It is inappropriate to lump defendants together in a pleading and to make blanket allegations against them, unless those defendants were in an identical relationship with the plaintiff. Such pleadings are necessarily imprecise, are overly general, and make it impossible to discern on what basis each of the defendants could be held liable. Such a pleading may be struck for failing to clearly define the issues of fact and law that are to be determined by the court and/or for being vexatious, prejudicial to a fair trial of the proceeding, and an abuse of process; see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The Campbell River Indian Band C.A</w:t>
      </w:r>
      <w:r>
        <w:rPr>
          <w:rFonts w:ascii="arial" w:eastAsia="arial" w:hAnsi="arial" w:cs="arial"/>
          <w:color w:val="000000"/>
          <w:sz w:val="20"/>
          <w:lang w:val="en-US" w:eastAsia="en-US" w:bidi="ar-SA"/>
        </w:rPr>
        <w:t xml:space="preserve">. at paras. 76-77;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at paras. 17-18; and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53-54.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Rather than focusing her claims, the plaintiff has chosen to attempt to pursue a plethora of causes of action against numerous defendants in varying capacities based upon many factual allegations stretching over several years. The difficulties inherent in properly pleading such claims are self-made. No matter how complex the facts and causes of action the plaintiff wishes to assert may be, she is not relieved of the responsibility of properly pleading them. Indeed, the approach taken by the plaintiff only serves to emphasize the need for intelligible, coherent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also argues that, "[i]f the pleadings cast too wide a net at this stage, are unclear or assert causes of action which ought properly to be brought by the Company it is the direct result of the Plaintiff being illegally removed and blocked from access to all information and thus having to use third parties and publicly available records to determine what happened to her own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the plaintiff argues that based upon the foregoing the action should not be struck at this stage, but instead the application should be adjourned to permit her to obtain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stated by McLachlin C.J.C.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the plaintiff must plead the facts upon which its claim relies, whether or not the plaintiff is in a position to prove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is axiomatic that the pleadings define the issues before the court. Thus, they define the scope of discovery, since the issues determine what information must be disclosed through discovery. The issues also determine what evidence is relevant at trial. It is illogical to suggest that discovery processes should proceed without adequate pleadings: see </w:t>
      </w:r>
      <w:r>
        <w:rPr>
          <w:rFonts w:ascii="arial" w:eastAsia="arial" w:hAnsi="arial" w:cs="arial"/>
          <w:i/>
          <w:color w:val="000000"/>
          <w:sz w:val="20"/>
          <w:lang w:val="en-US" w:eastAsia="en-US" w:bidi="ar-SA"/>
        </w:rPr>
        <w:t>SunOil Ltd. v. Big Snowy Resources L.P.</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2015 BCSC 167</w:t>
        </w:r>
      </w:hyperlink>
      <w:r>
        <w:rPr>
          <w:rFonts w:ascii="arial" w:eastAsia="arial" w:hAnsi="arial" w:cs="arial"/>
          <w:color w:val="000000"/>
          <w:sz w:val="20"/>
          <w:lang w:val="en-US" w:eastAsia="en-US" w:bidi="ar-SA"/>
        </w:rPr>
        <w:t xml:space="preserve"> at para. 19, citing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seems that the NOCC sets out facts which could potentially form the basis of viable causes of action. Thus, dismissal of the claim in its entirety is not appropriate,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Where a pleading is so prolix and confusing that the other party cannot understand the case to meet, it should be struck out pursuant to R. 9-5: </w:t>
      </w:r>
      <w:r>
        <w:rPr>
          <w:rFonts w:ascii="arial" w:eastAsia="arial" w:hAnsi="arial" w:cs="arial"/>
          <w:i/>
          <w:color w:val="000000"/>
          <w:sz w:val="20"/>
          <w:lang w:val="en-US" w:eastAsia="en-US" w:bidi="ar-SA"/>
        </w:rPr>
        <w:t>Gateway Building Management Ltd. v. Randhawa</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xml:space="preserve"> at para. 18, citing </w:t>
      </w:r>
      <w:r>
        <w:rPr>
          <w:rFonts w:ascii="arial" w:eastAsia="arial" w:hAnsi="arial" w:cs="arial"/>
          <w:i/>
          <w:color w:val="000000"/>
          <w:sz w:val="20"/>
          <w:lang w:val="en-US" w:eastAsia="en-US" w:bidi="ar-SA"/>
        </w:rPr>
        <w:t>The Owners, Strata Plan LMS3259 v. Sze Hang Holding Inc.</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 xml:space="preserve"> at para. 36. Also, as noted, the court is unable to determine whether any of the causes of action asserted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the extent the plaintiff seeks to advance derivative claims, she must seek leave of the court. Thus the derivative claims she makes in the NOCC must be struck out. The difficulty is that the pleadings are anything but clear as to what claims are in reality derivative and which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Assuming the plaintiff wishes to pursue a derivative action, in my view the starting point must be for her to bring an application for leave to do so. Plaintiff's counsel advised me that it was her intention to do so. If the plaintiff wishes to continue to pursue personal claims, she must do so in an amended NOCC that fulfills the purposes of pleadings and does not assert derivative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my view the appropriate remedy in this case is similar to the remedy that I ordered in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I order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NOCC is struck out in its entirety;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leave to amend the NOCC to properly plead causes of action that are not derivative in nature;</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NOCC must be filed within 90 days;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stayed in the meantime;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fails to file an amended NOCC within 90 days, the defendants are at liberty to bring an application to have the claim dismissed; and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will be at liberty to apply to strike out and dismiss all or any part of the amended pleading on any ground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applicants have been substantially successful. They are awarded costs of the application, payable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Woodworth v. J.S. McMillan Fisheries Ltd., [2000] B.C.J. No. 2485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(In Bankruptcy)</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and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14,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11, 2000.</w:t>
      </w:r>
    </w:p>
    <w:p>
      <w:pPr>
        <w:spacing w:before="120" w:line="260" w:lineRule="atLeast"/>
        <w:jc w:val="center"/>
        <w:rPr>
          <w:lang w:val="en-US" w:eastAsia="en-US" w:bidi="ar-SA"/>
        </w:rPr>
      </w:pPr>
      <w:r>
        <w:rPr>
          <w:rFonts w:ascii="arial" w:eastAsia="arial" w:hAnsi="arial" w:cs="arial"/>
          <w:color w:val="000000"/>
          <w:sz w:val="20"/>
          <w:lang w:val="en-US" w:eastAsia="en-US" w:bidi="ar-SA"/>
        </w:rPr>
        <w:t>S048016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2485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1783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82 B.C.L.R. (3d) 381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21 C.B.R. (4th) 314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28 C.C.L.I. (3d) 187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101 A.C.W.S. (3d) 462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Vancouver and New Westminster Registry Nos. 178071 VA97 and</w:t>
      </w:r>
    </w:p>
    <w:p>
      <w:pPr>
        <w:spacing w:before="120" w:line="260" w:lineRule="atLeast"/>
        <w:rPr>
          <w:lang w:val="en-US" w:eastAsia="en-US" w:bidi="ar-SA"/>
        </w:rPr>
      </w:pPr>
      <w:r>
        <w:rPr>
          <w:rFonts w:ascii="arial" w:eastAsia="arial" w:hAnsi="arial" w:cs="arial"/>
          <w:color w:val="000000"/>
          <w:sz w:val="20"/>
          <w:lang w:val="en-US" w:eastAsia="en-US" w:bidi="ar-SA"/>
        </w:rPr>
        <w:t>IN THE MATTER OF the Notice of Intention to make a proposal of J.S. McMillan Fisheries Ltd. of the City of Vancouver of the Province of British Columbia AND IN THE MATTER OF s. 47.1 of the Bankruptcy and Insolvency Act, R.S.C. 1985, c. B-3, as amended (Vancouver Registry No. 178071 VA97) Between Kristie Woodworth, plaintiff, and J.S. McMillan Fisheries Ltd., MSL Holdings Ltd., Seafood Products Company Ltd., Her Majesty the Queen in Right of Canada, the Prince Rupert Port Corporation, Her Majesty the Queen in Right of the Province of British Columbia, Northwest Maritime Institute, Jane Doe and Jane Doe, defendants (New Westminster Registry No. S048016)</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0"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0" w:name="Keywords_27"/>
      <w:bookmarkEnd w:id="260"/>
      <w:r>
        <w:rPr>
          <w:rFonts w:ascii="arial" w:eastAsia="arial" w:hAnsi="arial" w:cs="arial"/>
          <w:b/>
          <w:color w:val="000000"/>
          <w:sz w:val="20"/>
          <w:lang w:val="en-US" w:eastAsia="en-US" w:bidi="ar-SA"/>
        </w:rPr>
        <w:t>Bankruptcy — Proposals — Effect of proposal — Stay of proceedings, what proceedings are stayed.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1" w:name="Case Summary_25"/>
            <w:bookmarkEnd w:id="26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application by Woodworth for leave to continue an action brought by her against the bankrupt, McMillan, under the Occupiers' Liability Act. Prior to Woodworth commencing the action, the court had approved McMillan's Proposal made under the Bankruptcy and Insolvency Act. The Proposal settled all of McMillan's indebtedness with the payment of $3 million and he was released from all claims by unsecured creditors. Woodworth did not receive any funds under the Proposal. In her action, Woodworth sought damages for injuries sustained as a result of a slip and fall on premises leased by McMillan. McMillan was insured, and any award would have been paid to Woodworth by the Insurer. </w:t>
            </w:r>
            <w:r>
              <w:rPr>
                <w:lang w:val="en-US" w:eastAsia="en-US" w:bidi="ar-SA"/>
              </w:rPr>
              <w:cr/>
            </w:r>
          </w:p>
          <w:p>
            <w:pPr>
              <w:spacing w:before="120" w:line="260" w:lineRule="atLeast"/>
              <w:ind w:left="240"/>
              <w:jc w:val="both"/>
              <w:rPr>
                <w:lang w:val="en-US" w:eastAsia="en-US" w:bidi="ar-SA"/>
              </w:rPr>
            </w:pPr>
            <w:bookmarkStart w:id="262" w:name="Holdings of Court_23"/>
            <w:bookmarkEnd w:id="262"/>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Woodworth would have been granted leave to continue her action if she had been entitled to access the insurance funds. She could not do so as McMillan had a complete defence to her claim. The Proposal, that released McMillan from all claims, released him of any indebtedness regarding Woodworth's claim. Although Woodworth had not participated in the Proposal, a Proposal approved by the court was binding on all unsecured creditors. Her action was dismissed. </w:t>
            </w:r>
            <w:r>
              <w:rPr>
                <w:lang w:val="en-US" w:eastAsia="en-US" w:bidi="ar-SA"/>
              </w:rPr>
              <w:cr/>
            </w:r>
          </w:p>
          <w:p>
            <w:pPr>
              <w:rPr>
                <w:lang w:val="en-US" w:eastAsia="en-US" w:bidi="ar-SA"/>
              </w:rPr>
            </w:pPr>
          </w:p>
        </w:tc>
      </w:tr>
    </w:tbl>
    <w:p>
      <w:pPr>
        <w:jc w:val="both"/>
        <w:rPr>
          <w:lang w:val="en-US" w:eastAsia="en-US" w:bidi="ar-SA"/>
        </w:rPr>
      </w:pPr>
      <w:bookmarkStart w:id="263" w:name="Legislation Cited_25"/>
      <w:bookmarkEnd w:id="26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1"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Bankruptcy and Insolvency Act, ss. 62, 69(1).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British Columbia Supreme Court Rules, Rule 18.</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Occupiers' Liability Act.</w:t>
      </w:r>
      <w:r>
        <w:rPr>
          <w:lang w:val="en-US" w:eastAsia="en-US" w:bidi="ar-SA"/>
        </w:rPr>
        <w:cr/>
      </w:r>
    </w:p>
    <w:p>
      <w:pPr>
        <w:keepNext/>
        <w:spacing w:before="240" w:line="340" w:lineRule="atLeast"/>
        <w:rPr>
          <w:lang w:val="en-US" w:eastAsia="en-US" w:bidi="ar-SA"/>
        </w:rPr>
      </w:pPr>
      <w:bookmarkStart w:id="264" w:name="Counsel_27"/>
      <w:bookmarkEnd w:id="26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2" style="position:absolute;z-index:251789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Robert W. Richardson, for Kristie Woodworth. Ben J. Ingram, for J.S. McMillan Fisheries Ltd.</w:t>
      </w:r>
      <w:r>
        <w:rPr>
          <w:lang w:val="en-US" w:eastAsia="en-US" w:bidi="ar-SA"/>
        </w:rPr>
        <w:cr/>
      </w:r>
    </w:p>
    <w:p>
      <w:pPr>
        <w:spacing w:after="240"/>
        <w:rPr>
          <w:lang w:val="en-US" w:eastAsia="en-US" w:bidi="ar-SA"/>
        </w:rPr>
      </w:pPr>
      <w:bookmarkStart w:id="265" w:name="Judgment_27"/>
      <w:bookmarkEnd w:id="265"/>
      <w:r>
        <w:pict>
          <v:line id="_x0000_s1173" style="position:absolute;z-index:25184051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6" w:name="TYSOE J."/>
            <w:bookmarkEnd w:id="266"/>
            <w:r>
              <w:rPr>
                <w:rFonts w:ascii="arial" w:eastAsia="arial" w:hAnsi="arial" w:cs="arial"/>
                <w:b/>
                <w:color w:val="000000"/>
                <w:sz w:val="30"/>
                <w:lang w:val="en-US" w:eastAsia="en-US" w:bidi="ar-SA"/>
              </w:rPr>
              <w:t>TYSOE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Woodworth applies in the Vancouver Action for leave to proceed with the claim she is asserting against J.S. McMillan Fisheries Ltd. ("McMillan") in the New Westminster Action. McMillan applies under Rule 18 for dismissal of the New Westminster Action as against 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Woodworth alleges that on September 11, 1996 she fell while on a walkway of a dock leading to the shore. The property in question was apparently leased to McMillan. At the time of the incident, McMillan had a comprehensive general liability policy with Commonwealth Insurance Company ("Commonwealth"). The basic insuring agreement was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Insurer agrees to pay on behalf of the Insured all sums which the Insured shall become legally obligated to pay as damages [in respect of personal injury or property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November 14, 1997, McMillan filed a Notice of Intention to Make a Proposal pursuant to the Bankruptcy and Insolvency Act, </w:t>
      </w:r>
      <w:hyperlink r:id="rId557"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as amended (the "Act"). Also on November 14, 1997, this Court appointed an interim receiver of all of McMillan's assets. One of the provisions of the Order appointing the interim receiver was that no legal actions could be taken or continued against McMillan without the consent of the interim receiver or leave of the court (the filing of the Notice of Intention to Make a Proposal also acted as an automatic stay of proceedings by virtue of s. 69(1) of the Act, but this application concerns the stay contained in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17, 1998, a proposal was filed on behalf of McMillan pursuant to s. 62 of the Act (the "Proposal"). The Proposal provided that the Indebtedness owing to Unsecured Creditors was to be settled by the distribution of the sum of $3 million among them. It was a term of the Proposal that upon its successful implementation, McMillan was released by all Unsecured Creditors in respect of all Claims. The term "Unsecured Creditors" was defined to mean all creditors of McMillan with unsecured claims for any Indebtedness as of the date of the filing of the Proposal. The term "Indebtedness" was defined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"Indebtedness" means on any date all of the indebtedness, liabilities and obligations of [McMillan] to a Creditor as at the close of business on such date, whether direct, indirect, contingent or otherwise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definition of the term "Claim" in the Proposal was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"Claim" (when capitalized and used in connection with a release) means all actions, causes of action, suits, proceedings, debts, accounts, bonds, covenants, contracts, claims, liabilities, damages, grievances, executions, judgments, rights and demands of any kind whatever, both in law and equity, which any one or more of the Releasors ever had, now has, or can, shall or may have in future against any one or more of the Releasees by reason of, arising out of or by virtue of, with respect to or in any way connected with any amount owing by [McMillan] to the Releasor or any actions taken or omitted to be taken by the Releasees or any of them in connection with [McMillan].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Proposal was approved by the requisite majority of McMillan's creditors on May 8, 1998. It was approved by this Court on May 28,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Ms. Woodworth commenced the New Westminster Action on July 20, 1998. She claims against McMillan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pursuant to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interim receiver became aware of the New Westminster Action. He exchanged correspondence on August 20, 1998 with counsel for Ms. Woodworth in respect of the requirement that consent of the interim receiver or leave of the court be obtained before action could be commenced against McMillan. The interim receiver did not give the consent requested by counsel for Ms. Woodworth.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distribution to the Unsecured Creditors under the Proposal was made at the end of November 1998. No proof of claim was filed on behalf of Ms. Woodworth and she did not receive any of the distribution to McMillan's unsecured creditors.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on these applications are inter-related. Should Ms. Woodworth be given leave to pursue her claim against McMillan so that she may have access to the insurance funds? Or has Ms. Woodworth's claim been released as a result of the Proposal?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Ms. Woodworth relies on a line of authorities which involve circumstances which she says are comparable. The genesis of this line of cases is Re Major </w:t>
      </w:r>
      <w:hyperlink r:id="rId558" w:history="1">
        <w:r>
          <w:rPr>
            <w:rFonts w:ascii="arial" w:eastAsia="arial" w:hAnsi="arial" w:cs="arial"/>
            <w:i/>
            <w:color w:val="0077CC"/>
            <w:sz w:val="20"/>
            <w:u w:val="single"/>
            <w:shd w:val="clear" w:color="auto" w:fill="FFFFFF"/>
            <w:lang w:val="en-US" w:eastAsia="en-US" w:bidi="ar-SA"/>
          </w:rPr>
          <w:t>(1984), 56 B.C.L.R. 342</w:t>
        </w:r>
      </w:hyperlink>
      <w:r>
        <w:rPr>
          <w:rFonts w:ascii="arial" w:eastAsia="arial" w:hAnsi="arial" w:cs="arial"/>
          <w:color w:val="000000"/>
          <w:sz w:val="20"/>
          <w:lang w:val="en-US" w:eastAsia="en-US" w:bidi="ar-SA"/>
        </w:rPr>
        <w:t xml:space="preserve"> (B.C.S.C.). In that case, the applicants were asserting a claim for breach of fiduciary duty against their former solicitor, who had gone bankrupt. They applied for leave to continue their action against the bankrupt and they also sought a declaration that, if successful in their action, the benefit of the policy insuring the bankrupt would flow directly to them and would not be payable to the trustee in bankruptcy for the benefit of all unsecured creditors.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leave application was not opposed but the trustee in bankruptcy argued that any insurance proceeds resulting from the claim should be paid to the estate of the bankrupt. Wood J. concluded that the wording of the policy evidenced an intention that the proceeds should be for the benefit of those who suffered a loss or damage as a result of the culpable acts or omissions of the insured. He held that the beneficial interest of a third party under a policy of insurance cannot be affected by the bankruptcy of the insured (who had no proprietary interest in the insurance proceeds). Wood J. granted leave and declared that the applicants were entitled to the benefit of any monies which became payable under the insurance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Re Rewers </w:t>
      </w:r>
      <w:hyperlink r:id="rId559" w:history="1">
        <w:r>
          <w:rPr>
            <w:rFonts w:ascii="arial" w:eastAsia="arial" w:hAnsi="arial" w:cs="arial"/>
            <w:i/>
            <w:color w:val="0077CC"/>
            <w:sz w:val="20"/>
            <w:u w:val="single"/>
            <w:shd w:val="clear" w:color="auto" w:fill="FFFFFF"/>
            <w:lang w:val="en-US" w:eastAsia="en-US" w:bidi="ar-SA"/>
          </w:rPr>
          <w:t>(1989), 35 B.C.L.R. (2d) 340</w:t>
        </w:r>
      </w:hyperlink>
      <w:r>
        <w:rPr>
          <w:rFonts w:ascii="arial" w:eastAsia="arial" w:hAnsi="arial" w:cs="arial"/>
          <w:color w:val="000000"/>
          <w:sz w:val="20"/>
          <w:lang w:val="en-US" w:eastAsia="en-US" w:bidi="ar-SA"/>
        </w:rPr>
        <w:t xml:space="preserve"> (B.C.S.C.), the clients of a bankrupt accountant had been granted leave to continue their action against the bankrupt. Upon the accountant's application for discharge from bankruptcy, the clients applied for a declaration that they were entitled to the proceeds payable under the accountant's insurance policy. Gow J. adjourned the application and directed that a copy of the insurance policy be produced so that it could be ascertained whether the proceeds would be payable to the clients (as in Major) or to the insured/bankrupt. In his decision, Gow J. made some comments to which I will return. The B.C. Court of Appeal allowed an appeal from the order of Gow J. ( </w:t>
      </w:r>
      <w:hyperlink r:id="rId560" w:history="1">
        <w:r>
          <w:rPr>
            <w:rFonts w:ascii="arial" w:eastAsia="arial" w:hAnsi="arial" w:cs="arial"/>
            <w:i/>
            <w:color w:val="0077CC"/>
            <w:sz w:val="20"/>
            <w:u w:val="single"/>
            <w:shd w:val="clear" w:color="auto" w:fill="FFFFFF"/>
            <w:lang w:val="en-US" w:eastAsia="en-US" w:bidi="ar-SA"/>
          </w:rPr>
          <w:t>(1989), 77 C.B.R. (N.S.) 69</w:t>
        </w:r>
      </w:hyperlink>
      <w:r>
        <w:rPr>
          <w:rFonts w:ascii="arial" w:eastAsia="arial" w:hAnsi="arial" w:cs="arial"/>
          <w:color w:val="000000"/>
          <w:sz w:val="20"/>
          <w:lang w:val="en-US" w:eastAsia="en-US" w:bidi="ar-SA"/>
        </w:rPr>
        <w:t>) on the basis that there was no opposition to the appeal, and the Court expressed no view on the merits of the decision of Gow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Major has been followed in two other decisions, Eurasia Auto Ltd. v. M &amp; M Welding &amp; Supply (1985) Inc. </w:t>
      </w:r>
      <w:hyperlink r:id="rId561" w:history="1">
        <w:r>
          <w:rPr>
            <w:rFonts w:ascii="arial" w:eastAsia="arial" w:hAnsi="arial" w:cs="arial"/>
            <w:i/>
            <w:color w:val="0077CC"/>
            <w:sz w:val="20"/>
            <w:u w:val="single"/>
            <w:shd w:val="clear" w:color="auto" w:fill="FFFFFF"/>
            <w:lang w:val="en-US" w:eastAsia="en-US" w:bidi="ar-SA"/>
          </w:rPr>
          <w:t>(1991), 5 C.B.R. (3d) 227</w:t>
        </w:r>
      </w:hyperlink>
      <w:r>
        <w:rPr>
          <w:rFonts w:ascii="arial" w:eastAsia="arial" w:hAnsi="arial" w:cs="arial"/>
          <w:color w:val="000000"/>
          <w:sz w:val="20"/>
          <w:lang w:val="en-US" w:eastAsia="en-US" w:bidi="ar-SA"/>
        </w:rPr>
        <w:t xml:space="preserve"> (Alta. Q.B.) and Re Duvall </w:t>
      </w:r>
      <w:hyperlink r:id="rId562" w:history="1">
        <w:r>
          <w:rPr>
            <w:rFonts w:ascii="arial" w:eastAsia="arial" w:hAnsi="arial" w:cs="arial"/>
            <w:i/>
            <w:color w:val="0077CC"/>
            <w:sz w:val="20"/>
            <w:u w:val="single"/>
            <w:shd w:val="clear" w:color="auto" w:fill="FFFFFF"/>
            <w:lang w:val="en-US" w:eastAsia="en-US" w:bidi="ar-SA"/>
          </w:rPr>
          <w:t>(1992), 63 B.C.L.R. (2d) 97</w:t>
        </w:r>
      </w:hyperlink>
      <w:r>
        <w:rPr>
          <w:rFonts w:ascii="arial" w:eastAsia="arial" w:hAnsi="arial" w:cs="arial"/>
          <w:color w:val="000000"/>
          <w:sz w:val="20"/>
          <w:lang w:val="en-US" w:eastAsia="en-US" w:bidi="ar-SA"/>
        </w:rPr>
        <w:t xml:space="preserve"> (B.C.S.C.). In Eurasia Auto, a plaintiff applied for leave to continue an action against the bankrupt to be able to get at insurance money. Master Funduk found that the wording of the insurance policy was equivalent to the wording of the policy in Major, with the result that any insurance proceeds would be payable to the plaintiff and would not have to be shared with other creditors of the bankrupt. Master Funduk granted leave.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similar application was allowed in Duvall in equivalent circumstances except that the bankrupt in that case had been discharged prior to the application. D.B. MacKinnon J. found that the wording in the insurance policy was similar to the wording in the policy in Major. He held that the bankrupt's discharge from bankruptcy was not a reason to deny leave because, as stated in Re Olan </w:t>
      </w:r>
      <w:hyperlink r:id="rId563" w:history="1">
        <w:r>
          <w:rPr>
            <w:rFonts w:ascii="arial" w:eastAsia="arial" w:hAnsi="arial" w:cs="arial"/>
            <w:i/>
            <w:color w:val="0077CC"/>
            <w:sz w:val="20"/>
            <w:u w:val="single"/>
            <w:shd w:val="clear" w:color="auto" w:fill="FFFFFF"/>
            <w:lang w:val="en-US" w:eastAsia="en-US" w:bidi="ar-SA"/>
          </w:rPr>
          <w:t>(1976), 21 C.B.R. (N.S.) 252</w:t>
        </w:r>
      </w:hyperlink>
      <w:r>
        <w:rPr>
          <w:rFonts w:ascii="arial" w:eastAsia="arial" w:hAnsi="arial" w:cs="arial"/>
          <w:color w:val="000000"/>
          <w:sz w:val="20"/>
          <w:lang w:val="en-US" w:eastAsia="en-US" w:bidi="ar-SA"/>
        </w:rPr>
        <w:t xml:space="preserve"> (Ont. S.C.), "a claim in bankruptcy becomes a claim upon the estate and may be asserted against the trustee and the estate, notwithstanding the discharge of the bankrupt" (p. 254).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contrast, in Re Maxwell </w:t>
      </w:r>
      <w:hyperlink r:id="rId564" w:history="1">
        <w:r>
          <w:rPr>
            <w:rFonts w:ascii="arial" w:eastAsia="arial" w:hAnsi="arial" w:cs="arial"/>
            <w:i/>
            <w:color w:val="0077CC"/>
            <w:sz w:val="20"/>
            <w:u w:val="single"/>
            <w:shd w:val="clear" w:color="auto" w:fill="FFFFFF"/>
            <w:lang w:val="en-US" w:eastAsia="en-US" w:bidi="ar-SA"/>
          </w:rPr>
          <w:t>(1990), 78 C.B.R. (N.S.) 154</w:t>
        </w:r>
      </w:hyperlink>
      <w:r>
        <w:rPr>
          <w:rFonts w:ascii="arial" w:eastAsia="arial" w:hAnsi="arial" w:cs="arial"/>
          <w:color w:val="000000"/>
          <w:sz w:val="20"/>
          <w:lang w:val="en-US" w:eastAsia="en-US" w:bidi="ar-SA"/>
        </w:rPr>
        <w:t xml:space="preserve"> (B.C.S.C.), the Court dismissed an application for a declaration that a claimant was entitled to the benefit of "insurance" proceeds. The bankrupt was a physician who was covered by the Canadian Medical Protective Association. Hutchinson L.J.S.C. distinguished Major on the basis that the Canadian Medical Protective Association was not an insurer in the conventional sense. The Association had the unfettered discretion to refuse to give assistance to the bankrupt physician or to pay any judgment. Hutchinson L.J.S.C. concluded that neither the claimant nor the bankrupt physician had an interest in the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wording in the Commonwealth insurance policy in the present case is comparable to the wording of the policy in Major. It provides that the insurer will pay the insurance on behalf of the insured. If the insured becomes legally obligated to pay damages, the insurance proceeds are payable to the successful claimant, not to the insured.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Ms. Woodworth submits that the result in the case of a proposal should be the same as the outcome in a bankruptcy situation. The claimant should be able to proceed with the action notwithstanding the proposal and, if the claim is successful, the insurance proceeds should be paid to the claimant, not to the creditors covered by the proposal. As in the bankruptcy situation, there is no prejudice to McMillan or its other creditors because the other creditors are not entitled to the benefit of the insurance policy and McMillan will not have to pay the judgment (in seeking leave to continue the New Westminster Action, counsel for Ms. Woodworth agreed to a condition that any judgment against McMillan could not be executed against any of McMillan's assets and enforcement of any judgment would be restricted to the insurance proceeds).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Ms. Woodworth says that it would be an anomaly if she is not allowed access to the insurance funds. If McMillan had not been insolvent, she would have been able to recover any judgment she obtained. If McMillan had gone bankrupt, the Major line of cases would apply and Ms. Woodworth would have been able to recover any judgment from the insurance proceeds. If Ms. Woodworth would be able to recover on any judgment in those two extreme situations, it would be wrong, says her counsel, to deny her recovery in the present circumstances where McMillan, although insolvent, did not go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opinion, Ms. Woodworth should be granted leave to continue the New Westminster Action if it would enable her to access the insurance funds. However, it is my view that she will not be able to access the insurance funds because McMillan has a complete defence to the claim and Commonwealth will never be required under the insuring agreement to make payment on behalf of McMillan.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reason McMillan has a complete defence to Ms. Woodworth's claim is that the claim was released pursuant to the terms of the Proposal. Ms. Woodworth's claim falls within the definition of "Claim" in the Proposal and constituted "Indebtedness" within the meaning of the Proposal. All of McMillan's unsecured Indebtedness, including Ms. Woodworth's claim, was settled by the payment of the $3 million sum and McMillan was released from all Claims, including Ms. Woodworth's claim. Although Ms. Woodworth did not participate in the proposal process, s. 62(2) of the Act provides that a proposal accepted by the creditors and approved by the court is binding on creditors in respect of all unsecured claims. Ms. Woodworth was a creditor with an unsecured claim within the meaning of the Act and the Proposal is binding on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Ms. Woodworth's claim against McMillan has been released by operation of the Proposal, she is precluded from recovering judgment against McMillan. The present situation is really no different than Ms. Woodworth attempting to continue with a lawsuit against McMillan after granting a release of her claim to McMillan. As long as the release is valid, it is a complete defence to the lawsuit. Ms. Woodworth would not be able to pursue the lawsuit in face of the release even if the claim was covered by insurance.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would be pointless to grant Ms. Woodworth leave to continue with the New Westminster Action against McMillan when there is a complete defence to her claim against McMillan. In addition to resisting the leave application, McMillan has its own application to dismiss the New Westminster Action as against it. If McMillan is entitled to succeed on its application to have the action dismissed as against it (as I hold that it is), it follows that leave to continue with the action should not be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distinction between the present situation and the bankruptcy situation is that the bankrupt does not necessarily have a defence to the claim. Thus, if the claimant obtains leave to commence or continue its action against the bankrupt, the bankrupt will not have a defence (unless a defence exists on the merits) and the claimant will be entitled to obtain judgment. The claimant will not be able to execute the judgment against the bankrupt's assets (except to the extent of being entitled to a share of the dividends distributed by the bankruptcy estate), but it will be in a position to attempt to recover the judgment from the bankrupt's insurer. As I will suggest below, however, these comments may not apply if the bankrupt has been discharged from bankruptcy before the insurance monies are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was troubled at one point as to whether there really was a valid distinction between proposal situations and bankruptcy situations. In my analysis, I have relied upon the fact that the Proposal operated as a release of Ms. Woodworth's claim. However, are not bankrupts effectively released from all pre-bankruptcy claims? Subsection 178(2) of the Act states that, with the exception of certain specified claims, an order of discharge from bankruptcy releases the bankrupt from all claims provable in bankruptcy. Although a corporation is not entitled to be discharged from bankruptcy unless it has satisfied the claims of its creditors in full by virtue of s. 169(5) of the Act, non-corporate bankrupts may be discharged from bankruptcy without satisfying all of their creditors.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Duvall decision, D.B. MacKinnon J. relied on Re Olan in finding that a discharge from bankruptcy was not a sufficient reason to deny leave to pursue a claim which was insured. In Re Olan, the Court refused to rescind an order of discharge on the basis that it was not necessary to do so in order to allow a plaintiff to pursue a personal injury claim allegedly occasioned by the bankrupt's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that the plaintiff would be in a position to make a claim against an accident fund. The rationale was that, as the claim against the bankrupt became a claim against the estate and could be asserted against the trustee and the estate, the discharge from bankruptcy did not affect the ability of the plaintiff to continue the action for the purpose of establishing liability. I have reservations about this rationale because, although the claim continues to exist within the bankruptcy estate despite the bankrupt's discharge, the assertion of the claim in an action is being done outside the bankruptcy estate. I also query whether the insurer would be required to pay after the bankrupt's discharge because, in the phraseology of Commonwealth's policy, the insured bankrupt would not be legally obligated to pay because the discharge from bankruptcy operated to release the bankrupt from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even if one accepts this rationale in the bankruptcy situation, it has no application in a proposal situation. A claim against the person making the proposal cannot be asserted against the trustee under the proposal and, unlike bankruptcy, no estate is created. If the claim is released upon successful implementation of the proposal, there is no other person or estate against which the claim can be asserted.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I was discussing the Rewers decision, I stated that I would return to some comments made by Gow J. He adjourned the two applications to allow for production of the insurance policy but he indicated that he might be prepared to grant an order for the bankrupt's discharge upon two conditions. One of the proposed conditions was that neither the bankruptcy nor the bankrupt's discharge would be a defence in the continuing actions against the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some doubt whether the court has the ability to impose such a condition on a discharge application but the point is that Gow J. recognized the significance of the discharge from bankruptcy. I think a better approach in such a situation would be to refuse the discharge from bankruptcy until the action had been completed and the plaintiff (if successful) had exhausted its recourse in attempting to retrieve the insurance proceeds. This approach was rejected in Re Olan by Henry J., an experienced bankruptcy judge, but, as I have stated, I have reservations about the rationale he relied upon and where it might leave the plaintiff in attempting to obtain payment of the insurance funds. Another potential approach could involve a conditional discharge, but with conditions different than the questionable conditions proposed by Gow J. in Rewers.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important juncture in a bankruptcy is, in my view, the application for a discharge from bankruptcy. The equivalent juncture in a proposal proceeding is the application to court for approval of the proposal. It may be that a claimant in a matter involving insurance coverage could take the position that the proposal should not be approved or fully implemented until the claimant had completed its action and exhausted its recourse against the insurance funds. However, that did not occur in this case and the Proposal has been implemented. Upon the implementation of the Proposal, Ms. Woodworth's claim against McMillan was released and can no longer be asserted.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McMillan has been released from Ms. Woodworth's claim by operation of the Proposal and she is not entitled to pursue the claim despite the existence of an insurance policy. The application for the dismissal of the New Westminster Action as against McMillan is granted and Ms. Woodworth's application for leave to continue the New Westminster Action is dismissed. Ms. Woodworth is at liberty to pursue the New Westminster Action against the other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requested that submissions on costs await my decision. If counsel are not able to agree on costs, they may make arrangements through Trial Division for a costs hearing. Alternatively, if both counsel concur, submissions on costs may be made in writing and sent to me through Trial Division.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TYSOE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0742848 B.C. Ltd. v. Squamish (District), [2018] B.C.J. No. 1230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S167707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1046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B.C.L.R. (6th) 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294 A.C.W.S. (3d)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1643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0742848 B.C. Ltd., Plaintiff, and The District of Squamish, Gary Buxton (Chief Approving Officer for the District of Squamish), and the Queen in Right of the Province of British Columbia (Ministry of Environment),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28"/>
      <w:bookmarkEnd w:id="267"/>
      <w:r>
        <w:rPr>
          <w:rFonts w:ascii="arial" w:eastAsia="arial" w:hAnsi="arial" w:cs="arial"/>
          <w:b/>
          <w:color w:val="000000"/>
          <w:sz w:val="20"/>
          <w:lang w:val="en-US" w:eastAsia="en-US" w:bidi="ar-SA"/>
        </w:rPr>
        <w:t>Civil litigation — Civil procedure — Pleadings — Amendment of — After expiry of limitation period — Application by plaintiff to amend notice of civil claim dismissed — Plaintiff sought to add claim for negligent misrepresentation, arising from information that it said District provided about zoning designation for property — Plaintiff knew all necessary facts more than six years before commencement of action — Plaintiff knew that District gave it incorrect zoning information and that, pursuant to correct zoning, number of development lots into which it could divide property had reduced — Supreme Court Civil Rules, Rule 6-1.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When time begins to run — Expiry of limitation periods — Effect of — Application by plaintiff to amend notice of civil claim dismissed — Plaintiff sought to add claim for negligent misrepresentation, arising from information that it said District provided about zoning designation for property — Plaintiff knew all necessary facts more than six years before commencement of action — Plaintiff knew that District gave it incorrect zoning information and that, pursuant to correct zoning, number of development lots into which it could divide property had reduced — Limitation Act, s. 4(4).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26"/>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amend the notice of civil claim. The dispute between the plaintiff and the District of Squamish related to the plaintiff's unsuccessful efforts to subdivide and develop a property for residential development. The plaintiff sought to add a claim for negligent misrepresentation, arising from information that it said the District provided to it about the zoning designation for the property. The District opposed on the basis that the limitation period had expired.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24"/>
            <w:bookmarkEnd w:id="26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could not rely on a letter from the District to revive the limitation period, as the letter was "without prejudice". The plaintiff did not have to await the outcome of a rezoning application to have sufficient facts to plead negligent misrepresentation. Knowledge of the extent of the damage allegedly caused by a negligent misrepresentation was not required before the limitation period began to run. The plaintiff knew all of the necessary facts more than six years before the commencement of the action. The plaintiff knew that the District gave it incorrect zoning information and that, pursuant to the correct zoning, the number of development lots into which it could divide the property had reduced substantially. The only unknown was the impact that the revised zoning would have on the value of the property.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26"/>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572" w:history="1">
        <w:r>
          <w:rPr>
            <w:rFonts w:ascii="arial" w:eastAsia="arial" w:hAnsi="arial" w:cs="arial"/>
            <w:i/>
            <w:color w:val="0077CC"/>
            <w:sz w:val="20"/>
            <w:u w:val="single"/>
            <w:shd w:val="clear" w:color="auto" w:fill="FFFFFF"/>
            <w:lang w:val="en-US" w:eastAsia="en-US" w:bidi="ar-SA"/>
          </w:rPr>
          <w:t>S.B.C. 2012, c. 13, s. 22</w:t>
        </w:r>
      </w:hyperlink>
      <w:r>
        <w:rPr>
          <w:rFonts w:ascii="arial" w:eastAsia="arial" w:hAnsi="arial" w:cs="arial"/>
          <w:color w:val="000000"/>
          <w:sz w:val="20"/>
          <w:lang w:val="en-US" w:eastAsia="en-US" w:bidi="ar-SA"/>
        </w:rPr>
        <w:t>(5), s. 30, s. 30(1), s. 30(1)(b)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 Rule 9-5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28"/>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for the Plaintiff, appearing in person: D. McCargar.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District of Squamish, Gary Buxton (Chief Approving Officer for the District of Squamish), Councillor Douglas Race of the District of Squamish and Mayor Patricia Heintzman of the District of Squamish: J. Locke, A. Britton-Foster,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Queen in Right of the Province of British Columbia (Ministry of Environment) and Inspector of Dikes: A. Dalmyn.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28"/>
      <w:bookmarkEnd w:id="272"/>
      <w:r>
        <w:pict>
          <v:line id="_x0000_s1178"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BRIEF SUMMARY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074'S APPLICATION TO AMEND ITS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AMENDING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APPLICABLE LEGAL PRINCIPLES ON AN APPLICATION TO AMEND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WHICH </w:t>
      </w:r>
      <w:r>
        <w:rPr>
          <w:rFonts w:ascii="arial" w:eastAsia="arial" w:hAnsi="arial" w:cs="arial"/>
          <w:b/>
          <w:i/>
          <w:color w:val="000000"/>
          <w:sz w:val="20"/>
          <w:lang w:val="en-US" w:eastAsia="en-US" w:bidi="ar-SA"/>
        </w:rPr>
        <w:t>LIMITATION ACT</w:t>
      </w:r>
      <w:r>
        <w:rPr>
          <w:rFonts w:ascii="arial" w:eastAsia="arial" w:hAnsi="arial" w:cs="arial"/>
          <w:b/>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THE LIMITATION PERIOD EXPIRED WITH RESPECT TO THE NEGLIGENT MISREPRESENTATION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Squamish's Letter to 074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Squamish's Rejection of the Rezoning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Three Possible Commencement Dates of the Limitation Period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July 2007 Commencement Date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2007 Commencement Date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December 2009 Commencement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APPLICATIONS TO AMEND PLEADINGS IN WHICH THERE IS A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TEAL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for the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Presence or Absence of Prejudice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Extent of Any Connection between the Existing Claims and the Proposed New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on Teal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H. MacNAUGHTON"/>
            <w:bookmarkEnd w:id="273"/>
            <w:r>
              <w:rPr>
                <w:rFonts w:ascii="arial" w:eastAsia="arial" w:hAnsi="arial" w:cs="arial"/>
                <w:b/>
                <w:color w:val="000000"/>
                <w:sz w:val="30"/>
                <w:lang w:val="en-US" w:eastAsia="en-US" w:bidi="ar-SA"/>
              </w:rPr>
              <w:t>H. MacNAUGHTON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Brief Summary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0742848 B.C. Ltd. v. Squamish (District)</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2017 BCSC 2177</w:t>
        </w:r>
      </w:hyperlink>
      <w:r>
        <w:rPr>
          <w:rFonts w:ascii="arial" w:eastAsia="arial" w:hAnsi="arial" w:cs="arial"/>
          <w:color w:val="000000"/>
          <w:sz w:val="20"/>
          <w:lang w:val="en-US" w:eastAsia="en-US" w:bidi="ar-SA"/>
        </w:rPr>
        <w:t>, I set out the factual background of this dispute. I will briefly repeat that background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0742848 B.C. Ltd. ("074") owns a 78.5-acre parcel of land located within the floodplain of the Squamish River in or near Brackendale, BC and within the District of Squamish (the "Property" and "Squamish"). The Property is primarily wooded and undeveloped. It was assembled in December 2008 from other titles owned by 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Property's municipal address is 1050 Depot Road, and it is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027-762-599, Lot 1, Section 22, Township 50, Group 1 New Westminster District, Plan EPP1446.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Donald McCargar is the principal of 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western side of the Property borders on the Squamish River. The Brackendale Dike runs through the Property approximately parallel to the Squamish River in a roughly north-south direction (the "Dike") and divides it into two parts. 15 acres of 074's land is on the western, or river side of the Dike, and 63.5 acres is on the eastern side of the Dike. A road runs along the top of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dispute between 074 and Squamish relates to 074's unsuccessful efforts to subdivide and develop the Property for residential development, including claims for damage for the profits that 074 hoped to earn from the subdivision, development, marketing, and sale of residential lots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074's Application to Amend Its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it was entitled to do under R.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074 amended its notice of civil claim once without leave of the court. To amend the notice of civil claim a second time, 074 requires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copy of the proposed amended pleading is attached as Exhibit A to Mr. McCargar's affidavit of April 30, 2018 (the "Amended Pleading"). For the most part, the amendments seek to add a claim for negligent misrepresentation against Squamish. The following proposed amendments in the Amended Pleading are consented to by Squamish, and leave to amend the notice of civil claim to include them is granted: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1, paras. 4, 13, 14, 15, 16, 17, 20, 21(e) (i), 24, 25, 26, 27, 28, 31, 33, 35, 36, 47, and 49(e)-(f);</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2, para. 2(b);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3, paras. 5, 6,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Squamish opposes the amendments in the following paragraphs of the Amended Pleading: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1, paras. 10-12;</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2, para. 2(d);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3, paras. 2, 3 (as to the phrase "since the error"), 4 (as to the phrase "negligent misrepresentation"), 10-13.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particular, 074 seeks to amend the claim to add the following proposed paragraphs in Part 1 of the Amended Pleading: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prior to purchase, and as a condition of the purchase that 074, as Buyer, would be satisfied with the current state of title, 074 requested a confirmation of zoning from Squamish on July 13, 2007. Squamish represented to 074 that the property was zoned Rural Residential 1 (RL-1), meaning that the zone accommodates 2-acre rural residential development lots and ancillary uses.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been satisfied with the current state of the title being zoned RL-1, 074, as the Buyer, removed conditions on July 20, 2007.</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provided misleading information to 074 at the time of acquisition of the property, unbeknownst to 074. After purchase, Squamish informed 074 that the zoning of the property was actually RL-2, meaning seven 10-acre lots subdivision, not 2-acre lots subdivision. The studies required for RL-2 rezoning were the same for RL-1 and that should 074 provide the necessary studies, cooperation would be given by Squamish to rezone the property to RL-1.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074 also seeks to add the following paragraph to Part 2 of the Amended Pleading with respect to the relief it seeks: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Declarations that: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negligently misrepresented the Zoning of the property at the time of purchase, owed a duty of care to 074, 074 relied on that advice to its detriment, and such reliance was reasonable in the circumstances, including enticing and inducing 074 to apply for the proper zoning that was confirmed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Finally, 074 seeks to add the following paragraphs to Part 3 of the Amended Pleading with respect to the legal basis for its claims:</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admits that it erred in providing confirmation of RL-1 to 074 at the time of purchase.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074 has taken steps </w:t>
      </w:r>
      <w:r>
        <w:rPr>
          <w:rFonts w:ascii="arial" w:eastAsia="arial" w:hAnsi="arial" w:cs="arial"/>
          <w:color w:val="000000"/>
          <w:sz w:val="20"/>
          <w:u w:val="single"/>
          <w:lang w:val="en-US" w:eastAsia="en-US" w:bidi="ar-SA"/>
        </w:rPr>
        <w:t>since the error</w:t>
      </w:r>
      <w:r>
        <w:rPr>
          <w:rFonts w:ascii="arial" w:eastAsia="arial" w:hAnsi="arial" w:cs="arial"/>
          <w:color w:val="000000"/>
          <w:sz w:val="20"/>
          <w:lang w:val="en-US" w:eastAsia="en-US" w:bidi="ar-SA"/>
        </w:rPr>
        <w:t xml:space="preserve"> to mitigate its losses by working in cooperation with Squamish up to and including July of 2016.</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Squamish's unlawful actions, </w:t>
      </w:r>
      <w:r>
        <w:rPr>
          <w:rFonts w:ascii="arial" w:eastAsia="arial" w:hAnsi="arial" w:cs="arial"/>
          <w:color w:val="000000"/>
          <w:sz w:val="20"/>
          <w:u w:val="single"/>
          <w:lang w:val="en-US" w:eastAsia="en-US" w:bidi="ar-SA"/>
        </w:rPr>
        <w:t>negligent misrepresentation</w:t>
      </w:r>
      <w:r>
        <w:rPr>
          <w:rFonts w:ascii="arial" w:eastAsia="arial" w:hAnsi="arial" w:cs="arial"/>
          <w:color w:val="000000"/>
          <w:sz w:val="20"/>
          <w:lang w:val="en-US" w:eastAsia="en-US" w:bidi="ar-SA"/>
        </w:rPr>
        <w:t xml:space="preserve"> and communications with 074, trespass and illegal expropriation of the dike infrastructure, the title beside and underneath it, being private property, and essentially misleading 074 to believe it had its support for its application for rezoning, 074 has suffered loss and damage. [disputed wording is underlined]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Squamish had a duty of care to the Plaintiff as a prospective buyer. Squamish's negligent misstatement gives rise to an action for damages for economic loss. Per </w:t>
      </w:r>
      <w:r>
        <w:rPr>
          <w:rFonts w:ascii="arial" w:eastAsia="arial" w:hAnsi="arial" w:cs="arial"/>
          <w:i/>
          <w:color w:val="000000"/>
          <w:sz w:val="20"/>
          <w:lang w:val="en-US" w:eastAsia="en-US" w:bidi="ar-SA"/>
        </w:rPr>
        <w:t>Hedley Byrne &amp; Co. Ltd. v. Heller &amp; Partners Ltd</w:t>
      </w:r>
      <w:r>
        <w:rPr>
          <w:rFonts w:ascii="arial" w:eastAsia="arial" w:hAnsi="arial" w:cs="arial"/>
          <w:color w:val="000000"/>
          <w:sz w:val="20"/>
          <w:lang w:val="en-US" w:eastAsia="en-US" w:bidi="ar-SA"/>
        </w:rPr>
        <w:t>. [1963] 2 All E.R. 575, damage for pure economic loss arises in situations where the following four conditions are met:</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fiduciary relationship of trust and confidence arises/exists between the parties;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preparing the advice/information has voluntarily assumed the risk;</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reliance on the advice/ information by the other party,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reliance was reasonable in the circumstances.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was fully aware of the nature of the transaction which the Plaintiff had in contemplation, knew that the advice or information would be communicated to the Plaintiff, and knew that it was likely that the Plaintiff would rely on that advice or information in deciding whether or not to engage in the transaction in contemplation.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per </w:t>
      </w:r>
      <w:r>
        <w:rPr>
          <w:rFonts w:ascii="arial" w:eastAsia="arial" w:hAnsi="arial" w:cs="arial"/>
          <w:i/>
          <w:color w:val="000000"/>
          <w:sz w:val="20"/>
          <w:lang w:val="en-US" w:eastAsia="en-US" w:bidi="ar-SA"/>
        </w:rPr>
        <w:t>347671 B.C. Ltd. v. Heenan Blaikie</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[2000] B.C.J. No. 2378</w:t>
        </w:r>
      </w:hyperlink>
      <w:r>
        <w:rPr>
          <w:rFonts w:ascii="arial" w:eastAsia="arial" w:hAnsi="arial" w:cs="arial"/>
          <w:color w:val="000000"/>
          <w:sz w:val="20"/>
          <w:lang w:val="en-US" w:eastAsia="en-US" w:bidi="ar-SA"/>
        </w:rPr>
        <w:t xml:space="preserve">, the Plaintiff's reliance was reasonable and detrimental, citing </w:t>
      </w:r>
      <w:r>
        <w:rPr>
          <w:rFonts w:ascii="arial" w:eastAsia="arial" w:hAnsi="arial" w:cs="arial"/>
          <w:i/>
          <w:color w:val="000000"/>
          <w:sz w:val="20"/>
          <w:lang w:val="en-US" w:eastAsia="en-US" w:bidi="ar-SA"/>
        </w:rPr>
        <w:t>392980 Ontario Ltd. v. City of Welland et al.</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45 O.R. (2d) 165</w:t>
        </w:r>
      </w:hyperlink>
      <w:r>
        <w:rPr>
          <w:rFonts w:ascii="arial" w:eastAsia="arial" w:hAnsi="arial" w:cs="arial"/>
          <w:color w:val="000000"/>
          <w:sz w:val="20"/>
          <w:lang w:val="en-US" w:eastAsia="en-US" w:bidi="ar-SA"/>
        </w:rPr>
        <w:t>, whether the developer relied on information for the City and its solicitor to its detriment and both were held liable for the developer's losses.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Prince George (City) v. Rahn Bros. Logging Ltd.</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[2003] I.L.R. para. G-1607</w:t>
        </w:r>
      </w:hyperlink>
      <w:r>
        <w:rPr>
          <w:rFonts w:ascii="arial" w:eastAsia="arial" w:hAnsi="arial" w:cs="arial"/>
          <w:color w:val="000000"/>
          <w:sz w:val="20"/>
          <w:lang w:val="en-US" w:eastAsia="en-US" w:bidi="ar-SA"/>
        </w:rPr>
        <w:t>, the Plaintiff retrieved its losses as a result of negligent misrepresentation from the municipality.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[Disputed wording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Amending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 have said, the primary purpose of the proposed Amended Pleading is to introduce a new cause of action against Squamish, negligent misrepresentation, arising from information which 074 says Squamish provided to it about the zoning designation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McCargar deposes that, on July 13, 2007, Squamish provided 074 with incorrect information about the Property's zoning designation. In reliance on the incorrect zoning information, and on July 19, 2007, 074 waived the conditions on its agreement to purchase the Property and subsequently completed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Squamish opposes the Amended Pleading on the basis that the limitation period with respect to a pleading of negligent misrepresentation has long expired and that permitting the Amended Pleading would be prejudicial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Legal Principles on an Application to Amend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did not significantly disagree about the legal principles to be considered on an application to amend pleadings. They have been summarized and applied in a number decisions from this Court and the Court of Appeal, some of which were relied on by the parties. These principles, as they relate to the issues in this application, can be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should take a generous approach to the question of amendments to ensure that, so far as possible, all matters in controversy between the parties may be completely and finally determined. The court will not allow useless amendments or amendments that are in violation of the rules that govern pleadings. These rules include the requirements relating to conciseness, material facts and particulars and the prohibition against pleadings that disclose no reasonable claim or are otherwise scandalous, frivolous or vexatious: </w:t>
      </w:r>
      <w:r>
        <w:rPr>
          <w:rFonts w:ascii="arial" w:eastAsia="arial" w:hAnsi="arial" w:cs="arial"/>
          <w:i/>
          <w:color w:val="000000"/>
          <w:sz w:val="20"/>
          <w:lang w:val="en-US" w:eastAsia="en-US" w:bidi="ar-SA"/>
        </w:rPr>
        <w:t>Navarro v. Doig River First Nation</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2016 BCSC 2006</w:t>
        </w:r>
      </w:hyperlink>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Nonetheless, any doubt on the facts or the law should favour allowing the amendments and allowing those doubts to be resolved at trial. Amendments should be permitted unless actual prejudice can be shown by the opposing party, which cannot not be compensated for by costs: </w:t>
      </w:r>
      <w:r>
        <w:rPr>
          <w:rFonts w:ascii="arial" w:eastAsia="arial" w:hAnsi="arial" w:cs="arial"/>
          <w:i/>
          <w:color w:val="000000"/>
          <w:sz w:val="20"/>
          <w:lang w:val="en-US" w:eastAsia="en-US" w:bidi="ar-SA"/>
        </w:rPr>
        <w:t>Gill et al v. Gill</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2003 BCSC 801</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Jace Holdings Ltd. v. Trademark Property Group Ltd.</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2010 BCSC 1575</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Morriss v. British Columbia</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2010 BCCA 95</w:t>
        </w:r>
      </w:hyperlink>
      <w:r>
        <w:rPr>
          <w:rFonts w:ascii="arial" w:eastAsia="arial" w:hAnsi="arial" w:cs="arial"/>
          <w:color w:val="000000"/>
          <w:sz w:val="20"/>
          <w:lang w:val="en-US" w:eastAsia="en-US" w:bidi="ar-SA"/>
        </w:rPr>
        <w:t xml:space="preserve"> at para. 17; and </w:t>
      </w:r>
      <w:r>
        <w:rPr>
          <w:rFonts w:ascii="arial" w:eastAsia="arial" w:hAnsi="arial" w:cs="arial"/>
          <w:i/>
          <w:color w:val="000000"/>
          <w:sz w:val="20"/>
          <w:lang w:val="en-US" w:eastAsia="en-US" w:bidi="ar-SA"/>
        </w:rPr>
        <w:t>Gardner v. Viridis Energy Inc.</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2014 BCSC 204</w:t>
        </w:r>
      </w:hyperlink>
      <w:r>
        <w:rPr>
          <w:rFonts w:ascii="arial" w:eastAsia="arial" w:hAnsi="arial" w:cs="arial"/>
          <w:color w:val="000000"/>
          <w:sz w:val="20"/>
          <w:lang w:val="en-US" w:eastAsia="en-US" w:bidi="ar-SA"/>
        </w:rPr>
        <w:t xml:space="preserve"> at paras. 76-77.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Applications to amend pleadings are considered on the same basis as applications to strike pleadings under R. 9-5: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Kent v. Translink</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2016 BCSC 224</w:t>
        </w:r>
      </w:hyperlink>
      <w:r>
        <w:rPr>
          <w:rFonts w:ascii="arial" w:eastAsia="arial" w:hAnsi="arial" w:cs="arial"/>
          <w:color w:val="000000"/>
          <w:sz w:val="20"/>
          <w:lang w:val="en-US" w:eastAsia="en-US" w:bidi="ar-SA"/>
        </w:rPr>
        <w:t xml:space="preserve"> at para. 8, the court cited, with approval, the summary of the cases under R. 9-5 by Justice Garson (as she then was) in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In summary, a pleading will be struck out if:</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particularly the harassment and oppression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exercising discretion to amend pleadings, the court will consider the expiration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the Court of Appeal dealt with an application to amend a pleading to add a new cause of action, after the expiry of a limitation period. The court determined that there is broad discretion to allow such an amendment, and that the overriding test is whether it is "just and convenient" to do so. At paras. 45 and 67,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the discretion to permit amendments afforded by both Rule 24(1) and s. 4(4)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intended to be completely unfettered and subject only to the general rule that all such discretion is to be exercised judicially, in accordance with the evidence adduced and such guidelines as may appear from the authorities. Delay, and the reasons for delay, are among the relevant considerations, and the judge should consider any explanation put forward to account for the delay. But no one factor should be accorded overriding importance, in the absence of a clear evidentiary basis for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were reviewed by the Court of Appeal in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in which Justice Esson said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My understanding of the phrase "completely unfettered" in this context is that the discretion is not fettered by the relevant legislation, i.e., the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is, however, fettered to the extent that, as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that the guidelines to which the chambers judge is required to have regard include these: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xml:space="preserve"> at para. 21, the Court of Appeal noted that the list of factors from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and repeated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had come to be considered a "checklist" of factors to be considered in an application to add a cause of action after the expiry of the limitation period, but reinforced that the list of factors is not exhaustive and that the overriding concern is whether the proposed amendment will be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Which Limitation Act Applies</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Both 074 and Squamish submit that the limitation period applicable to the claim of negligent misrepresentation is six years, as set out in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Former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came into force on June 1, 2013. The transition provision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 date" means the day on which this section comes into force [June 1,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"former Act" means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as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read immediately before the effective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"former limitation period" means, with respect to a pre-existing claim, a limitation period that applied to the pre-existing claim before the effective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"pre-existing claim" means a claim</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based on an act or omission that took place before the effective date,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which no court proceeding has been commenced before the effective date.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proceeding must not be commenced with respect to a pre-existing claim if</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former limitation period applied to that claim before the effective date, and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former limitation period expired before the effective date.</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subsection (2), if a pre-existing claim was discovered before the effective date,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to the pre-existing claim as if the right to bring an action occurred at the time of the discovery of the pre-existing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not disputed that the negligent misrepresentation claim which 074 seeks to amend to plead is based on an act or omission that took place before June 1, 2013, the effective date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The notice of civil claim which 074 seeks to amend was filed after the effective date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There is a question as to whether 074's negligent misrepresentation claim is a "pre-existing" claim as that term is defined in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The definition of a pre-existing claim in s. 30(1), as set out above, has two conjunctive parts. It is a claim based on an act or omission that took place before the June 1, 2013 effective date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with respect to which no court proceeding has been commenced before June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the negligent misrepresentation claim is based on an act or omission that took place in July 2007, some six years before the effective date. However, a court proceeding </w:t>
      </w:r>
      <w:r>
        <w:rPr>
          <w:rFonts w:ascii="arial" w:eastAsia="arial" w:hAnsi="arial" w:cs="arial"/>
          <w:color w:val="000000"/>
          <w:sz w:val="20"/>
          <w:u w:val="single"/>
          <w:lang w:val="en-US" w:eastAsia="en-US" w:bidi="ar-SA"/>
        </w:rPr>
        <w:t>had</w:t>
      </w:r>
      <w:r>
        <w:rPr>
          <w:rFonts w:ascii="arial" w:eastAsia="arial" w:hAnsi="arial" w:cs="arial"/>
          <w:color w:val="000000"/>
          <w:sz w:val="20"/>
          <w:lang w:val="en-US" w:eastAsia="en-US" w:bidi="ar-SA"/>
        </w:rPr>
        <w:t xml:space="preserve"> been commenced with respect to it before June 1, 2013, by the filing of a writ on December 18, 2009 (the "First Action"). The First Action was discontinued on December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Although the transition provision in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was considered by Justice Grauer in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2015 BCSC 1193</w:t>
        </w:r>
      </w:hyperlink>
      <w:r>
        <w:rPr>
          <w:rFonts w:ascii="arial" w:eastAsia="arial" w:hAnsi="arial" w:cs="arial"/>
          <w:color w:val="000000"/>
          <w:sz w:val="20"/>
          <w:lang w:val="en-US" w:eastAsia="en-US" w:bidi="ar-SA"/>
        </w:rPr>
        <w:t xml:space="preserve">, that decision is not directly applicable here as there was no issue about whether a claim was pre-existing. The parties were not able to refer me to any cases in which the issue of whether a claim is a "pre-existing claim", as defined in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where an action had been commenced with respect to that claim and was later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would have barred 074 from commencing a claim with respect to negligent misrepresentation in the first instance, it would seem contrary to the intent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xml:space="preserve"> to permit an amendment to allow the same claim to be advanced where, as in this case: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June 1, 2013, Mr. McCargar and 074 commenced and then discontinued an action by way of a writ, in other words, a "court proceeding", with respect to the claim;</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for the claim had expired prior to June 1, 2013;</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was commenced after June 1, 2013, without the claim or cause of action being pleaded; and</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amendment, pursuant to s. 22(5)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 was later sought to add the claim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Considering s. 30(1)(b) in context, I conclude that the provision was not intended to exclude from the definition of a "pre-existing claim" claims in which a court proceeding was commenced and subsequently discontinued. Such a result would be inconsistent with the overall scheme and intent of the </w:t>
      </w:r>
      <w:r>
        <w:rPr>
          <w:rFonts w:ascii="arial" w:eastAsia="arial" w:hAnsi="arial" w:cs="arial"/>
          <w:i/>
          <w:color w:val="000000"/>
          <w:sz w:val="20"/>
          <w:lang w:val="en-US" w:eastAsia="en-US" w:bidi="ar-SA"/>
        </w:rPr>
        <w:t>New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view, the wording "has been commenced" must have been intended to refer to ongoing court proceedings predating the effective date. This interpretation is consistent with the grammatical meaning of the words. According to the </w:t>
      </w:r>
      <w:r>
        <w:rPr>
          <w:rFonts w:ascii="arial" w:eastAsia="arial" w:hAnsi="arial" w:cs="arial"/>
          <w:i/>
          <w:color w:val="000000"/>
          <w:sz w:val="20"/>
          <w:lang w:val="en-US" w:eastAsia="en-US" w:bidi="ar-SA"/>
        </w:rPr>
        <w:t>Oxford Reference Grammar</w:t>
      </w:r>
      <w:r>
        <w:rPr>
          <w:rFonts w:ascii="arial" w:eastAsia="arial" w:hAnsi="arial" w:cs="arial"/>
          <w:color w:val="000000"/>
          <w:sz w:val="20"/>
          <w:lang w:val="en-US" w:eastAsia="en-US" w:bidi="ar-SA"/>
        </w:rPr>
        <w:t xml:space="preserve">, 1st ed, </w:t>
      </w:r>
      <w:r>
        <w:rPr>
          <w:rFonts w:ascii="arial" w:eastAsia="arial" w:hAnsi="arial" w:cs="arial"/>
          <w:i/>
          <w:color w:val="000000"/>
          <w:sz w:val="20"/>
          <w:lang w:val="en-US" w:eastAsia="en-US" w:bidi="ar-SA"/>
        </w:rPr>
        <w:t>sub verbo</w:t>
      </w:r>
      <w:r>
        <w:rPr>
          <w:rFonts w:ascii="arial" w:eastAsia="arial" w:hAnsi="arial" w:cs="arial"/>
          <w:color w:val="000000"/>
          <w:sz w:val="20"/>
          <w:lang w:val="en-US" w:eastAsia="en-US" w:bidi="ar-SA"/>
        </w:rPr>
        <w:t xml:space="preserve"> "verb phrases", the verb configuration "has been commenced" is in the "present perfect" structure, which is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perfect (auxiliary </w:t>
      </w:r>
      <w:r>
        <w:rPr>
          <w:rFonts w:ascii="arial" w:eastAsia="arial" w:hAnsi="arial" w:cs="arial"/>
          <w:i/>
          <w:color w:val="000000"/>
          <w:sz w:val="20"/>
          <w:lang w:val="en-US" w:eastAsia="en-US" w:bidi="ar-SA"/>
        </w:rPr>
        <w:t>have</w:t>
      </w:r>
      <w:r>
        <w:rPr>
          <w:rFonts w:ascii="arial" w:eastAsia="arial" w:hAnsi="arial" w:cs="arial"/>
          <w:color w:val="000000"/>
          <w:sz w:val="20"/>
          <w:lang w:val="en-US" w:eastAsia="en-US" w:bidi="ar-SA"/>
        </w:rPr>
        <w:t xml:space="preserve"> plus the -</w:t>
      </w:r>
      <w:r>
        <w:rPr>
          <w:rFonts w:ascii="arial" w:eastAsia="arial" w:hAnsi="arial" w:cs="arial"/>
          <w:i/>
          <w:color w:val="000000"/>
          <w:sz w:val="20"/>
          <w:lang w:val="en-US" w:eastAsia="en-US" w:bidi="ar-SA"/>
        </w:rPr>
        <w:t>ed</w:t>
      </w:r>
      <w:r>
        <w:rPr>
          <w:rFonts w:ascii="arial" w:eastAsia="arial" w:hAnsi="arial" w:cs="arial"/>
          <w:color w:val="000000"/>
          <w:sz w:val="20"/>
          <w:lang w:val="en-US" w:eastAsia="en-US" w:bidi="ar-SA"/>
        </w:rPr>
        <w:t xml:space="preserve"> participle) is used to indicate that a situation occurs within a period preceding another period or point in time. </w:t>
      </w:r>
      <w:r>
        <w:rPr>
          <w:rFonts w:ascii="arial" w:eastAsia="arial" w:hAnsi="arial" w:cs="arial"/>
          <w:color w:val="000000"/>
          <w:sz w:val="20"/>
          <w:u w:val="single"/>
          <w:lang w:val="en-US" w:eastAsia="en-US" w:bidi="ar-SA"/>
        </w:rPr>
        <w:t>For the present perfect, the period extends from the past to the present time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formulation is used when the "past period [is] relevant because it is viewed as still operative in the present"; for example, "has been marginalized"; "have been invented".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Here, the First Action was not ongoing on the effective date, and thus does not qualify as a "court proceeding that has been commenced before the effective date" within the meaning of s. 30(1)(b).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am, therefore, satisfied that the </w:t>
      </w:r>
      <w:r>
        <w:rPr>
          <w:rFonts w:ascii="arial" w:eastAsia="arial" w:hAnsi="arial" w:cs="arial"/>
          <w:i/>
          <w:color w:val="000000"/>
          <w:sz w:val="20"/>
          <w:lang w:val="en-US" w:eastAsia="en-US" w:bidi="ar-SA"/>
        </w:rPr>
        <w:t>Former Act</w:t>
      </w:r>
      <w:r>
        <w:rPr>
          <w:rFonts w:ascii="arial" w:eastAsia="arial" w:hAnsi="arial" w:cs="arial"/>
          <w:color w:val="000000"/>
          <w:sz w:val="20"/>
          <w:lang w:val="en-US" w:eastAsia="en-US" w:bidi="ar-SA"/>
        </w:rPr>
        <w:t xml:space="preserve"> continues to apply to 074's proposed claim of negligent misrepresentation and that the applicable limitation period is, as a result,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 Limitation Period Expired with respect to the Negligent Misrepresentation Claim</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074 made two different arguments about why it believed that the limitation period with respect to its negligent misrepresentation claim had not expired.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Squamish's Letter to 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First, it submitted that the limitation period recommenced running on October 29, 2012, after 074 received a letter from Corien Speaker, Squamish's former Chief Administrative Officer (the "Speaker Letter"). The Speaker Letter was attached as Exhibit D to Mr. McCargar's April 30, 2018 affidavit filed in support of this application to amend. It had earlier been attached as Exhibit P to his affidavit of October 23, 2016, filed in response to an application to strike parts of the claim. Submissions regarding the content of the Speaker Letter were made in both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I understand 074's argument, it acted on a proposal that, it submits, was made in the Speaker Letter in an effort to solve the problem created by the erroneous zoning information it received on July 12, 2007. 074 submits that the Speaker Letter confirmed 074's negligent misrepresentation cause of action and thereby renewed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both sets of submissions, Squamish objected to 074's reliance on the Speaker Letter on the basis that it was explicitly sent "without prejudice" and contained an offer to settle. As such, Squamish submitted that the Speaker Letter was protected by settlement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not necessary for me to deal with Squamish's objection during the application to strike. It is necessary for me to do so in this application given that 074 seeks to rely on the Speaker Letter as affirming its cause of action thereby reviving or extending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Sable Offshore Energy Inc. v. Ameron International Corp.</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2013 SCC 37</w:t>
        </w:r>
      </w:hyperlink>
      <w:r>
        <w:rPr>
          <w:rFonts w:ascii="arial" w:eastAsia="arial" w:hAnsi="arial" w:cs="arial"/>
          <w:color w:val="000000"/>
          <w:sz w:val="20"/>
          <w:lang w:val="en-US" w:eastAsia="en-US" w:bidi="ar-SA"/>
        </w:rPr>
        <w:t xml:space="preserve"> at para. 2, Justice Abella, writing for the Court, explained the purpose of settlement privilege as being to promote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 The privilege wraps a protective veil around the efforts parties make to settle their disputes by ensuring that communications made in the course of these negotiations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Justice Abella explained that the basis for the common law rule protecting without prejudice communications exchanged for the purpose of settlement is the public interest in encouraging parties to be more open in their settlement discussions because they understand that, whether or not a settlement is reached, their discussions cannot subsequently be disclosed or admitted: paras. 13, 15, and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Justice Abella described settlement privilege as a class privilege, meaning that the discussions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inadmissible: para. 12. She explained that exceptions to the privilege will be made where justice requires it and where a party is able to show that, on balance, there is a competing public interest which outweighs the public interest in encouraging settlement. She gave, as examples, misrepresentation, fraud, undue influence, and prevention of a plaintiff from being overcompensated.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I conclude that the Speaker Letter is protected by settlement privilege and that there is no competing public interest which outweighs the public interest in ruling its contents inadmissible. 074 did not point to any such countervailing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 result, the Speaker Letter is inadmissible, and 074 is not entitled to rely on its contents. Because it was "without prejudice", it cannot be relied on by 074 to argue that it revived the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Squamish's Rejection of the Rezoning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074's second submission about why the limitation period has not expired with respect to its negligent misrepresentation claim was based on the fact that it did not know, or could not quantify, the damages which flowed from the negligent misrepresentation until Squamish rejected 074's rezoning application in April 2014. 074 submits that it was only after that rejection that it knew that the number of lots it could develop on the Property would be limited to 10-acre rural residential development lots permitted by RL-2 zoning, as opposed to the two-acre rural residential development lots and ancillary uses permitted by RL-1 zoning. Up to that point, 074 submits that it was using the rezoning application process in an attempt to mitigate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do not accept 074's argument. It was framed as a "discoverability" argument. The Court of Appeal explained the doctrine of discoverability in </w:t>
      </w:r>
      <w:r>
        <w:rPr>
          <w:rFonts w:ascii="arial" w:eastAsia="arial" w:hAnsi="arial" w:cs="arial"/>
          <w:i/>
          <w:color w:val="000000"/>
          <w:sz w:val="20"/>
          <w:lang w:val="en-US" w:eastAsia="en-US" w:bidi="ar-SA"/>
        </w:rPr>
        <w:t>Roberts v. E. Sands &amp; Associates Inc.</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2014 BCCA 122</w:t>
        </w:r>
      </w:hyperlink>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According to the doctrine of discoverability, a limitation period does not begin to run until the claimant knows the material facts upon which a cause of action is founded. The claimant must be diligent in discovering those facts. The judge understood the doctrine; his discussion on the topic correctly summarizes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concept of discoverability was discussed by the learned author of </w:t>
      </w:r>
      <w:r>
        <w:rPr>
          <w:rFonts w:ascii="arial" w:eastAsia="arial" w:hAnsi="arial" w:cs="arial"/>
          <w:i/>
          <w:color w:val="000000"/>
          <w:sz w:val="20"/>
          <w:lang w:val="en-US" w:eastAsia="en-US" w:bidi="ar-SA"/>
        </w:rPr>
        <w:t>The Law of Limitations (2nd Ed.)</w:t>
      </w:r>
      <w:r>
        <w:rPr>
          <w:rFonts w:ascii="arial" w:eastAsia="arial" w:hAnsi="arial" w:cs="arial"/>
          <w:color w:val="000000"/>
          <w:sz w:val="20"/>
          <w:lang w:val="en-US" w:eastAsia="en-US" w:bidi="ar-SA"/>
        </w:rPr>
        <w:t xml:space="preserve"> (LexisNexis Butterworths)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cases where the discoverability rule is invoked, the claimant must have exercised reasonable diligence in discovering the material facts upon which to found an action. It has been clear for some time now that wilful blindness to the existence of damages will not be an effective answer to a limitation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what amounts to "reasonable diligence", </w:t>
      </w:r>
      <w:r>
        <w:rPr>
          <w:rFonts w:ascii="arial" w:eastAsia="arial" w:hAnsi="arial" w:cs="arial"/>
          <w:color w:val="000000"/>
          <w:sz w:val="20"/>
          <w:u w:val="single"/>
          <w:lang w:val="en-US" w:eastAsia="en-US" w:bidi="ar-SA"/>
        </w:rPr>
        <w:t>the test is a subjective one</w:t>
      </w:r>
      <w:r>
        <w:rPr>
          <w:rFonts w:ascii="arial" w:eastAsia="arial" w:hAnsi="arial" w:cs="arial"/>
          <w:color w:val="000000"/>
          <w:sz w:val="20"/>
          <w:lang w:val="en-US" w:eastAsia="en-US" w:bidi="ar-SA"/>
        </w:rPr>
        <w:t xml:space="preserve">. In the 1996 decision of </w:t>
      </w:r>
      <w:r>
        <w:rPr>
          <w:rFonts w:ascii="arial" w:eastAsia="arial" w:hAnsi="arial" w:cs="arial"/>
          <w:i/>
          <w:color w:val="000000"/>
          <w:sz w:val="20"/>
          <w:lang w:val="en-US" w:eastAsia="en-US" w:bidi="ar-SA"/>
        </w:rPr>
        <w:t>Bourne v. Saunby</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[1996] O.J. No. 3693</w:t>
        </w:r>
      </w:hyperlink>
      <w:r>
        <w:rPr>
          <w:rFonts w:ascii="arial" w:eastAsia="arial" w:hAnsi="arial" w:cs="arial"/>
          <w:color w:val="000000"/>
          <w:sz w:val="20"/>
          <w:lang w:val="en-US" w:eastAsia="en-US" w:bidi="ar-SA"/>
        </w:rPr>
        <w:t>, the court declined to apply the discoverability rule because "everything was then and there available to enable the plaintiff and his family and their advisors, exercising due diligence to bring an action". Similar approaches have been taken in more recent cases. It is not adequate, for example, to say that where medical evidence is available but has unreasonably not been obtained, that lack of knowledge of the nature and extent of an injury should trump a limitation defence. A claimant cannot simply wait until he or she has an expert report in hand which supports the claim.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postponement of a limitation period is based upon the common law notion of discoverability. The Supreme Court of Canada has held that the concept of discoverability is only an interpretative tool and each statute must be examined to determine whether this concept can be "read into" the particular statute: </w:t>
      </w:r>
      <w:r>
        <w:rPr>
          <w:rFonts w:ascii="arial" w:eastAsia="arial" w:hAnsi="arial" w:cs="arial"/>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xml:space="preserve">, at para. 37. See also </w:t>
      </w:r>
      <w:r>
        <w:rPr>
          <w:rFonts w:ascii="arial" w:eastAsia="arial" w:hAnsi="arial" w:cs="arial"/>
          <w:i/>
          <w:color w:val="000000"/>
          <w:sz w:val="20"/>
          <w:lang w:val="en-US" w:eastAsia="en-US" w:bidi="ar-SA"/>
        </w:rPr>
        <w:t>410727 B.C. Ltd. v. Dayhu Investments Ltd.</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(2004), 30 B.C.L.R. (4th) 157</w:t>
        </w:r>
      </w:hyperlink>
      <w:r>
        <w:rPr>
          <w:rFonts w:ascii="arial" w:eastAsia="arial" w:hAnsi="arial" w:cs="arial"/>
          <w:color w:val="000000"/>
          <w:sz w:val="20"/>
          <w:lang w:val="en-US" w:eastAsia="en-US" w:bidi="ar-SA"/>
        </w:rPr>
        <w:t xml:space="preserve"> (B.C.C.A.), at para. 34.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Consumers Glass Co. Ltd. v. Foundation Co. of Canada Ltd./Compagnie Foundation du Canada Ltee et al</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(1985), 20 D.L.R. (4th) 126</w:t>
        </w:r>
      </w:hyperlink>
      <w:r>
        <w:rPr>
          <w:rFonts w:ascii="arial" w:eastAsia="arial" w:hAnsi="arial" w:cs="arial"/>
          <w:color w:val="000000"/>
          <w:sz w:val="20"/>
          <w:lang w:val="en-US" w:eastAsia="en-US" w:bidi="ar-SA"/>
        </w:rPr>
        <w:t xml:space="preserve"> (Ont. C.A.), Dubin J.A., on behalf of the Court, made this statement regarding when a limitation period begins to run and the concept of discoverability: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opinion, in cases which are based on a breach of duty to take care, a cause of action does not arise, and time does not begin to run for the purposes of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until such time as the plaintiff discovers or ought reasonably to have discovered the facts with respect to which the remedy is being sought, whether the issue arises in contract or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the judgment of the Supreme Court of Canada </w:t>
      </w:r>
      <w:r>
        <w:rPr>
          <w:rFonts w:ascii="arial" w:eastAsia="arial" w:hAnsi="arial" w:cs="arial"/>
          <w:i/>
          <w:color w:val="000000"/>
          <w:sz w:val="20"/>
          <w:lang w:val="en-US" w:eastAsia="en-US" w:bidi="ar-SA"/>
        </w:rPr>
        <w:t>in Kamloops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City of Kamloops v. Nielsen et al.</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[1984] 5 W.W.R. 1</w:t>
        </w:r>
      </w:hyperlink>
      <w:r>
        <w:rPr>
          <w:rFonts w:ascii="arial" w:eastAsia="arial" w:hAnsi="arial" w:cs="arial"/>
          <w:color w:val="000000"/>
          <w:sz w:val="20"/>
          <w:lang w:val="en-US" w:eastAsia="en-US" w:bidi="ar-SA"/>
        </w:rPr>
        <w:t>], the underlying policy consideration was "the injustice of a law which statute-bars a claim before the plaintiff is even aware of its existence". That principle, in my opinion, is equally applicable where the issue arises in cases sounding in contract or in tort. That is not to say that the plaintiff would have to know the extent of the damage complained of before the time begins to run, but the cause of action does not arise, in my opinion, until the plaintiff could first have brought an action and proved sufficient facts to sustain it, or ought reasonably to have discovered the facts upon which the cause of action is premised.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Knowledge of the extent of the damage allegedly caused by a negligent misrepresentation is not required before the time in which a claim must be brought begins to run. It is sufficient that a plaintiff knows the cause of action and has sufficient facts to sustain a cause of action or ought reasonably to have discovered the facts upon which a cause of action is premised.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074 did not have to await the outcome of its rezoning application to have sufficient facts to plead negligent misrepresentation. In fact, with the assistance of legal counsel, it pled negligent misrepresentation in the First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Three Possible Commencement Dates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facts in this case, there are three possible dates on which, in my view, 074 was aware of sufficient facts on which to base a claim for negligent misrepresentation against Squamish and from which the limitation period started to run. The dates are in July 2007, December 2007, or December 2009.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The July 2007 Commencement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May 7, 2018 affidavit sworn by Robin Arthurs, Squamish's General Manager of Corporate Services, she says that she has been a Corporate Officer for Squamish since 2006. She earlier held positions with Squamish as a Deputy Clerk and then Director of Administrative Services. She is familiar with the Property and with Mr. McCargar.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Briefly, Ms. Arthurs swears that: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2007, she learned from Cameron Chalmers, Squamish's former Development Services Director, or Dava Gustason, a Development Services Clerk with Squamish, that 074 or Mr. McCargar had inquired about the zoning of the Property. Ms. Gustason emailed a statement to Mr. McCargar on July 13, 2007, erroneously describing the zoning for the Property as RL-1 instead of RL-2: para. 6;</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July 13, 2007, in an informal discussion between her, Mr. Chalmers, and Ms. Gustason, Ms. Gustason advised that she had provided a letter or email to Mr. McCargar confirming that the zoning for the Property was RL-1. Mr. Chalmers directed Ms. Gustason to immediately send a follow up email to Mr. McCargar to correct the zoning information: para. 7;</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thereafter, Ms. Arthurs saw what she believes was an email from Ms. Gustason to Mr. McCargar, correcting the zoning information: para. 8;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cannot specifically recall the date of her informal discussion with Ms. Gustason and Mr. Chalmers, or when the email correcting the information was sent by Ms. Gustason, but she recalls it as being shortly after July 13, 2007, and believes that it was possibly prior to July 19, 2007: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Arthurs goes on to explain in her affidavit that Ms. Gustason retired from Squamish. She died on August 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Arthurs sets out her internal and external efforts to locate the post-July 13, 2007 email message from Ms. Gustason to Mr. McCargar. Those efforts included: directing searches for a paper or electronic copy of the email; reviewing all current electronic files and directories with respect to the Property; reviewing all email records for current and past Squamish employees who might have reason to have a copy of the email; and inquiring with Squamish's outside information technology firm, ReStoring Data, to search backups and digital archives for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Arthurs says that, despite her efforts, she has been unable to locate a copy of the follow up email. She explains that Ms. Gustason's 2007 email messages are no longer accessible as Squamish's digital records from 2007 did not survive subsequent upgrades to its information-technology system, and are corrupted. On the chance that Ms. Gustason had a telephone call with Mr. McCargar to discuss the erroneous zoning confirmation, Ms. Arthurs also searched for any notes, work journals or similar records which might have been kept by Ms. Gustason,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submissions, Mr. McCargar denied that he had received an email from Ms. Gustason or anyone else from Squamish correcting the zoning information for the Property prior to 074 removing the conditions on its offer to purchase and closing the transaction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Ms. Arthurs' recollection is correct, and if an email was sent to Mr. McCargar prior to July 19, 2007, 074 could not argue that it detrimentally relied on Squamish's negligent misrepresentation in waiving the conditions and closing the transaction for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such an email was sent after July 19, 2007, then as of some other date in 2007, all of the facts necessary for 074 to plead a cause of action for negligent misrepresentation were known to it. In particular, incorrect zoning information was provided with respect to the Property, knowing it was to be relied on, 074 allegedly relied on the incorrect zoning when it waived its conditions and completed the sale, and the development potential of the Property was less than 074 believed. The only unknown was the impact that the reduced development potential would have on the value of the Property. As I have said, the quantum of any damages suffered by 074 was not a necessary element of the pleading of a negligent misrepresentation cause of action. Depending on the date in 2007 that is used for the commencement of the limitation period, the limitation period expired on that same date in 2013.</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December 2007 Commencement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first paragraph of his affidavit, dated October 23, 2016, Mr. McCargar swears that he is a shareholder and director of 074. At para. 25, he swears that 074 received confirmation from Squamish that the Property was zoned RL-1 on or about July 13, 2007, prior to 074's purchase of the Property. At paras. 26 and 27, he swears that:</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2007, Cameron Chalmers, previous Chief Approving Officer of Planning for the Respondent Squamish, verbally informed [074] that the zoning was in fact RL-2, not RL-1.</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Squamish informed [074] that an error had been made in confirming RL-1 and that [the Property] in fact was zoned RL-2.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074's cause of action for negligent misrepresentation is based on it learning that Property was zoned RL-2 after it had removed the conditions on its offer to purchase. Based on Mr. McCargar's sworn evidence, 074 knew by an unspecified date in December 2007 that Squamish had provided it with incorrect zoning information with respect to the Property. It also knew that, pursuant to the correct RL-2 zoning, the number of development lots into which it could divide the Property had reduced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of December 2007, 074 knew all of the facts necessary to plead a cause of action for negligent misrepresentation. Again, the only unknown was the impact the revised zoning would have on the value of the Property. If the six-year limitation period commenced in December 2007, it would have expired in December 2013.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The December 2009 Commencement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December 18, 2009, while represented by counsel, Mr. McCargar and 074 commenced the First Action (S099365) against Squamish by writ of summons. The relevant part of the writ alleged: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against the District of Squamish for damages for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relation to the provision to the Plaintiff of erroneous zoning information with respect to [the Property]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her affidavit, Ms. Arthurs says that Squamish was never served with the writ. Mr. McCargar confirmed that fact in his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December 17, 2010, Mr. McCargar and 074 discontinued the First Action when counsel filed a Notice of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Thus, it is clear that by December 18, 2009, Mr. McCargar and 074 knew all of the facts necessary to plead a cause of action for negligent misrepresentation. They instructed counsel to commence an action on their behalves. In my view, this is the latest possible date on which the limitation period started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the three possible dates on which the limitation period started to run (July 2007, December 2007, or December 2009), it expired either between July and December 2013 or at the very latest in December 2015. When 074 commenced this action on August 24, 2016, the applicable limitation period had expired more than two and a half years or at least eight months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to Amend Pleadings in Which There is a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are three scenarios which raise possible limitation issues with respect to amendments to pleadings seeking to add a new cause of action:</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limitation period with respect to the new cause of action </w:t>
      </w:r>
      <w:r>
        <w:rPr>
          <w:rFonts w:ascii="arial" w:eastAsia="arial" w:hAnsi="arial" w:cs="arial"/>
          <w:i/>
          <w:color w:val="000000"/>
          <w:sz w:val="20"/>
          <w:lang w:val="en-US" w:eastAsia="en-US" w:bidi="ar-SA"/>
        </w:rPr>
        <w:t>has possibly</w:t>
      </w:r>
      <w:r>
        <w:rPr>
          <w:rFonts w:ascii="arial" w:eastAsia="arial" w:hAnsi="arial" w:cs="arial"/>
          <w:color w:val="000000"/>
          <w:sz w:val="20"/>
          <w:lang w:val="en-US" w:eastAsia="en-US" w:bidi="ar-SA"/>
        </w:rPr>
        <w:t xml:space="preserve"> expired since the commencement of the action;</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limitation period with respect to the new cause of action </w:t>
      </w:r>
      <w:r>
        <w:rPr>
          <w:rFonts w:ascii="arial" w:eastAsia="arial" w:hAnsi="arial" w:cs="arial"/>
          <w:i/>
          <w:color w:val="000000"/>
          <w:sz w:val="20"/>
          <w:lang w:val="en-US" w:eastAsia="en-US" w:bidi="ar-SA"/>
        </w:rPr>
        <w:t>has</w:t>
      </w:r>
      <w:r>
        <w:rPr>
          <w:rFonts w:ascii="arial" w:eastAsia="arial" w:hAnsi="arial" w:cs="arial"/>
          <w:color w:val="000000"/>
          <w:sz w:val="20"/>
          <w:lang w:val="en-US" w:eastAsia="en-US" w:bidi="ar-SA"/>
        </w:rPr>
        <w:t xml:space="preserve"> expired since the commencement of the action; or</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limitation period with respect to the new cause of action </w:t>
      </w:r>
      <w:r>
        <w:rPr>
          <w:rFonts w:ascii="arial" w:eastAsia="arial" w:hAnsi="arial" w:cs="arial"/>
          <w:i/>
          <w:color w:val="000000"/>
          <w:sz w:val="20"/>
          <w:lang w:val="en-US" w:eastAsia="en-US" w:bidi="ar-SA"/>
        </w:rPr>
        <w:t>expired before</w:t>
      </w:r>
      <w:r>
        <w:rPr>
          <w:rFonts w:ascii="arial" w:eastAsia="arial" w:hAnsi="arial" w:cs="arial"/>
          <w:color w:val="000000"/>
          <w:sz w:val="20"/>
          <w:lang w:val="en-US" w:eastAsia="en-US" w:bidi="ar-SA"/>
        </w:rPr>
        <w:t xml:space="preserve"> the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first two scenarios, the court will consider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set out above, with the overriding consideration being whether it is just and convenient to permit the amendments (para. 74). If just and convenient, the court may grant leave to amend but permit the defendant to plead and rely upon a limitations defence: </w:t>
      </w:r>
      <w:r>
        <w:rPr>
          <w:rFonts w:ascii="arial" w:eastAsia="arial" w:hAnsi="arial" w:cs="arial"/>
          <w:i/>
          <w:color w:val="000000"/>
          <w:sz w:val="20"/>
          <w:lang w:val="en-US" w:eastAsia="en-US" w:bidi="ar-SA"/>
        </w:rPr>
        <w:t>KPMG Inc. v. IMO Industries (Canada) Inc.</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at paras. 47-48.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case does not involve either of the first two scenarios as, regardless of which limitation commencement date is used (July 2007, December 2007, or December 2009), the limitation period with respect to the negligent misrepresentation claim expired before 074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Pursuant to s. 4(4) of the </w:t>
      </w:r>
      <w:r>
        <w:rPr>
          <w:rFonts w:ascii="arial" w:eastAsia="arial" w:hAnsi="arial" w:cs="arial"/>
          <w:i/>
          <w:color w:val="000000"/>
          <w:sz w:val="20"/>
          <w:lang w:val="en-US" w:eastAsia="en-US" w:bidi="ar-SA"/>
        </w:rPr>
        <w:t>Former Act</w:t>
      </w:r>
      <w:r>
        <w:rPr>
          <w:rFonts w:ascii="arial" w:eastAsia="arial" w:hAnsi="arial" w:cs="arial"/>
          <w:color w:val="000000"/>
          <w:sz w:val="20"/>
          <w:lang w:val="en-US" w:eastAsia="en-US" w:bidi="ar-SA"/>
        </w:rPr>
        <w:t>, the court had discretion to allow the amendment of any pleading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question is whether the court's s. 4(4) discretion extended to allowing an amendment to allege a fresh cause of action where the limitation period with respect to that cause of action expired before the action sought to be amended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ASM Capital Corp. v. Mercer International Inc.</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1999 BCCA 353</w:t>
        </w:r>
      </w:hyperlink>
      <w:r>
        <w:rPr>
          <w:rFonts w:ascii="arial" w:eastAsia="arial" w:hAnsi="arial" w:cs="arial"/>
          <w:color w:val="000000"/>
          <w:sz w:val="20"/>
          <w:lang w:val="en-US" w:eastAsia="en-US" w:bidi="ar-SA"/>
        </w:rPr>
        <w:t xml:space="preserve">, the Court of Appeal concluded that the discretionary power in s. 4(4) to permit amendments extended to pleading a cause of action which had become statute-barred </w:t>
      </w:r>
      <w:r>
        <w:rPr>
          <w:rFonts w:ascii="arial" w:eastAsia="arial" w:hAnsi="arial" w:cs="arial"/>
          <w:i/>
          <w:color w:val="000000"/>
          <w:sz w:val="20"/>
          <w:lang w:val="en-US" w:eastAsia="en-US" w:bidi="ar-SA"/>
        </w:rPr>
        <w:t>since</w:t>
      </w:r>
      <w:r>
        <w:rPr>
          <w:rFonts w:ascii="arial" w:eastAsia="arial" w:hAnsi="arial" w:cs="arial"/>
          <w:color w:val="000000"/>
          <w:sz w:val="20"/>
          <w:lang w:val="en-US" w:eastAsia="en-US" w:bidi="ar-SA"/>
        </w:rPr>
        <w:t xml:space="preserve"> the commencement of an action. However, it did not extend to such amendments where the limitation period expired </w:t>
      </w:r>
      <w:r>
        <w:rPr>
          <w:rFonts w:ascii="arial" w:eastAsia="arial" w:hAnsi="arial" w:cs="arial"/>
          <w:i/>
          <w:color w:val="000000"/>
          <w:sz w:val="20"/>
          <w:lang w:val="en-US" w:eastAsia="en-US" w:bidi="ar-SA"/>
        </w:rPr>
        <w:t>prior</w:t>
      </w:r>
      <w:r>
        <w:rPr>
          <w:rFonts w:ascii="arial" w:eastAsia="arial" w:hAnsi="arial" w:cs="arial"/>
          <w:color w:val="000000"/>
          <w:sz w:val="20"/>
          <w:lang w:val="en-US" w:eastAsia="en-US" w:bidi="ar-SA"/>
        </w:rPr>
        <w:t xml:space="preserve"> to the commencement of the action: see also </w:t>
      </w:r>
      <w:r>
        <w:rPr>
          <w:rFonts w:ascii="arial" w:eastAsia="arial" w:hAnsi="arial" w:cs="arial"/>
          <w:i/>
          <w:color w:val="000000"/>
          <w:sz w:val="20"/>
          <w:lang w:val="en-US" w:eastAsia="en-US" w:bidi="ar-SA"/>
        </w:rPr>
        <w:t>Lifestyles Retirement Communities Ltd. v. Gerling Global General Insurance Co.</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2000 BCCA 372</w:t>
        </w:r>
      </w:hyperlink>
      <w:r>
        <w:rPr>
          <w:rFonts w:ascii="arial" w:eastAsia="arial" w:hAnsi="arial" w:cs="arial"/>
          <w:color w:val="000000"/>
          <w:sz w:val="20"/>
          <w:lang w:val="en-US" w:eastAsia="en-US" w:bidi="ar-SA"/>
        </w:rPr>
        <w:t xml:space="preserve"> at para. 3 and </w:t>
      </w:r>
      <w:r>
        <w:rPr>
          <w:rFonts w:ascii="arial" w:eastAsia="arial" w:hAnsi="arial" w:cs="arial"/>
          <w:i/>
          <w:color w:val="000000"/>
          <w:sz w:val="20"/>
          <w:lang w:val="en-US" w:eastAsia="en-US" w:bidi="ar-SA"/>
        </w:rPr>
        <w:t>Reynolds v. Huard</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2013 BCSC 1882</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a result, the discretion in s. 4(4) of the </w:t>
      </w:r>
      <w:r>
        <w:rPr>
          <w:rFonts w:ascii="arial" w:eastAsia="arial" w:hAnsi="arial" w:cs="arial"/>
          <w:i/>
          <w:color w:val="000000"/>
          <w:sz w:val="20"/>
          <w:lang w:val="en-US" w:eastAsia="en-US" w:bidi="ar-SA"/>
        </w:rPr>
        <w:t>Former Act</w:t>
      </w:r>
      <w:r>
        <w:rPr>
          <w:rFonts w:ascii="arial" w:eastAsia="arial" w:hAnsi="arial" w:cs="arial"/>
          <w:color w:val="000000"/>
          <w:sz w:val="20"/>
          <w:lang w:val="en-US" w:eastAsia="en-US" w:bidi="ar-SA"/>
        </w:rPr>
        <w:t xml:space="preserve"> is not available to 074 to permit the amendment to plead negligent misrepresentation, as under any of the three possible commencement dates for the running of the limitation period, the limitation period had expired prior to the commencement of this action by 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Teal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While s. 4(4) of the </w:t>
      </w:r>
      <w:r>
        <w:rPr>
          <w:rFonts w:ascii="arial" w:eastAsia="arial" w:hAnsi="arial" w:cs="arial"/>
          <w:i/>
          <w:color w:val="000000"/>
          <w:sz w:val="20"/>
          <w:lang w:val="en-US" w:eastAsia="en-US" w:bidi="ar-SA"/>
        </w:rPr>
        <w:t>Former Act</w:t>
      </w:r>
      <w:r>
        <w:rPr>
          <w:rFonts w:ascii="arial" w:eastAsia="arial" w:hAnsi="arial" w:cs="arial"/>
          <w:color w:val="000000"/>
          <w:sz w:val="20"/>
          <w:lang w:val="en-US" w:eastAsia="en-US" w:bidi="ar-SA"/>
        </w:rPr>
        <w:t xml:space="preserve"> does not allow the court any discretion to allow 074's amendment given that the negligent misrepresentation cause of action expired prior to the commencement of this claim, the parties made thorough submissions on the application of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As a result, I will consider their application in this case and whether, based on an overall assessment of the circumstances, it is just and convenient to permit the amendment.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Length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074's cause of action for negligent misrepresentation arises out of the allegedly erroneous zoning information provided to it by Squamish on July 13, 2007. As discussed above, in the case of either one of the first two possible commencement dates for the running of the limitation period, this application to amend is brought over eight years later, and over two years after the expiry of the six-year limitation period. If the latest possible commencement date is considered, this application is brought over six years later, and over eight months after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delay weighs against granting leave to amend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Reason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074 has not provided an explanation for its delay in seeking to bring a claim on the basis of negligent misrepresentation. Its materials on this application did not disclose that it had commenced the First Action, never served Squamish with it, and discontinued it one year later. 074 and Mr. McCargar were represented by counsel in filing the action and in discontinuing it. The materials did not explain why that action was not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at para. 47, the Court of Appeal discussed Justice Locke's concurring reasons in </w:t>
      </w:r>
      <w:r>
        <w:rPr>
          <w:rFonts w:ascii="arial" w:eastAsia="arial" w:hAnsi="arial" w:cs="arial"/>
          <w:i/>
          <w:color w:val="000000"/>
          <w:sz w:val="20"/>
          <w:lang w:val="en-US" w:eastAsia="en-US" w:bidi="ar-SA"/>
        </w:rPr>
        <w:t>Bank of Montreal v. Ricketts</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(1990) 44 B.C.L.R. (2d) 95</w:t>
        </w:r>
      </w:hyperlink>
      <w:r>
        <w:rPr>
          <w:rFonts w:ascii="arial" w:eastAsia="arial" w:hAnsi="arial" w:cs="arial"/>
          <w:color w:val="000000"/>
          <w:sz w:val="20"/>
          <w:lang w:val="en-US" w:eastAsia="en-US" w:bidi="ar-SA"/>
        </w:rPr>
        <w:t xml:space="preserve"> (C.A.). At 108, Justice Locke described that the causes of delay fell, for the most part, into five categories: an election not to sue after knowing the facts; impossibility of ascertaining the facts; conduct which amounts to an abuse of process; mistake; and dilatory behaviour. In that case, Justice Locke concluded that there had been a deliberate decision by the plaintiff, with knowledge of the facts and before the limitation period expired, not to add a defendant. In such circumstances, Justice Locke concluded that it would not be just to later add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did not agree with Justice Locke's reasons that fault or "culpability", in the sense of intentional but mistaken conduct, was a decisive factor in an application to add a party: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at paras. 59 and 62. Instead, the court concluded that the reason for the delay in seeking to add a party or a new cause of action is but one consideration in the exercise of discretion. As Justice Finch explained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as is clear from the First Action commenced in 2009 by Mr. McCargar and 074, 074 knew the facts on which it now seeks to rely in support of the Amended Pleading. In the absence of any explanation from 074, the discontinuance of the First Action in 2010 demonstrates an election not to pursue that issue. This factor weighs against granting leave to amend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Presence or Absence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Prejudice will be presumed where a limitation period in which to commence an action has expired, and an action was not served within the year available for service thereafter: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focus of the consideration of prejudice is on the defendant's ability to defend a case, including the disappearance of documents and the unavailability of witnesses: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xml:space="preserve"> at paras. 23-24. The court will also consider the genuine efforts of the person alleging prejudice to mitigate it by other means: </w:t>
      </w:r>
      <w:r>
        <w:rPr>
          <w:rFonts w:ascii="arial" w:eastAsia="arial" w:hAnsi="arial" w:cs="arial"/>
          <w:i/>
          <w:color w:val="000000"/>
          <w:sz w:val="20"/>
          <w:lang w:val="en-US" w:eastAsia="en-US" w:bidi="ar-SA"/>
        </w:rPr>
        <w:t>Takenaka et al v. Stanley et 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2000 BCSC 242</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this case, for the following reasons, based on the affidavit evidence of Ms. Arthurs, I am satisfied that genuine prejudice exists: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Dava Gustason, the former Squamish employee responsible for communicating zoning information to Mr. McCargar, and who would have been a key witness in addressing the misrepresentation allegations, passed away on August 4, 2015;</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Arthurs, Squamish's General Manager of Corporate Services, recalls that, shortly following the July 2007 zoning information communicated to Mr. McCargar and 074, on the direction of Mr. Chalmers, Ms. Gustason provided a follow up clarification to Mr. McCargar as to the correct zoning for the Property;</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Arthurs' efforts and the efforts of others to locate a copy of the follow up communication from Ms. Gustason have been unsuccessful. It cannot be found in the District's paper records and the digital storage archive where it may have been saved has become corrupt, and the District's third-party information technology service provider has been unable to retrieve it; and</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Arthurs has also made other efforts to find possible notes or telephone records from Ms. Gustason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Mr. McCargar submitted that Ms. Gustason's evidence is not key, I accept that it is key to the issue of whether Squamish clarified the zoning information before 074 removed the conditions on its agreement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 to the Contract of Purchase and Sale Addendum attached to Mr. McCargar's evidence, 074 removed conditions on the purchase of the Property on July 19, 2007. Land title records indicate that 074's interest in the Property was registered in the Land Title Office on March 18, 2008. If Ms. Gustason provided corrected zoning information within a short time following July 13, 2007, such evidence may have provided a full defence to a claim in misrepresentation. Such evidence has been lost as a result of 074's delay in pursuing its allegation of negligent misrepresentation. As a result, Squamish may be unable to prove a full defence to a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prejudice to Squamish cannot be mitigated by a costs or other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Extent of Any Connection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agree with Squamish's submission that there is no temporal or factual connection between the proposed negligent misrepresentation claim and the remainder of the notice of civil claim which focuses on the stop work order which was issued by the Inspector of Dikes with respect to a building permit issued for the Property and the alleged trespass or unlawful expropriation alleged as a result of steps taken by Squamish to widen the Dike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of course, a connection between the parties to the proposed new cause of action and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Conclusion on </w:t>
      </w:r>
      <w:r>
        <w:rPr>
          <w:rFonts w:ascii="arial" w:eastAsia="arial" w:hAnsi="arial" w:cs="arial"/>
          <w:b/>
          <w:i/>
          <w:color w:val="000000"/>
          <w:sz w:val="20"/>
          <w:lang w:val="en-US" w:eastAsia="en-US" w:bidi="ar-SA"/>
        </w:rPr>
        <w:t>Teal</w:t>
      </w:r>
      <w:r>
        <w:rPr>
          <w:rFonts w:ascii="arial" w:eastAsia="arial" w:hAnsi="arial" w:cs="arial"/>
          <w:b/>
          <w:color w:val="000000"/>
          <w:sz w:val="20"/>
          <w:lang w:val="en-US" w:eastAsia="en-US" w:bidi="ar-SA"/>
        </w:rPr>
        <w:t xml:space="preser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Having considered all of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I have concluded that it would not be just or convenient to allow 074 to amend its pleadings to add a claim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074's application to amend its notice of civil claim to include a claim of negligent misrepresentation against Squamish is dismissed. 074 does not have leave to make the amendments opposed by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A.B. v. C.D., [2010] B.C.J. No. 2114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S090657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789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2912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A.B., Plaintiff, and C.D. and Board of School Trustees of District E.F.,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29"/>
      <w:bookmarkEnd w:id="274"/>
      <w:r>
        <w:rPr>
          <w:rFonts w:ascii="arial" w:eastAsia="arial" w:hAnsi="arial" w:cs="arial"/>
          <w:b/>
          <w:color w:val="000000"/>
          <w:sz w:val="20"/>
          <w:lang w:val="en-US" w:eastAsia="en-US" w:bidi="ar-SA"/>
        </w:rPr>
        <w:t>Civil litigation — Civil procedure — Trials — Conduct of — Publication bans and confidentiality orders — Application by defendant teacher and school board for publication ban allowed — Plaintiff was seeking damages from former high school teacher and board for sexually assault, battery and exploitation — Teacher had been convicted of sexual exploitation -- s. 486.4(2) Criminal Code ban in place prohibiting publication of plaintiff's name or identifying information — Ban on publication of plaintiff's name required to comply with s. 486.4(2) ban — School and school district relatively small, so ban on publication of teacher's, school's and district's name and identifying information required to prevent identification of plaintiff — Style of cause changed accordingly.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Education law — Civil liabilities — Of school boards and schools — Injuries and property damage — Physical injuries — Physical assault or abuse — Sexual assault or abuse — Of school staff — Injuries and property damage — Physical injuries — Physical assault or abuse — Sexual assault or abuse — Application by defendant teacher and school board for publication ban allowed — Plaintiff was seeking damages from former high school teacher and board for sexually assault, battery and exploitation — Teacher had been convicted of sexual exploitation -- s. 486.4(2) Criminal Code ban in place prohibiting publication of plaintiff's name or identifying information — Ban on publication of plaintiff's name required to comply with s. 486.4(2) ban — School and school district relatively small, so ban on publication of teacher's, school's and district's name and identifying information required to prevent identification of plaintiff — Style of cause changed accordingly.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27"/>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teacher and school board for a publication ban with respect to their names and identifying information. The plaintiff was suing her former high school teacher and school board for damages for alleged sexual assault, battery and sexual exploitation. The teacher had been convicted of sexual exploitation. A s. 486.2(4) Criminal Code ban was in place that prohibited the publication of the plaintiff's name and identifying information. The plaintiff had already obtained a publication ban with respect to her name for these proceedings, as well as an order changing the style of cause to protect her identity. The teacher argued that a publication ban should be entered with respect to his name to protect his 11-year-old daughter from harm. The board argued that a publication ban of the defendants' names was necessary to prevent identification of the plaintiff. A newspaper objected to the ban on the basis that openness was a fundamental part of the justice system and persons convicted of crimes should not be protected.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25"/>
            <w:bookmarkEnd w:id="2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criminal conviction was relevant to civil liability and would be referred to in trial. The ban on publication of the plaintiff's name was necessary to avoid violating the s. 486.4(2) ban. If the teacher's name were published with respect to these proceedings, members of the public, particularly those that had attended the plaintiff and teacher's former school would be able to determine the plaintiff's identity. Given the relatively small size of the school and school district, publication of their names would also likely lead to identification of the plaintiff. A publication ban was ordered with respect to the names of the teacher, school and school district and indentifying information. The style of cause was changed to non-identifying initials.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27"/>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1, s. 2, s. 7,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R.S.C. 1985, c. C-46, s. 153(1)(a), s. 153(2), s. 486.4(1), s. 486.4(2)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608" w:history="1">
        <w:r>
          <w:rPr>
            <w:rFonts w:ascii="arial" w:eastAsia="arial" w:hAnsi="arial" w:cs="arial"/>
            <w:i/>
            <w:color w:val="0077CC"/>
            <w:sz w:val="20"/>
            <w:u w:val="single"/>
            <w:shd w:val="clear" w:color="auto" w:fill="FFFFFF"/>
            <w:lang w:val="en-US" w:eastAsia="en-US" w:bidi="ar-SA"/>
          </w:rPr>
          <w:t>R.S.C. 1985, c. I-21, s. 35</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29"/>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M.R. Ellis,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C.D.: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Board of School Trustees of District E.F.: R.J. Harper, S.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Agent for Vancouver Sun and J. Steffenhagen, In Person: J. Steffenhagen.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29"/>
      <w:bookmarkEnd w:id="279"/>
      <w:r>
        <w:pict>
          <v:line id="_x0000_s1183"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GRAY J."/>
            <w:bookmarkEnd w:id="280"/>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have brought applications during trial seeking publication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has sued one of her former high school teachers and the school board which employed him. She alleges that she has suffered psychological injury, and she claims general damages, aggravated damages, punitive damages, and special damages. She alleges that the teacher is liable to her for sexual assaults, battery, and "sexual exploitation". She alleges that the school board is liable to her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confidentiality and privacy, and on the basis that it is vicariously liable for the conduct of the former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Both the former teacher and the school board have applied for a ban on publication of their names and any information that would identify them to the public. Such a ban was made on September 27, 2010 regarding the plaintiff, and on an interim basis regarding the defendants. In addition, there is an existing ban under s. 486.4(2)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R.S.C. 1985, c. C-46, prohibiting publication of the plaintiff's name, or any information that could identify her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begin by setting out the relevant facts in chronological order. I will be intentionally vague about dates in order to comply with the existing publication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complained to friends, then family, then police, about the conduct of the former teacher which occurred when she was 17 years old. The former teacher was charged with the offence commonly referred to as "sexual exploitation" contrary to s. 153(1)(a)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That offence is more fully described as the former teacher being a person in a position of trust or authority towards a young person, and touching the young person's body with his body for a sexual purpose. Section 153(2) defines a "young person" as a person who is 16 years of age or more but under the age of 18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Provincial Court made a publication ban pursuant to s. 486.4(2)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I have not been provided with the formal court order, but the ban is described in the reasons for judgment on sentencing as prohibiting "the publication of the plaintiff's name, or any information that could identify her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term "public" is not used in s. 486.4(2). It is not defined in either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R.S.C. 1985, c. 1-21, s. 35. It is defined in the </w:t>
      </w:r>
      <w:r>
        <w:rPr>
          <w:rFonts w:ascii="arial" w:eastAsia="arial" w:hAnsi="arial" w:cs="arial"/>
          <w:i/>
          <w:color w:val="000000"/>
          <w:sz w:val="20"/>
          <w:lang w:val="en-US" w:eastAsia="en-US" w:bidi="ar-SA"/>
        </w:rPr>
        <w:t>New Oxford Dictionary of English</w:t>
      </w:r>
      <w:r>
        <w:rPr>
          <w:rFonts w:ascii="arial" w:eastAsia="arial" w:hAnsi="arial" w:cs="arial"/>
          <w:color w:val="000000"/>
          <w:sz w:val="20"/>
          <w:lang w:val="en-US" w:eastAsia="en-US" w:bidi="ar-SA"/>
        </w:rPr>
        <w:t>, 1998, as "ordinary people in general;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teacher was charged, several newspapers, including the Vancouver Sun and a community newspaper, published articles about the criminal proceedings against the former teacher. The articles named the former teacher, the school at which he taught the plaintiff, and the school board which employed the former teacher, but they did not name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at this trial that she thought people knew her identity even though her name was not mentioned in the media. The plaintiff referred specifically to a quotation in one of the articles from a student, which made references which the plaintiff thought demonstrated that the student quoted knew that the complainant in the criminal case was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former teacher entered a guilty plea to the charge of sexual exploitation and was sentenced.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commenced this civil claim for damages against the former teacher and the school board. Her claim includes claims based on the acts which were the basis of the criminal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radio station broadcast a newscast about the fact that that plaintiff commenced this lawsuit. The newscast named the teacher and the school but not the plaintiff. A written version of the newscast is available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opening of trial, on Monday, September 27, 2010, the plaintiff sought a publication ban and an order changing the style of cause of this case to replace the plaintiff's name with the initials "A.B." Those initials are not the plaintiff's initials. Neither the former teacher, who is acting on his own behalf at this trial, nor the school board, who is represented by Ms. Harper and Ms. Harbottle, took any position on that application. I made the order requested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former teacher then asked for a similar order prohibiting publication of his name. He stated that he has an 11 year old daughter, and he expressed his concern about damage to her arising from publication of his name in the media in connection with this civil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school board then asked for a similar order prohibiting publication of its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Ms. Ellis, who is counsel for the plaintiff, and Ms. Harper advised that they were taken by surprise by the request of the former teacher, and were not in a position to provide relevant legal authority or make submissions on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suggested adjourning the trial briefly to enable counsel to review the law and prepare submissions, but counsel were concerned that doing so would disrupt the schedule of witnesses and lead to delay in completion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I adjourned the hearing of the applications for publication bans to the second week of trial, to be scheduled on Monday, October 4, 2010. I made an interim publication ban order, to permit argument and a decision on the publication ban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formal order of September 27, 2010, was entered in the court records later that day. The style of cause refers to the plaintiff as "A.B.", but has the full names of the former teacher and the school board. The terms of the interim order are as follows: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cause in this proceeding shall be amended to refer to the plaintiff by the initials A.B.</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publication of any information which would tend to identify the plaintiff.</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interim ban on publication of any information which would tend to identify the individual defendant until further order of the court.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interim ban on publication of any information which would tend to identify the institutional defendant until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notice of the publication bans was posted on the courtroom door during the continuation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in the week of September 27, 2010, I provided counsel with a list of authorities which I had located which I thought might be of assistance to them in preparing argument on the publication ban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Monday, October 4, 2010, I received a letter from Ms. Steffenhagen, a reporter for the Vancouver Sun, a division of Canwest Mediaworks Publications Inc., giving notice of intention to oppose the request by the defendants for a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Also on October 4, 2010, Ms. Ellis advised that the plaintiff would not take any position on the defendants' applications for publication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Also on October 4, 2010, Ms. Steffenhagen advised that she intended to speak personally on behalf of herself and the Vancouver Sun rather than through counsel, and that she would appreciate time to review legal precedents and prepare her submissions. Ms. Harper agreed to provide Ms. Steffenhagen with a book of authorities including the authorities that I had mentioned. The hearing was set for 10:00 a.m. on October 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hearing on October 6, 2010, I explained the process for the application. I explained that the applications had been brought at trial, and I summarized the evidence which was to be considered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parties agreed that I could accept the individual defendant's assertions that he had an 11 year old daughter, without formal proof of that fact. I read out in court a passage from my notes concerning the plaintiff's evidence at trial about her belief that people identified her from the media reports which did not name her. Ms. Harper also referred to passages from the report of Dr. Korpach, the psychologist who testified at the request of the plaintiff, concerning the plaintiff's reaction to media reports. Ms. Steffenhagen was provided with copies of those passages.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Korpach reported that the plaintiff feels humiliated, avoids public interactions, and has suffered emotional distress at the betrayal of perceived support, as represented through both media and public gossip surrounding the abuse. Dr. Korpach wrote that in her opinion, the plaintiff's recovery will be enhanced by residing outside of the community throughout her schooling and subsequently. Further, Dr. Korpach wrote that in her opinion, if the plaintiff remains in her community, her recovery will be permanently impeded by consistent cues and reminders leading to shame, low self worth, and interpersonal avoidance.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Steffenhagen sought standing to represent herself and the Vancouver Sun newspaper at the hearing. None of the parties opposed that, and I granted her standing on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the hearing of the application, Ms. Steffenhagen referred to facts which were not in evidence. I gave her liberty to file evidence in support of those assertions, so long as it was provided by noon on Friday, October 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Later, Ms. Steffenhagen provided the affidavit of Sylvia Jorger sworn October 6, 2010. This affidavit attached printouts of internet searches, and was accepted on the basis that the items were available on the internet, but were not proof of the truth of the statements made in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Jorger's affidavit attached internet searches of the individual defendant's full name, and his last name together with certain geographic locations. The search of his full name revealed, within the first ten results, a media report concerning the criminal proceeding against the former teacher, a media report concerning the sentencing, a media report concerning the commencement of this lawsuit, and a B.C. College of Teachers notation that the individual defendant admitted to professional misconduct, which notation includes particulars of the criminal conviction and sentence. The searches of the former teacher's last name with the geographic locations produced results including a media report referring to the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courtroom has been open throughout the trial, which proceeded on the nine hearing days of September 27 through October 1, 2010 and October 4, 5, 6, and 8, 2010. The trial is scheduled to continue on November 2 and 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position of the parties can be briefly summarized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former teacher seeks a continuation of the interim publication ban on any information which would tend to identify him. He seeks it on the basis that he has an uncommon last name, and that publication of his name could lead to serious psychological harm to his 11 year old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school board seeks a continuation of the publication ban on any information which would tend to identify it or the defendant, on the basis that without it, the ban on publication of any information which would tend to identify the plaintiff would not be effective. In other words, the school board argued that publication of the name of the former teacher or the school board would tend to lead to identification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have said, the plaintiff did not take any position on the defendants' applications for publication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Vancouver Sun and Ms. Steffenhagen opposed any ban on publication of the name of the defendants and information identifying them. Ms. Steffenhagen argued that the principle of openness in the judicial system is paramount, the public has a right to know, the information is already readily available on the internet, and the court should not protect a person convicted of a crime even if they have children who might be harmed by more publicity.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ban on publication of the former teacher's name and information that would tend to identify him required for compliance with the existing ban on publication of information that would tend to identify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should the court ban publication of the former teacher's name and information that would tend to identify him to avoid harm to his 11 year old daughter?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ban on publication of the name of the plaintiff's former high school required for compliance with the existing ban on publication of information that would tend to identify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ban on publication of the name of the school district which formerly employed the former teacher required for compliance with the existing ban on publication of information that would tend to identify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a ban on publication of the former teacher's name and information that would tend to identify him required for compliance with the existing ban on publication of information that would tend to identify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question of whether particular facts would tend to identify the plaintiff is a question of fact requiring consideration of all of the circumstances. However, to put the question in context, particularly in light of Ms. Steffenhagen's submission, I will set out law relating to both discretionary and s. 486.4(2) publication bans. This background law and the analysis of the relevant facts is set out under the following headings: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mandatory s. 486.4(2) publication bans;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discretionary publication bans generally;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competing interests: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to privacy;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freedom of speech;</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limits on freedom of speech;</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discretionary publication ban cases;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compliance with existing bans.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Mandatory s. 486.4(2) publication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publication ban made by the provincial court in this case was made pursuant to s. 486.4(2)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That section makes it mandatory for a court to order a publication ban if it is requested by the complainant in a sexual exploitation case, among other criminal proceedings. The relevant parts of Section 486.4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486.4(1) Subject to subsection (2), the presiding judge or justice may make an order directing that any information that could identify the complainant or a witness shall not be published in any document or broadcast or transmitted in any way, in proceedings in respect of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of the following offences: ... [including sexual offences]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in respect of the offences referred to in paragraph (1)(a) or (b), the presiding judge or justice shall</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first reasonable opportunity, inform any witness under the age of eighteen years and the complainant of the right to make an application for the order;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application made by the complainant, the prosecutor or any such witness, make the order.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Discretionary publication bans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September 27, 2010 order banning publication of information that would tend to identify the plaintiff was made pursuant to the court's inherent jurisdiction. The court has discretion to order such bans, which discretion must be exercised within the boundaries of the law, including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further publication bans sought by the defendants are also discretionary, rather than statutory, publication bans.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Competing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Publication ban applications arise in differing circumstances, and the rights and interests which the court must balance vary. In this case, the interests that favoured a publication ban are the interest of the plaintiff in maintaining her privacy, and the interest of the public in encouraging victims to seek damages from sexual wrongdoers. The interests that opposed a publication ban and suggest that any ban should be minimal are the interest of the public and the press in freedom of expression, including open and accessible courts, and the public interest in an open public dialogue on the functioning of public institutions like school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freedom of expression and the right to privacy have been accorded constitutional protection.</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includes the following:</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guarantees the rights and freedoms set out in it subject only to such reasonable limits prescribed by law as can be demonstrably justified in a free and democratic society.</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following fundamental freedoms: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freedom of thought, belief, opinion and expression, including freedom of the press and other media of communication;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be secure against unreasonable search or seizure.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Right to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right to privacy was discussed by Justice L'Heureux-Dubé in </w:t>
      </w:r>
      <w:r>
        <w:rPr>
          <w:rFonts w:ascii="arial" w:eastAsia="arial" w:hAnsi="arial" w:cs="arial"/>
          <w:i/>
          <w:color w:val="000000"/>
          <w:sz w:val="20"/>
          <w:lang w:val="en-US" w:eastAsia="en-US" w:bidi="ar-SA"/>
        </w:rPr>
        <w:t>R. v. O'Connor</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[1995] 4 S.C.R. 411</w:t>
        </w:r>
      </w:hyperlink>
      <w:r>
        <w:rPr>
          <w:rFonts w:ascii="arial" w:eastAsia="arial" w:hAnsi="arial" w:cs="arial"/>
          <w:color w:val="000000"/>
          <w:sz w:val="20"/>
          <w:lang w:val="en-US" w:eastAsia="en-US" w:bidi="ar-SA"/>
        </w:rPr>
        <w:t xml:space="preserve"> at paras. 110-119, </w:t>
      </w:r>
      <w:hyperlink r:id="rId609" w:history="1">
        <w:r>
          <w:rPr>
            <w:rFonts w:ascii="arial" w:eastAsia="arial" w:hAnsi="arial" w:cs="arial"/>
            <w:i/>
            <w:color w:val="0077CC"/>
            <w:sz w:val="20"/>
            <w:u w:val="single"/>
            <w:shd w:val="clear" w:color="auto" w:fill="FFFFFF"/>
            <w:lang w:val="en-US" w:eastAsia="en-US" w:bidi="ar-SA"/>
          </w:rPr>
          <w:t>130 D.L.R. (4th) 235</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This Court has on many occasions recognized the great value of privacy in our society. It has expressed sympathy for the proposition that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includes a right to privacy: </w:t>
      </w:r>
      <w:r>
        <w:rPr>
          <w:rFonts w:ascii="arial" w:eastAsia="arial" w:hAnsi="arial" w:cs="arial"/>
          <w:i/>
          <w:color w:val="000000"/>
          <w:sz w:val="20"/>
          <w:lang w:val="en-US" w:eastAsia="en-US" w:bidi="ar-SA"/>
        </w:rPr>
        <w:t>Beare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412; </w:t>
      </w:r>
      <w:r>
        <w:rPr>
          <w:rFonts w:ascii="arial" w:eastAsia="arial" w:hAnsi="arial" w:cs="arial"/>
          <w:i/>
          <w:color w:val="000000"/>
          <w:sz w:val="20"/>
          <w:lang w:val="en-US" w:eastAsia="en-US" w:bidi="ar-SA"/>
        </w:rPr>
        <w:t>B. (R.) v. Children's Aid Society of Metropolitan Toronto</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[1995] 1 S.C.R. 315</w:t>
        </w:r>
      </w:hyperlink>
      <w:r>
        <w:rPr>
          <w:rFonts w:ascii="arial" w:eastAsia="arial" w:hAnsi="arial" w:cs="arial"/>
          <w:color w:val="000000"/>
          <w:sz w:val="20"/>
          <w:lang w:val="en-US" w:eastAsia="en-US" w:bidi="ar-SA"/>
        </w:rPr>
        <w:t xml:space="preserve">, at p. 369,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On numerous other occasions, it has spoken of privacy in terms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Hunter v. Southam Inc.</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[1984] 2 S.C.R. 145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Pohoretsky</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[1987] 1 S.C.R. 945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Dyment</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[1988] 2 S.C.R. 417</w:t>
        </w:r>
      </w:hyperlink>
      <w:r>
        <w:rPr>
          <w:rFonts w:ascii="arial" w:eastAsia="arial" w:hAnsi="arial" w:cs="arial"/>
          <w:color w:val="000000"/>
          <w:sz w:val="20"/>
          <w:lang w:val="en-US" w:eastAsia="en-US" w:bidi="ar-SA"/>
        </w:rPr>
        <w:t xml:space="preserve">. On still other occasions, it has underlined the importance of privacy in the common law: </w:t>
      </w:r>
      <w:r>
        <w:rPr>
          <w:rFonts w:ascii="arial" w:eastAsia="arial" w:hAnsi="arial" w:cs="arial"/>
          <w:i/>
          <w:color w:val="000000"/>
          <w:sz w:val="20"/>
          <w:lang w:val="en-US" w:eastAsia="en-US" w:bidi="ar-SA"/>
        </w:rPr>
        <w:t>McInerney v. MacDonald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[1992] 2 S.C.R. 138</w:t>
        </w:r>
      </w:hyperlink>
      <w:r>
        <w:rPr>
          <w:rFonts w:ascii="arial" w:eastAsia="arial" w:hAnsi="arial" w:cs="arial"/>
          <w:color w:val="000000"/>
          <w:sz w:val="20"/>
          <w:lang w:val="en-US" w:eastAsia="en-US" w:bidi="ar-SA"/>
        </w:rPr>
        <w:t xml:space="preserve">, at pp. 148-49;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On no occasion has the relationship between "liberty", "security of the person", and essential human dignity been more carefully canvassed by this Court than in the reasons of Wilson J. in </w:t>
      </w:r>
      <w:r>
        <w:rPr>
          <w:rFonts w:ascii="arial" w:eastAsia="arial" w:hAnsi="arial" w:cs="arial"/>
          <w:i/>
          <w:color w:val="000000"/>
          <w:sz w:val="20"/>
          <w:lang w:val="en-US" w:eastAsia="en-US" w:bidi="ar-SA"/>
        </w:rPr>
        <w:t>R. v. Morgentaler</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[1988] 1 S.C.R. 30</w:t>
        </w:r>
      </w:hyperlink>
      <w:r>
        <w:rPr>
          <w:rFonts w:ascii="arial" w:eastAsia="arial" w:hAnsi="arial" w:cs="arial"/>
          <w:color w:val="000000"/>
          <w:sz w:val="20"/>
          <w:lang w:val="en-US" w:eastAsia="en-US" w:bidi="ar-SA"/>
        </w:rPr>
        <w:t xml:space="preserve">. In her judgment, she notes that the Charter and the right to individual liberty guaranteed therein are tied inextricably to the concept of human dignity. She urges that both "liberty" and "security of the person" are capable of a broad range of meaning and that a purposive interpretation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requires that the right to liberty contained in s. 7 be read to "guarantee[] to every individual a degree of personal autonomy over important decisions intimately affecting their private lives" (p. 171). Concurring on this point with the majority, she notes, as well, that "security of the person" is sufficiently broad to include protection for the psychological integrity of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Equally relevant, for our purposes, is Lamer J.'s recognition in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[1986] 1 S.C.R. 863</w:t>
        </w:r>
      </w:hyperlink>
      <w:r>
        <w:rPr>
          <w:rFonts w:ascii="arial" w:eastAsia="arial" w:hAnsi="arial" w:cs="arial"/>
          <w:color w:val="000000"/>
          <w:sz w:val="20"/>
          <w:lang w:val="en-US" w:eastAsia="en-US" w:bidi="ar-SA"/>
        </w:rPr>
        <w:t>, at p. 920, that the right to security of the person encompasses the right to be protected against psychological trauma. In the context of his discussion of the effects on an individual of unreasonable delay contrary to s. 11</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he noted that such trauma could take the form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stigmatization of the accused, loss of privacy, stress and anxiety resulting from a multitude of factors, including possible disruption of family, social life and work, legal costs, uncertainty as to the outcome and sanction.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word "complainant" were substituted for the word "accused" in the above extract, I think that we would have an excellent description of the psychological traumas potentially faced by sexual assault complainants. These people must contemplate the threat of disclosing to the very person accused of assaulting them in the first place, and quite possibly in open court, records containing intensely private aspects of their lives, possibly containing thoughts and statements which have never even been shared with the closest of friends or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 Respect for individual privacy is an essential component of what it means to be "free". As a corollary, the infringement of this right undeniably impinges upon an individual's "liberty" in our free and democratic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A similarly broad approach to the notion of liberty has been taken in the United States. ... [T]he right to privacy was expressly found to reside in the term "liberty" in the Fourteenth Amendment in the landmark case of </w:t>
      </w:r>
      <w:r>
        <w:rPr>
          <w:rFonts w:ascii="arial" w:eastAsia="arial" w:hAnsi="arial" w:cs="arial"/>
          <w:i/>
          <w:color w:val="000000"/>
          <w:sz w:val="20"/>
          <w:lang w:val="en-US" w:eastAsia="en-US" w:bidi="ar-SA"/>
        </w:rPr>
        <w:t>Roe v. Wade,</w:t>
      </w:r>
      <w:r>
        <w:rPr>
          <w:rFonts w:ascii="arial" w:eastAsia="arial" w:hAnsi="arial" w:cs="arial"/>
          <w:color w:val="000000"/>
          <w:sz w:val="20"/>
          <w:lang w:val="en-US" w:eastAsia="en-US" w:bidi="ar-SA"/>
        </w:rPr>
        <w:t xml:space="preserve"> 410 U.S. 113 (1973). In a similar vein, the right to personal privacy has also received recognition in international documents such as Article 17 of the </w:t>
      </w:r>
      <w:r>
        <w:rPr>
          <w:rFonts w:ascii="arial" w:eastAsia="arial" w:hAnsi="arial" w:cs="arial"/>
          <w:i/>
          <w:color w:val="000000"/>
          <w:sz w:val="20"/>
          <w:lang w:val="en-US" w:eastAsia="en-US" w:bidi="ar-SA"/>
        </w:rPr>
        <w:t>International Covenant on Civil and Political Rights</w:t>
      </w:r>
      <w:r>
        <w:rPr>
          <w:rFonts w:ascii="arial" w:eastAsia="arial" w:hAnsi="arial" w:cs="arial"/>
          <w:color w:val="000000"/>
          <w:sz w:val="20"/>
          <w:lang w:val="en-US" w:eastAsia="en-US" w:bidi="ar-SA"/>
        </w:rPr>
        <w:t xml:space="preserve">, 999 U.N.T.S. 171, Article 12 of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G.A. Res. 217 A (III), U.N. Doc. A/810, at 71 (1948), and Article 8 of the </w:t>
      </w:r>
      <w:r>
        <w:rPr>
          <w:rFonts w:ascii="arial" w:eastAsia="arial" w:hAnsi="arial" w:cs="arial"/>
          <w:i/>
          <w:color w:val="000000"/>
          <w:sz w:val="20"/>
          <w:lang w:val="en-US" w:eastAsia="en-US" w:bidi="ar-SA"/>
        </w:rPr>
        <w:t>European Convention for the Protection of Human Rights and Fundamental Freedoms</w:t>
      </w:r>
      <w:r>
        <w:rPr>
          <w:rFonts w:ascii="arial" w:eastAsia="arial" w:hAnsi="arial" w:cs="arial"/>
          <w:color w:val="000000"/>
          <w:sz w:val="20"/>
          <w:lang w:val="en-US" w:eastAsia="en-US" w:bidi="ar-SA"/>
        </w:rPr>
        <w:t>, 213 U.N.T.S. 221.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Privacy has traditionally also been protected by the common law, through causes of action such as trespass and defamation.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which dealt with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challenge to the common law tort of defamation, Cory J. reiterates the constitutional significance of the right to privacy (at para. 121):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reputation is intimately related to the right to privacy which has been accorded constitutional protection</w:t>
      </w:r>
      <w:r>
        <w:rPr>
          <w:rFonts w:ascii="arial" w:eastAsia="arial" w:hAnsi="arial" w:cs="arial"/>
          <w:color w:val="000000"/>
          <w:sz w:val="20"/>
          <w:lang w:val="en-US" w:eastAsia="en-US" w:bidi="ar-SA"/>
        </w:rPr>
        <w:t xml:space="preserve">. As La Forest J. wrote in </w:t>
      </w:r>
      <w:r>
        <w:rPr>
          <w:rFonts w:ascii="arial" w:eastAsia="arial" w:hAnsi="arial" w:cs="arial"/>
          <w:i/>
          <w:color w:val="000000"/>
          <w:sz w:val="20"/>
          <w:lang w:val="en-US" w:eastAsia="en-US" w:bidi="ar-SA"/>
        </w:rPr>
        <w:t>R. v. Dyment</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[1988] 2 S.C.R. 417</w:t>
        </w:r>
      </w:hyperlink>
      <w:r>
        <w:rPr>
          <w:rFonts w:ascii="arial" w:eastAsia="arial" w:hAnsi="arial" w:cs="arial"/>
          <w:color w:val="000000"/>
          <w:sz w:val="20"/>
          <w:lang w:val="en-US" w:eastAsia="en-US" w:bidi="ar-SA"/>
        </w:rPr>
        <w:t xml:space="preserve">, at p. 427, </w:t>
      </w:r>
      <w:r>
        <w:rPr>
          <w:rFonts w:ascii="arial" w:eastAsia="arial" w:hAnsi="arial" w:cs="arial"/>
          <w:color w:val="000000"/>
          <w:sz w:val="20"/>
          <w:u w:val="single"/>
          <w:lang w:val="en-US" w:eastAsia="en-US" w:bidi="ar-SA"/>
        </w:rPr>
        <w:t>privacy, including informational privacy, is "(g)rounded in man's physical and moral autonomy" and "is essential for the well-being of the individual"</w:t>
      </w:r>
      <w:r>
        <w:rPr>
          <w:rFonts w:ascii="arial" w:eastAsia="arial" w:hAnsi="arial" w:cs="arial"/>
          <w:color w:val="000000"/>
          <w:sz w:val="20"/>
          <w:lang w:val="en-US" w:eastAsia="en-US" w:bidi="ar-SA"/>
        </w:rPr>
        <w:t>. The publication of defamatory comments constitutes an invasion of the individual's personal privacy and is an affront to that person's dignity. The protection of a person's reputation is indeed worthy of protection in our democratic society and must be carefully balanced against the equally important right of freedom of expression.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[117] It is apparent, however, that privacy can never be absolute. It must be balanced against legitimate societal needs. This Court has recognized that the essence of such a balancing process lies in assessing </w:t>
      </w:r>
      <w:r>
        <w:rPr>
          <w:rFonts w:ascii="arial" w:eastAsia="arial" w:hAnsi="arial" w:cs="arial"/>
          <w:color w:val="000000"/>
          <w:sz w:val="20"/>
          <w:u w:val="single"/>
          <w:lang w:val="en-US" w:eastAsia="en-US" w:bidi="ar-SA"/>
        </w:rPr>
        <w:t>reasonable expectation of privacy</w:t>
      </w:r>
      <w:r>
        <w:rPr>
          <w:rFonts w:ascii="arial" w:eastAsia="arial" w:hAnsi="arial" w:cs="arial"/>
          <w:color w:val="000000"/>
          <w:sz w:val="20"/>
          <w:lang w:val="en-US" w:eastAsia="en-US" w:bidi="ar-SA"/>
        </w:rPr>
        <w:t xml:space="preserve">, and balancing that expectation against the necessity of interference from the state: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159-60. Evidently, the greater the reasonable expectation of privacy and the more significant the deleterious effects flowing from its breach, the more compelling must be the state objective, and the salutary effects of that objective, in order to justify interference with this right. See </w:t>
      </w:r>
      <w:r>
        <w:rPr>
          <w:rFonts w:ascii="arial" w:eastAsia="arial" w:hAnsi="arial" w:cs="arial"/>
          <w:i/>
          <w:color w:val="000000"/>
          <w:sz w:val="20"/>
          <w:lang w:val="en-US" w:eastAsia="en-US" w:bidi="ar-SA"/>
        </w:rPr>
        <w:t>Dagenais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[119] The essence of privacy, however, is that once invaded, it can seldom be regained. For this reason, it is all the more important for reasonable expectations of privacy to be protected at the point of disclosure. As La Forest J. observed in </w:t>
      </w:r>
      <w:r>
        <w:rPr>
          <w:rFonts w:ascii="arial" w:eastAsia="arial" w:hAnsi="arial" w:cs="arial"/>
          <w:i/>
          <w:color w:val="000000"/>
          <w:sz w:val="20"/>
          <w:lang w:val="en-US" w:eastAsia="en-US" w:bidi="ar-SA"/>
        </w:rPr>
        <w:t>Dyment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430: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privacy of the individual is to be protected, we cannot afford to wait to vindicate it only after it has been violated. This is inherent in the notion of being </w:t>
      </w:r>
      <w:r>
        <w:rPr>
          <w:rFonts w:ascii="arial" w:eastAsia="arial" w:hAnsi="arial" w:cs="arial"/>
          <w:color w:val="000000"/>
          <w:sz w:val="20"/>
          <w:u w:val="single"/>
          <w:lang w:val="en-US" w:eastAsia="en-US" w:bidi="ar-SA"/>
        </w:rPr>
        <w:t>secure</w:t>
      </w:r>
      <w:r>
        <w:rPr>
          <w:rFonts w:ascii="arial" w:eastAsia="arial" w:hAnsi="arial" w:cs="arial"/>
          <w:color w:val="000000"/>
          <w:sz w:val="20"/>
          <w:lang w:val="en-US" w:eastAsia="en-US" w:bidi="ar-SA"/>
        </w:rPr>
        <w:t xml:space="preserve"> against unreasonable searches and seizures. </w:t>
      </w:r>
      <w:r>
        <w:rPr>
          <w:rFonts w:ascii="arial" w:eastAsia="arial" w:hAnsi="arial" w:cs="arial"/>
          <w:color w:val="000000"/>
          <w:sz w:val="20"/>
          <w:u w:val="single"/>
          <w:lang w:val="en-US" w:eastAsia="en-US" w:bidi="ar-SA"/>
        </w:rPr>
        <w:t>Invasions of privacy must be prevented, and where privacy is outweighed by other societal claims, there must be clear rules setting forth the conditions in which it can be violated.</w:t>
      </w:r>
      <w:r>
        <w:rPr>
          <w:rFonts w:ascii="arial" w:eastAsia="arial" w:hAnsi="arial" w:cs="arial"/>
          <w:color w:val="000000"/>
          <w:sz w:val="20"/>
          <w:lang w:val="en-US" w:eastAsia="en-US" w:bidi="ar-SA"/>
        </w:rPr>
        <w:t xml:space="preserve"> [Emphasis in last sentence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same way that our constitution generally requires that a search be premised upon a pre-authorization which is of a nature and manner that is proportionate to the reasonable expectation of privacy at issue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Thomson Newspapers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[1990] 1 S.C.R. 425</w:t>
        </w:r>
      </w:hyperlink>
      <w:r>
        <w:rPr>
          <w:rFonts w:ascii="arial" w:eastAsia="arial" w:hAnsi="arial" w:cs="arial"/>
          <w:color w:val="000000"/>
          <w:sz w:val="20"/>
          <w:lang w:val="en-US" w:eastAsia="en-US" w:bidi="ar-SA"/>
        </w:rPr>
        <w:t xml:space="preserve">),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requires a reasonable system of "pre-authorization" to justify court-sanctioned intrusions into the private records of witnesses in legal proceedings. Although it may appear trite to say so, I underline that when a private document or record is revealed and the reasonable expectation of privacy therein is thereby displaced, the invasion is not with respect to the particular document or record in question. Rather, it is an invasion of the dignity and self-worth of the individual, who enjoys the right to privacy as an essential aspect of his or her liberty in a free and democratic society.</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Freedom of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importance of freedom of expression was described by Chief Justice Lamer in the leading case of </w:t>
      </w:r>
      <w:r>
        <w:rPr>
          <w:rFonts w:ascii="arial" w:eastAsia="arial" w:hAnsi="arial" w:cs="arial"/>
          <w:i/>
          <w:color w:val="000000"/>
          <w:sz w:val="20"/>
          <w:lang w:val="en-US" w:eastAsia="en-US" w:bidi="ar-SA"/>
        </w:rPr>
        <w:t>Dagenais v. Canadian Broadcasting Corp.</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 xml:space="preserve"> at 876, </w:t>
      </w:r>
      <w:hyperlink r:id="rId618" w:history="1">
        <w:r>
          <w:rPr>
            <w:rFonts w:ascii="arial" w:eastAsia="arial" w:hAnsi="arial" w:cs="arial"/>
            <w:i/>
            <w:color w:val="0077CC"/>
            <w:sz w:val="20"/>
            <w:u w:val="single"/>
            <w:shd w:val="clear" w:color="auto" w:fill="FFFFFF"/>
            <w:lang w:val="en-US" w:eastAsia="en-US" w:bidi="ar-SA"/>
          </w:rPr>
          <w:t>120 D.L.R. (4th) 12</w:t>
        </w:r>
      </w:hyperlink>
      <w:r>
        <w:rPr>
          <w:rFonts w:ascii="arial" w:eastAsia="arial" w:hAnsi="arial" w:cs="arial"/>
          <w:color w:val="000000"/>
          <w:sz w:val="20"/>
          <w:lang w:val="en-US" w:eastAsia="en-US" w:bidi="ar-SA"/>
        </w:rPr>
        <w:t>, as a paramount value in society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the right of an accused to a fair trial, a fundamental principle of our justice system which is now expressly protected by s. 11(</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freedom of expression, including freedom of the press, is now recognized as a paramount value in Canadian society, as demonstrated by its enshrinement as a constitutionally protected right in s. 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Section 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guarantees the rights of all Canadians to "freedom of thought, belief, opinion and expression, including freedom of the press and other media of communication". The importance of the s. 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freedoms has been recognized by this Court on numerous occasions (see, for example, </w:t>
      </w:r>
      <w:r>
        <w:rPr>
          <w:rFonts w:ascii="arial" w:eastAsia="arial" w:hAnsi="arial" w:cs="arial"/>
          <w:i/>
          <w:color w:val="000000"/>
          <w:sz w:val="20"/>
          <w:lang w:val="en-US" w:eastAsia="en-US" w:bidi="ar-SA"/>
        </w:rPr>
        <w:t>RWDSU v. Dolphin Delivery Ltd.</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[1986] 2 S.C.R. 573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Ford v. Quebec (Attorney General),</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[1988] 2 S.C.R. 712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Irwin Toy Ltd. v. Quebec (Attorney General)</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Rocket v. Royal College of Dental Surgeons of Ontario</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[1990] 2 S.C.R.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Keegstra</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[1990] 3 S.C.R. 697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Zundel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731</w:t>
      </w: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Limits to freedom of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Neither the right to privacy nor the freedom of speech is absolute. There are numerous examples of reasonable limits to rights and freedoms. One example relates to freedom of speech. In </w:t>
      </w:r>
      <w:r>
        <w:rPr>
          <w:rFonts w:ascii="arial" w:eastAsia="arial" w:hAnsi="arial" w:cs="arial"/>
          <w:i/>
          <w:color w:val="000000"/>
          <w:sz w:val="20"/>
          <w:lang w:val="en-US" w:eastAsia="en-US" w:bidi="ar-SA"/>
        </w:rPr>
        <w:t>Fraser v. Public Services Staff Relations Board</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[1985] 2 S.C.R. 455</w:t>
        </w:r>
      </w:hyperlink>
      <w:r>
        <w:rPr>
          <w:rFonts w:ascii="arial" w:eastAsia="arial" w:hAnsi="arial" w:cs="arial"/>
          <w:color w:val="000000"/>
          <w:sz w:val="20"/>
          <w:lang w:val="en-US" w:eastAsia="en-US" w:bidi="ar-SA"/>
        </w:rPr>
        <w:t xml:space="preserve"> at 462-463, </w:t>
      </w:r>
      <w:hyperlink r:id="rId624" w:history="1">
        <w:r>
          <w:rPr>
            <w:rFonts w:ascii="arial" w:eastAsia="arial" w:hAnsi="arial" w:cs="arial"/>
            <w:i/>
            <w:color w:val="0077CC"/>
            <w:sz w:val="20"/>
            <w:u w:val="single"/>
            <w:shd w:val="clear" w:color="auto" w:fill="FFFFFF"/>
            <w:lang w:val="en-US" w:eastAsia="en-US" w:bidi="ar-SA"/>
          </w:rPr>
          <w:t>23 D.L.R. (4th) 122</w:t>
        </w:r>
      </w:hyperlink>
      <w:r>
        <w:rPr>
          <w:rFonts w:ascii="arial" w:eastAsia="arial" w:hAnsi="arial" w:cs="arial"/>
          <w:color w:val="000000"/>
          <w:sz w:val="20"/>
          <w:lang w:val="en-US" w:eastAsia="en-US" w:bidi="ar-SA"/>
        </w:rPr>
        <w:t>, Chief Justice Dickson said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"[F]reedom of speech" is a deep-rooted value in our democratic system of government. It is a principle of our common law constitution, inherited from the United Kingdom by virtue of the preamble to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it is not an absolute value. Probably no values are absolute. All important values must be qualified, and balanced against, other important, and often competing, values. This process of definition, qualification and balancing is as much required with respect to the value of "freedom of speech" as it is for other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Dickson C.J.C. went on to say at 467 - 468: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equally obvious that free speech or expression is not an absolute, unqualified value. Other values must be weighed with it. Sometimes these other values supplement, and build on, the value of speech. But in other situations there is a collision. When that happens the value of speech may be cut back if the competing value is a powerful one. ... We also have laws imposing restrictions on the press in the interests of, for example, ensuring a fair trial or protecting the privacy of minors or victims of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predecessor provision to s. 486.4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was held to infringe freedom of expression. However, in </w:t>
      </w:r>
      <w:r>
        <w:rPr>
          <w:rFonts w:ascii="arial" w:eastAsia="arial" w:hAnsi="arial" w:cs="arial"/>
          <w:i/>
          <w:color w:val="000000"/>
          <w:sz w:val="20"/>
          <w:lang w:val="en-US" w:eastAsia="en-US" w:bidi="ar-SA"/>
        </w:rPr>
        <w:t>Canadian Newspapers Co. v. Canada (Attorney General)</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[1988] 2 S.C.R. 122</w:t>
        </w:r>
      </w:hyperlink>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52 D.L.R. (4th) 690</w:t>
        </w:r>
      </w:hyperlink>
      <w:r>
        <w:rPr>
          <w:rFonts w:ascii="arial" w:eastAsia="arial" w:hAnsi="arial" w:cs="arial"/>
          <w:color w:val="000000"/>
          <w:sz w:val="20"/>
          <w:lang w:val="en-US" w:eastAsia="en-US" w:bidi="ar-SA"/>
        </w:rPr>
        <w:t>, the Supreme Court of Canada held that it constituted a reasonable limit on that freedom, and was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Supreme Court of Canada held that the overall objective of the mandatory publication ban (now s. 486.4) is to favour the suppression of crime and to improve the administration of justice by encouraging victims of sexual offences to report the crimes, and was of sufficient importance to warrant overriding the constitutional freedom. The court held that the provision had a rational connection to the objective it was designed to serve, and imposes only minimal limits on the media's rights. The court wrote that a discretionary provision, under which a judge would retain the power to decide whether to grant or refuse the ban on publication, would be ineffective in attaining Parliament's pressing goal, because it would deprive complainants of the assurance that, on request, their identity would not be disclosed, which was an important factor in the decision of complainants to report the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Canadian Newspapers argued in that case that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provision has a potential chilling effect on the media, because in any given case it is difficult to ascertain what evidence could disclose the identity of the complainant. Justice Lamer (as he then was) wrote at 133 (para. 21)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sufficient to say that media people are certainly competent enough to determine which information is subject to the ban; if not, the judge in his or her order can clarify the matters which cannot be published.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Discretionary publication ban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Supreme Court of Canada has addressed publication bans in cases when the competing interests were different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Dagenais,</w:t>
      </w:r>
      <w:r>
        <w:rPr>
          <w:rFonts w:ascii="arial" w:eastAsia="arial" w:hAnsi="arial" w:cs="arial"/>
          <w:color w:val="000000"/>
          <w:sz w:val="20"/>
          <w:lang w:val="en-US" w:eastAsia="en-US" w:bidi="ar-SA"/>
        </w:rPr>
        <w:t xml:space="preserve"> the Supreme Court of Canada considered a case in which the competing interests were freedom of expression and the right to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that case, the lower court had issued a broad publication ban. Justice Gotlib of the Ontario Court of Justice (Gen. Div.) granted an interlocutory injunction prohibiting the Canadian Broadcasting Corporation ("CBC") from broadcasting a television mini-series anywhere in Canada until the completion of the trials of four individuals. On appeal, the Ontario Court of Appeal, </w:t>
      </w:r>
      <w:hyperlink r:id="rId626" w:history="1">
        <w:r>
          <w:rPr>
            <w:rFonts w:ascii="arial" w:eastAsia="arial" w:hAnsi="arial" w:cs="arial"/>
            <w:i/>
            <w:color w:val="0077CC"/>
            <w:sz w:val="20"/>
            <w:u w:val="single"/>
            <w:shd w:val="clear" w:color="auto" w:fill="FFFFFF"/>
            <w:lang w:val="en-US" w:eastAsia="en-US" w:bidi="ar-SA"/>
          </w:rPr>
          <w:t>[1992] O.J. No. 2703</w:t>
        </w:r>
      </w:hyperlink>
      <w:r>
        <w:rPr>
          <w:rFonts w:ascii="arial" w:eastAsia="arial" w:hAnsi="arial" w:cs="arial"/>
          <w:color w:val="000000"/>
          <w:sz w:val="20"/>
          <w:lang w:val="en-US" w:eastAsia="en-US" w:bidi="ar-SA"/>
        </w:rPr>
        <w:t>, had replaced that injunction with a more limited injunction, restraining the CBC from broadcasting the mini-series anywhere in Ontario or on an English language station in Montreal until the completion of the criminal trials of four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mini-series was a fictional account of sexual and physical abuse of children in a Catholic institution. The four individuals were former or present members of a Catholic religious order charged with physical and sexual abuse that allegedly took place in Catholic training schools where the individuals were teachers and the victims were young boys in their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Supreme Court of Canada set aside the bans on publication of the mini-series.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878 (para. 77), Chief Justice Lamer suggested a rule for the issuance of publication bans relating to trial fairness. 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publication ban should only be ordered when:</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a ban is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in order to prevent a real and substantial risk to the fairness of the trial, because reasonably available alternative measure will not prevent the risk; and</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publication ban outweigh the deleterious effects to the free expression of those affected by the ban.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890-91 (para. 102), Chief Justice Lamer suggested the following general guidelines for practice with respect to the application of the common law rule for publication bans: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motion for the ban, the judge should give the media standing (if sought) according to the rules of criminal procedure and the established common law principles with regard to standing.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should, where possible, review the publication at issue.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to justify the limitation of a right (in the case of a publication ban, the party seeking to limit freedom of expression) bears the burden of justifying the limitation. The party claiming under the common law rule that a publication ban is necessary to avoid a real and serious risk to the fairness of the trial is seeking to use the power of the state to achieve this objective. A party who uses the power of the state against others must bear the burden of proving that the use of state power is justified in a free and democratic society. Therefore, the party seeking the ban bears the burden of proving that the proposed ban is necessary, in that it relates to an important objective that cannot be achieved by a reasonably available and effective alternative measure, that the proposed ban is as limited (in scope, time, content, etc.) as possible, and there is a proportionality between the salutary and deleterious effects of the ban. At the same time, the fact that the party seeking the ban may be attempting to safeguard a constitutional right must be borne in mind when determining whether the proportionality test has been satisfied.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must consider all other options besides the ban and must find that there is no reasonable and effective alternative available.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must consider all possible ways to limit the ban and must limit the ban as much as possible;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must weigh the importance of the objectives of the particular ban and its probable effects against the importance of the particular expression that will be limited to ensure that the positive and negative effects of the ban are 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Mentuck</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2001 SCC 76</w:t>
        </w:r>
      </w:hyperlink>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[2001] 3 S.C.R. 442</w:t>
        </w:r>
      </w:hyperlink>
      <w:r>
        <w:rPr>
          <w:rFonts w:ascii="arial" w:eastAsia="arial" w:hAnsi="arial" w:cs="arial"/>
          <w:color w:val="000000"/>
          <w:sz w:val="20"/>
          <w:lang w:val="en-US" w:eastAsia="en-US" w:bidi="ar-SA"/>
        </w:rPr>
        <w:t>, the Supreme Court of Canada considered a publication ban in which the competing interests were freedom of expression and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the Crown sought publication bans as to operational methods of undercover operators, and as to identity of undercover officers. The Crown sought the bans on the basis that they were necessary to maintain the effectiveness of investigations in other cases not yet before the court. The Crown did not argue that the bans related to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Justice Iacobucci, writing for the court, set out a reconfiguration of the </w:t>
      </w:r>
      <w:r>
        <w:rPr>
          <w:rFonts w:ascii="arial" w:eastAsia="arial" w:hAnsi="arial" w:cs="arial"/>
          <w:i/>
          <w:color w:val="000000"/>
          <w:sz w:val="20"/>
          <w:lang w:val="en-US" w:eastAsia="en-US" w:bidi="ar-SA"/>
        </w:rPr>
        <w:t>Dagenais</w:t>
      </w:r>
      <w:r>
        <w:rPr>
          <w:rFonts w:ascii="arial" w:eastAsia="arial" w:hAnsi="arial" w:cs="arial"/>
          <w:color w:val="000000"/>
          <w:sz w:val="20"/>
          <w:lang w:val="en-US" w:eastAsia="en-US" w:bidi="ar-SA"/>
        </w:rPr>
        <w:t xml:space="preserve"> test to account for the different purpose for which the order was sought and the different effects it would have. He wrote as follows in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publication ban should only be ordered when</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order is necessary in order to prevent a serious risk to the proper administration of justice because reasonably alternative measures will not prevent the risk; and</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publication ban outweigh the deleterious effects on the rights and interests of the parties and the public, including the effects on the right to free expression, the right of the accused to a fair and public trial, and the efficacy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Dagenais</w:t>
      </w:r>
      <w:r>
        <w:rPr>
          <w:rFonts w:ascii="arial" w:eastAsia="arial" w:hAnsi="arial" w:cs="arial"/>
          <w:color w:val="000000"/>
          <w:sz w:val="20"/>
          <w:lang w:val="en-US" w:eastAsia="en-US" w:bidi="ar-SA"/>
        </w:rPr>
        <w:t xml:space="preserve"> test, as modified by </w:t>
      </w:r>
      <w:r>
        <w:rPr>
          <w:rFonts w:ascii="arial" w:eastAsia="arial" w:hAnsi="arial" w:cs="arial"/>
          <w:i/>
          <w:color w:val="000000"/>
          <w:sz w:val="20"/>
          <w:lang w:val="en-US" w:eastAsia="en-US" w:bidi="ar-SA"/>
        </w:rPr>
        <w:t>Mentuck</w:t>
      </w:r>
      <w:r>
        <w:rPr>
          <w:rFonts w:ascii="arial" w:eastAsia="arial" w:hAnsi="arial" w:cs="arial"/>
          <w:color w:val="000000"/>
          <w:sz w:val="20"/>
          <w:lang w:val="en-US" w:eastAsia="en-US" w:bidi="ar-SA"/>
        </w:rPr>
        <w:t>, can be further modified to reflect the competing interests in the case at bar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discretionary publication ban to protect identification of a person or entity should only be ordered when</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order is necessary to prevent a serious invasion of privacy because reasonably alternative measures will not prevent the risk;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publication ban outweigh the deleterious effects on the rights and interests of the parties and the public, including the effects on the right to free expression, the right of the accused to a fair and public trial, and the efficacy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Loveridge v. H.M.T.Q.</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2005 BCSC 1068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sub nom. L.(R.B.) v. British Columbia</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258 D.L.R. (4th) 131</w:t>
        </w:r>
      </w:hyperlink>
      <w:r>
        <w:rPr>
          <w:rFonts w:ascii="arial" w:eastAsia="arial" w:hAnsi="arial" w:cs="arial"/>
          <w:color w:val="000000"/>
          <w:sz w:val="20"/>
          <w:lang w:val="en-US" w:eastAsia="en-US" w:bidi="ar-SA"/>
        </w:rPr>
        <w:t>, the late Mr. Justice Fraser concluded that the publication ban in a criminal proceeding for sexual assault did not extend to civil proceedings arising from the same conduct. He refused a publication ban for the civil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case at bar, the fact of the former teacher's criminal conviction is relevant to whether the former teacher is liable to the plaintiff. I understand that the plaintiff will argue that the criminal conviction establishes liability, while the school board will argue that consent for the purpose of liability in tort is different from whether such conduct constitutes a criminal offence. As a consequence, it will be necessary in reasons for judgment to refer to the fact of the criminal conviction. With respect to Fraser J., in my opinion, the effect is that referring to the plaintiff and that conviction would violate the existing s. 486.4(2)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Counsel did not refer me to </w:t>
      </w:r>
      <w:r>
        <w:rPr>
          <w:rFonts w:ascii="arial" w:eastAsia="arial" w:hAnsi="arial" w:cs="arial"/>
          <w:i/>
          <w:color w:val="000000"/>
          <w:sz w:val="20"/>
          <w:lang w:val="en-US" w:eastAsia="en-US" w:bidi="ar-SA"/>
        </w:rPr>
        <w:t>Loveridge</w:t>
      </w:r>
      <w:r>
        <w:rPr>
          <w:rFonts w:ascii="arial" w:eastAsia="arial" w:hAnsi="arial" w:cs="arial"/>
          <w:color w:val="000000"/>
          <w:sz w:val="20"/>
          <w:lang w:val="en-US" w:eastAsia="en-US" w:bidi="ar-SA"/>
        </w:rPr>
        <w:t xml:space="preserve"> on September 27, 2010, when the publication ban was made regarding information which would tend to identify the plaintiff. However, despite </w:t>
      </w:r>
      <w:r>
        <w:rPr>
          <w:rFonts w:ascii="arial" w:eastAsia="arial" w:hAnsi="arial" w:cs="arial"/>
          <w:i/>
          <w:color w:val="000000"/>
          <w:sz w:val="20"/>
          <w:lang w:val="en-US" w:eastAsia="en-US" w:bidi="ar-SA"/>
        </w:rPr>
        <w:t>Loveridge</w:t>
      </w:r>
      <w:r>
        <w:rPr>
          <w:rFonts w:ascii="arial" w:eastAsia="arial" w:hAnsi="arial" w:cs="arial"/>
          <w:color w:val="000000"/>
          <w:sz w:val="20"/>
          <w:lang w:val="en-US" w:eastAsia="en-US" w:bidi="ar-SA"/>
        </w:rPr>
        <w:t>, in my opinion, it was necessary to make a publication ban in these civil proceedings to ensure compliance with the existing s. 486.4(2)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B.G. et al v. H.M.T.Q. in Right of B.C.</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2004 BCCA 345</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sub nom. G.(B.) v. British Columbia</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242 D.L.R. (4th) 665</w:t>
        </w:r>
      </w:hyperlink>
      <w:r>
        <w:rPr>
          <w:rFonts w:ascii="arial" w:eastAsia="arial" w:hAnsi="arial" w:cs="arial"/>
          <w:color w:val="000000"/>
          <w:sz w:val="20"/>
          <w:lang w:val="en-US" w:eastAsia="en-US" w:bidi="ar-SA"/>
        </w:rPr>
        <w:t>, the Court of Appeal reinstated a publication ban which a trial judge terminated on delivering reasons for judgment dismissing the plaintiffs' claims. The plaintiffs had sued for damages for alleged sexual assault. The Court of Appeal held that the trial judge failed to exercise his discretion judicially when he terminated the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Court of Appeal described relevant factors as including (a) the effect ending the ban would have on the plaintiffs, their witnesses and other former inmates of the institution; (b) the chilling effect the prospect of termination of the publication ban might have on those pursuing similar civil claims for historic sexual abuse and hence on the administration of justice; and (c) the fact that replacing names with initials relates only to a "sliver" of information and minimally impairs the openness of judicial proceedings. On consideration of those factors and the evidence, the Court of Appeal held that a termination of the ban could not properly have been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Loveridge</w:t>
      </w:r>
      <w:r>
        <w:rPr>
          <w:rFonts w:ascii="arial" w:eastAsia="arial" w:hAnsi="arial" w:cs="arial"/>
          <w:color w:val="000000"/>
          <w:sz w:val="20"/>
          <w:lang w:val="en-US" w:eastAsia="en-US" w:bidi="ar-SA"/>
        </w:rPr>
        <w:t xml:space="preserve">, Fraser J. referred to the Court of Appeal's description of the relevant factors in </w:t>
      </w:r>
      <w:r>
        <w:rPr>
          <w:rFonts w:ascii="arial" w:eastAsia="arial" w:hAnsi="arial" w:cs="arial"/>
          <w:i/>
          <w:color w:val="000000"/>
          <w:sz w:val="20"/>
          <w:lang w:val="en-US" w:eastAsia="en-US" w:bidi="ar-SA"/>
        </w:rPr>
        <w:t>B.G.</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(see paras. 64 and 69 of </w:t>
      </w:r>
      <w:r>
        <w:rPr>
          <w:rFonts w:ascii="arial" w:eastAsia="arial" w:hAnsi="arial" w:cs="arial"/>
          <w:i/>
          <w:color w:val="000000"/>
          <w:sz w:val="20"/>
          <w:lang w:val="en-US" w:eastAsia="en-US" w:bidi="ar-SA"/>
        </w:rPr>
        <w:t>Loveridge</w:t>
      </w:r>
      <w:r>
        <w:rPr>
          <w:rFonts w:ascii="arial" w:eastAsia="arial" w:hAnsi="arial" w:cs="arial"/>
          <w:color w:val="000000"/>
          <w:sz w:val="20"/>
          <w:lang w:val="en-US" w:eastAsia="en-US" w:bidi="ar-SA"/>
        </w:rPr>
        <w:t xml:space="preserve">). With respect to Fraser J., in my opinion, the need to consider those factors was essential to the Court of Appeal's decision to reinstate the publication ban in </w:t>
      </w:r>
      <w:r>
        <w:rPr>
          <w:rFonts w:ascii="arial" w:eastAsia="arial" w:hAnsi="arial" w:cs="arial"/>
          <w:i/>
          <w:color w:val="000000"/>
          <w:sz w:val="20"/>
          <w:lang w:val="en-US" w:eastAsia="en-US" w:bidi="ar-SA"/>
        </w:rPr>
        <w:t>B.G.</w:t>
      </w:r>
      <w:r>
        <w:rPr>
          <w:rFonts w:ascii="arial" w:eastAsia="arial" w:hAnsi="arial" w:cs="arial"/>
          <w:color w:val="000000"/>
          <w:sz w:val="20"/>
          <w:lang w:val="en-US" w:eastAsia="en-US" w:bidi="ar-SA"/>
        </w:rPr>
        <w:t>, and is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C.W. v. L.G.M.,</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2004 BCSC 1499</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sub nom. W.(C.) v. M.(L.G.)</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36 B.C.L.R. (4th) 181</w:t>
        </w:r>
      </w:hyperlink>
      <w:r>
        <w:rPr>
          <w:rFonts w:ascii="arial" w:eastAsia="arial" w:hAnsi="arial" w:cs="arial"/>
          <w:color w:val="000000"/>
          <w:sz w:val="20"/>
          <w:lang w:val="en-US" w:eastAsia="en-US" w:bidi="ar-SA"/>
        </w:rPr>
        <w:t>, another case not referred to me by counsel, the plaintiff in a civil sexual assault case applied for an order that she could identify herself in all court documents by initials. Mr. Justice Joyce adjourned the plaintiff's application to permit the plaintiff to provide evidence that lack of anonymity would cause her additional serious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Joyce J. wrote as follows in paras. 25 and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think the following principles can be distilled from the cases I have referred to:</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that the court's process must be open to public scrutiny must give way when it is necessary to ensure that justice is done.</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some social value or public interest of superordinate importance in order to curtail public accessibility.</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person seeking to restrict public accessibility to demonstrate that the order is necessary in order to achieve justice. The test is not one of convenience but of necessity.</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mere private interest of a litigant to avoid embarrassment is not sufficient to displace the public interest in an open court process.</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categories of circumstances that may be viewed as constituting a social value of superordinate importance should not be considered closed. They include:</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disclosure of the litigant's name or identity would effectively destroy the right of confidentially, which is the very relief sought in the proceeding;</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persons entitled to justice would be reasonably deterred from seeking it in the court if their names were disclosed;</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administration of justice would be rendered impracticable if the public were not excluded;</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anonymity is necessary in order to ensure a fair trial;</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anonymity is necessary to protect innocent persons and little public benefit would be served by disclosure of the names of the innocent;</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disclosure of the identity of the plaintiff would cause that person to suffer damages in addition to those already suffered as a result of the wrong for which the plaintiff is seeking compensation.</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there must be evidence related to the particular applicant to support the alleged necessity for anonymity rather than mere statements of generality.</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it is my view that the principle of the open court should be displaced only to the extent that it is necessary to preserve the superordinate social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am of the opinion that there is a superordinate social value or public interest in protecting victims of sexual abuse from further injury. Victims of sexual abuse should not be deterred from seeking compensation in the court because the process will cause further harm. I am of the view that plaintiffs who claim damages for sexual abuse are entitled to orders protecting their anonymity during the pre-trial process if they establish that: (a) public exposure in the very process by which they seek compensation from the perpetrator of the abuse will cause additional harm; (b) permitting them to prosecute their claims without disclosure of their identity at every stage of the proceeding will not impair the defendants' ability properly to defend themselves; and (c) anonymity in the pre-trial process will not impair the court's ability to achieve just results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C.W.</w:t>
      </w:r>
      <w:r>
        <w:rPr>
          <w:rFonts w:ascii="arial" w:eastAsia="arial" w:hAnsi="arial" w:cs="arial"/>
          <w:color w:val="000000"/>
          <w:sz w:val="20"/>
          <w:lang w:val="en-US" w:eastAsia="en-US" w:bidi="ar-SA"/>
        </w:rPr>
        <w:t xml:space="preserve">, Joyce J. did not refer to either </w:t>
      </w:r>
      <w:r>
        <w:rPr>
          <w:rFonts w:ascii="arial" w:eastAsia="arial" w:hAnsi="arial" w:cs="arial"/>
          <w:i/>
          <w:color w:val="000000"/>
          <w:sz w:val="20"/>
          <w:lang w:val="en-US" w:eastAsia="en-US" w:bidi="ar-SA"/>
        </w:rPr>
        <w:t>B.G.</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Canadian Newspapers</w:t>
      </w:r>
      <w:r>
        <w:rPr>
          <w:rFonts w:ascii="arial" w:eastAsia="arial" w:hAnsi="arial" w:cs="arial"/>
          <w:color w:val="000000"/>
          <w:sz w:val="20"/>
          <w:lang w:val="en-US" w:eastAsia="en-US" w:bidi="ar-SA"/>
        </w:rPr>
        <w:t>, which might have affected his consideration of what evidence might be required for a publication ban in a civil sexual assault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C.W. had sued for damages for sexual assault allegedly committed between 1981 and 1991. The reasons for judgment state that the defendant pleaded guilty to sexual assault for part of that period, but do not make any reference to a s. 486.4(2) publication ban, and whether a publication ban was required to ensure compliance with an existing ban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Courts have ordered publication bans even when some relevant information is already publicly available. For example, in </w:t>
      </w:r>
      <w:r>
        <w:rPr>
          <w:rFonts w:ascii="arial" w:eastAsia="arial" w:hAnsi="arial" w:cs="arial"/>
          <w:i/>
          <w:color w:val="000000"/>
          <w:sz w:val="20"/>
          <w:lang w:val="en-US" w:eastAsia="en-US" w:bidi="ar-SA"/>
        </w:rPr>
        <w:t>R. v. Pickton</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2010 BCSC 1198</w:t>
        </w:r>
      </w:hyperlink>
      <w:r>
        <w:rPr>
          <w:rFonts w:ascii="arial" w:eastAsia="arial" w:hAnsi="arial" w:cs="arial"/>
          <w:color w:val="000000"/>
          <w:sz w:val="20"/>
          <w:lang w:val="en-US" w:eastAsia="en-US" w:bidi="ar-SA"/>
        </w:rPr>
        <w:t>, Mr. Justice Williams ordered a publication ban over the name of an individual who gave evidence at the preliminary inquiry and whose name was referred to in other evidence at trial. The ban was ordered, even though it was possible to find old media reports that would reveal her name, and the ban would not provide perfect anonymity. Williams J. wrote that the publication ban protects the proper administration of justice because it permits the applicant's story to be told in a way that illustrates that the justice system respects, where possible, the privacy interests of victims and witnesses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Phillips v. Vancouver Sun</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2004 BCCA 14</w:t>
        </w:r>
      </w:hyperlink>
      <w:r>
        <w:rPr>
          <w:rFonts w:ascii="arial" w:eastAsia="arial" w:hAnsi="arial" w:cs="arial"/>
          <w:color w:val="000000"/>
          <w:sz w:val="20"/>
          <w:lang w:val="en-US" w:eastAsia="en-US" w:bidi="ar-SA"/>
        </w:rPr>
        <w:t xml:space="preserve"> at para. 88, </w:t>
      </w:r>
      <w:hyperlink r:id="rId633" w:history="1">
        <w:r>
          <w:rPr>
            <w:rFonts w:ascii="arial" w:eastAsia="arial" w:hAnsi="arial" w:cs="arial"/>
            <w:i/>
            <w:color w:val="0077CC"/>
            <w:sz w:val="20"/>
            <w:u w:val="single"/>
            <w:shd w:val="clear" w:color="auto" w:fill="FFFFFF"/>
            <w:lang w:val="en-US" w:eastAsia="en-US" w:bidi="ar-SA"/>
          </w:rPr>
          <w:t>238 D.L.R. (4th) 167</w:t>
        </w:r>
      </w:hyperlink>
      <w:r>
        <w:rPr>
          <w:rFonts w:ascii="arial" w:eastAsia="arial" w:hAnsi="arial" w:cs="arial"/>
          <w:color w:val="000000"/>
          <w:sz w:val="20"/>
          <w:lang w:val="en-US" w:eastAsia="en-US" w:bidi="ar-SA"/>
        </w:rPr>
        <w:t xml:space="preserve">, the court acknowledged that an individual could take the position that "enough is enough" and that she has an interest in being left alone and not being subject to further public scrutiny. See also </w:t>
      </w:r>
      <w:r>
        <w:rPr>
          <w:rFonts w:ascii="arial" w:eastAsia="arial" w:hAnsi="arial" w:cs="arial"/>
          <w:i/>
          <w:color w:val="000000"/>
          <w:sz w:val="20"/>
          <w:lang w:val="en-US" w:eastAsia="en-US" w:bidi="ar-SA"/>
        </w:rPr>
        <w:t>R. v. Halkett</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2007 SKPC 136</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sub nom. R. v. A.D.H.</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306 Sask.R. 70</w:t>
        </w:r>
      </w:hyperlink>
      <w:r>
        <w:rPr>
          <w:rFonts w:ascii="arial" w:eastAsia="arial" w:hAnsi="arial" w:cs="arial"/>
          <w:color w:val="000000"/>
          <w:sz w:val="20"/>
          <w:lang w:val="en-US" w:eastAsia="en-US" w:bidi="ar-SA"/>
        </w:rPr>
        <w:t>, in which S.C. Carter P.C.J. wrote that the fact that previous publication had already identified the accused and the complainant was not relevant to an application for a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this case, the September 27, 2010 ban on publication of information which would tend to identify the plaintiff is consistent with the existing publication ban under s. 486.4(2)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 bans are designed to ensure that the plaintiff's identify is not linked to the criminal proceedings in which she was the complainant. Both bans reflect the determination that such an order is necessary to prevent a serious invasion of the plaintiff's privacy because reasonably alternative measures will not prevent the risk, and that the salutary effects of the ban outweigh the deleterious effects. In any event, no party opposed or is now challenging the September 27, 2010 ban on publication of information which would tend to identify the plaintiff.</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Compliance with existing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order to effectively conceal the identity of a person who is protected by a publication ban, it may be necessary in some cases to conceal more than just the individual's name. Information such as familial connections, geographic place names, and the like may, in combination with other information, reveal the identity of an individual who is protected by a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2004 YKSC 45</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13 C.P.C. (6th) 161</w:t>
        </w:r>
      </w:hyperlink>
      <w:r>
        <w:rPr>
          <w:rFonts w:ascii="arial" w:eastAsia="arial" w:hAnsi="arial" w:cs="arial"/>
          <w:color w:val="000000"/>
          <w:sz w:val="20"/>
          <w:lang w:val="en-US" w:eastAsia="en-US" w:bidi="ar-SA"/>
        </w:rPr>
        <w:t>, the court imposed a publication ban on the names of the plaintiff and the two defendants in an action for damages for sexual assault. Mr. Justice Veale referred to the fact that the Yukon is a relatively small community with a population of about 30,000 people. Veale J. wrote that the identification of the individual defendants could disclose the identity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Halkett</w:t>
      </w:r>
      <w:r>
        <w:rPr>
          <w:rFonts w:ascii="arial" w:eastAsia="arial" w:hAnsi="arial" w:cs="arial"/>
          <w:color w:val="000000"/>
          <w:sz w:val="20"/>
          <w:lang w:val="en-US" w:eastAsia="en-US" w:bidi="ar-SA"/>
        </w:rPr>
        <w:t>, Carter P.C.J. declined to order a ban over publication of the name of an accused, writing that the accused's name was an extremely common one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 following factors are important: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Schools are small communities, in which there is significant opportunity for teachers and students to observe close relationships between other teachers and students. The plaintiff's former school is a small community, and it is likely that many students and teachers who were at her school at the relevant time could identify the plaintiff on learning the name of the former teacher. The situation of a student is different from the situation of victims of sexual assault or sexual exploitation in other cases. For example, identification of a doctor ordinarily would be unlikely to identify a patient, because doctors have many patients, and the patients usually do not interact with each other. Similarly, identification of most health professionals, lawyers, accountants, and the like ordinarily would not tend to identify a complainant;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evidence is accepted, it shows that the previous publication of the names of the defendants identified the plaintiff to a number of people in the community;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former teacher is unusual;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criminal and civil proceedings alleging sexual misconduct by the former teacher are the proceedings involving the plaintiff;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suppression of the name of the defendant teacher is just a "sliver"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If the former teacher's name is published in this case, it could lead members of the public, particularly people who were students and teachers at the plaintiff's former school, to identify the complainant as the person involved in the criminal proceedings and these related civil proceedings. As a result, the September 27, 2010 ban shall be clarified to provide for restraint on the publication of the former teacher's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may seem odd that the former teacher will be treated better than others convicted of sexual offences if his name and identifying information is suppressed. However, this is simply the result of the publication ban and the circumstances. For example, where an accused person has a family relationship to an accused, it is routine to avoid publication of the name of the accused, because it could lead to identification of the complainant. This does not suggest that sexual offenders who prey on family members deserve better treatment, but simply reflects the inevitable result of protecting the complainant's identity.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If a ban on publication of the former teacher's name is not required for compliance with the existing ban on publication of information that would tend to identify the plaintiff, should the court ban publication of the former teacher's name and information that would tend to identify him to avoid harm to his 11 year old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light of my conclusion that a ban on publication of the former teacher's name is required for compliance with the September 27, 2010 ban on publication that would tend to identify the plaintiff, it is not necessary to consider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 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a ban on publication of the name of the plaintiff's former high school required for compliance with the existing ban on publication of information that would tend to identify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Schools are sufficiently small communities that a few facts can readily identify a former student. Here, the evidence shows that two teachers from the plaintiff's former school have recently been accused of sexual misconduct with a student. That is such a small number of teachers that publication of the name of the school is likely to lead to identification of the plaintiff, particularly in combination with other details relevant to the plaintiff's claim, such as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this case, a ban on publication of the name of the plaintiff's former school is required for compliance with the September 27, 2010 ban on publication of information that would tend to identify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 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a ban on publication of the name of the school district which formerly employed the former teacher required for compliance with the existing ban on publication of information that would tend to identify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shows that there are several high schools operated by the defendant school district. The community served by the defendant school district is a relatively small community. The only evidence of alleged or proven sexual misconduct by teachers in the defendant school district was of the two teachers who formerly taught at the plaintiff's former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circumstances of this case, publication of the name of the school board is likely to lead to identification of the plaintiff. As a result, the order must be clarified to prohibit publication of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summary, the September 27, 2010 order is varied to provide as follows: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cause in this proceeding shall be amended to refer to the plaintiff by the initials A.B., the individual defendant by the initials C.D., and the other defendant by the name Board of School Trustees of District E.F.</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publication of any information which would tend to identify the plaintiff, including the name of the individual defendant or information which would tend to identify him, the name of the plaintiff's former high school, and the name of the institutional defendant or information which would tend to identify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If the parties seek an order as to costs or any other relief related to these reasons for judgment, they should advise me at the continuation of the trial on November 2, 2010 so that I can schedule any necessary hearing.</w:t>
      </w:r>
      <w:r>
        <w:rPr>
          <w:rFonts w:ascii="arial" w:eastAsia="arial" w:hAnsi="arial" w:cs="arial"/>
          <w:sz w:val="20"/>
          <w:lang w:val="en-US" w:eastAsia="en-US" w:bidi="ar-SA"/>
        </w:rPr>
        <w:cr/>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Alec v. Domonkos, [2003] B.C.J. No. 1398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28049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B.C.L.R. (4th) 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C.C.L.I. (4th) 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Judy Alec, plaintiff, and Allan William Domonkos,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30"/>
      <w:bookmarkEnd w:id="281"/>
      <w:r>
        <w:rPr>
          <w:rFonts w:ascii="arial" w:eastAsia="arial" w:hAnsi="arial" w:cs="arial"/>
          <w:b/>
          <w:color w:val="000000"/>
          <w:sz w:val="20"/>
          <w:lang w:val="en-US" w:eastAsia="en-US" w:bidi="ar-SA"/>
        </w:rPr>
        <w:t>Insurance — Automobile insurance, compulsory government schemes — Proceedings against insurer — Mediation — Third party claims — Settlement agreements — Enforceability — Practice — Discovery — Where 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28"/>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Domonkos from the dismissal of his application for an order that Alec respond to his demands for discovery of documents. The action arose from a motor vehicle accident. Domonkos was the driver. The passenger was killed, and Alec was the administrator of the passenger's estate. Domonkos was charged with impaired driving causing death, but the charge was ultimately withdrawn. Alec brought an action under the Family Compensation Act for the benefit of the deceased's mother and son. ICBC responded to notice of the action by filing a third party notice to Alec. Pursuant to the Insurance (Motor Vehicle) Act, ICBC delivered a statement of defence in response to the claim and contested Domonkos's liability and quantum of damages. It also issued a statement of defence of the third party claim denying Alec's claim against Domonkos. Domonkos filed his own statement of defence. ICBC filed a notice to mediate but failed to serve that notice on Domonkos. Alec and ICBC reached a mediated settlement that did not include an admission of Domonkos's liability or any judgment against him. Domonkos then filed a third party notice against ICBC, seeking judgment in the amount of any damages ordered against him, costs, judgment for the value of his vehicle, and aggravated damages. Domonkos sought discovery of Alec, arguing that the mediated settlement was not binding on him and it was necessary to pursue the case against Alec as a basis for his third party claim against ICBC. His application was dismissed, and he appealed.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26"/>
            <w:bookmarkEnd w:id="283"/>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ICBC acted throughout as Domonkos's representative pursuant to the exercise of its statutory authority, stepping into Domonkos's shoes. To allow Domonkos to enter into the action with a view to interfering or impeding the resolution of Alec's claims would have been contrary to the legislative intention of expediting the settlement of claims arising from motor vehicle collisions. Domonkos suffered no prejudice as a result of the settlement and ICBC has confirmed it would not pursue him for indemnification of the settlement amounts. Any difficulty with the settlement lay solely between ICBC and Domonkos. Failure to serve Domonkos with notice to mediate was not fatal to the settlement. The issues between Domonkos and ICBC did not involve Alec and she was not required to respond to his demand for examination and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28"/>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19(24), 22.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643" w:history="1">
        <w:r>
          <w:rPr>
            <w:rFonts w:ascii="arial" w:eastAsia="arial" w:hAnsi="arial" w:cs="arial"/>
            <w:i/>
            <w:color w:val="0077CC"/>
            <w:sz w:val="20"/>
            <w:u w:val="single"/>
            <w:shd w:val="clear" w:color="auto" w:fill="FFFFFF"/>
            <w:lang w:val="en-US" w:eastAsia="en-US" w:bidi="ar-SA"/>
          </w:rPr>
          <w:t>R.S.B.C. 1996, c. 231, ss. 21</w:t>
        </w:r>
      </w:hyperlink>
      <w:r>
        <w:rPr>
          <w:rFonts w:ascii="arial" w:eastAsia="arial" w:hAnsi="arial" w:cs="arial"/>
          <w:color w:val="000000"/>
          <w:sz w:val="20"/>
          <w:lang w:val="en-US" w:eastAsia="en-US" w:bidi="ar-SA"/>
        </w:rPr>
        <w:t>, 21(1), 21(2), 21(7), 21(8)(a), 21(8)(b), 21(8)(c), 21(8)(d), 22.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to Mediate Regulation 127/89, ss. 2,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30"/>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 Zak, for the plaintiff. G.E. Greene, for the defendant. L.A. Pedersen,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30"/>
      <w:bookmarkEnd w:id="286"/>
      <w:r>
        <w:pict>
          <v:line id="_x0000_s1188"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BLAIR J."/>
            <w:bookmarkEnd w:id="287"/>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Allan William Domonkos, appeals the December 16, 2002 decision of Master Groves dismissing the defendant's application that the plaintiff, Judy Alec, respond to his demands for discovery and production of documents and allowing Ms. Alec's application that the defendant's demands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a single vehicle accident on April 1, 1998 near Granisle in northern B.C. which resulted in the death of a passenger, Terrance Duane Joseph. Mr. Domonkos occupied the vehicle's driver's seat and was charged with impaired driving causing death ("the criminal charge") in connection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Alec, the administrator of Mr. Joseph's estate, brought this action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for the benefit of Mr. Joseph's mother, Mary Ann Alec, born December 31, 1940 and Mr. Joseph's son, Brandon Douglas Joseph Deeg, born February 11, 1993. The plaintiff filed her writ and statement of claim against Mr. Domonkos on July 23, 1999. Section 22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Act") provides that a person commencing an action for damages caused by a motor vehicle accident in B.C. must serve the Insurance Corporation of British Columbia ("ICBC") with the originating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ICBC responded by filing on November 16, 1999 a third party notice to the plaintiff pursuant to s. 21(7) of the Act, advising that ICBC was denying liability to the defendant insured, Mr. Domonkos, and echoed the provisions of s. 21(8)(a) to (d), stating that ICBC claimed the right to deliver a statement of defence and other pleadings in response to the plaintiff's claim against Mr. Domonkos, have production and discovery from any party adverse in interest, examine and cross examine witnesses at trial, and contest both Mr. Domonkos' liability to the plaintiff and the quantum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ICBC on November 16, 1999 also issued a statement of defence of third party in which it denied the plaintiff's claim against Mr. Domonkos and alleging that if injury or damage was suffered it was caused solely or partially by Mr. Joseph grabbing the steering wheel of the vehicle causing the vehicle to go out of control. The defence also pleaded the maxim volenti non fit injuria, that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put in issue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Domonkos on August 3, 2000 on his own behalf filed an appearance to the plaintiff's action, followed on August 14, 2000 with a statement of defence to the plaintiff's claim, denying liability for the accident and attributing the accident to Mr. Joseph's wresting of the steering wheel and causing the vehicle to go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ICBC on May 15, 2001 delivered to the plaintiff, Ms. Alec, a notice to mediate pursuant to the Notice to Mediate Regulation 127/98 passed under the Insurance (Motor Vehicle) Act. Section 2 of the regulation provides that mediation may be initiated by any party upon delivery of notice to every other party to the action. ICBC did not serve notice upon Mr. Domonkos. Ms. Alec and ICBC on October 31, 2001 reached a mediated settlement of the plaintiff's claims. Counsel advise the settlement did not include an admission of liability by ICBC on behalf of Mr. Domonkos, nor would the settlement involve Ms. Alec obtaining a judgment against Mr. Domonkos. ICBC made the settlement pursuant to s. 21 of the Act which provides in ss. (2) that for the purposes of the section, ICBC may "at any stage compromise or settle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9, 2001 Mr. Greene filed a notice of appointment as solicitor for Mr. Domonkos and a third party notice on behalf of Mr. Domonkos against ICBC pursuant to Rule 22 of the Rules of Court. Mr. Domonkos in his third party notice described his claims against ICBC as including a breach by ICBC of the terms of his insurance policy by the denial of liability to indemnify him for the claims made by Ms. Alec and in alleging that he, Mr. Domonkos, was impaired at the time of the accident. In or about that time, but after the settlement was achieved, defence counsel advised ICBC that the Crown was not proceeding with the criminal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relief sought from ICBC by Mr. Domonkos in his third party notice includes: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amount of any damages that may be awarded against him in favour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special costs basis to fully indemnify him from all legal fees and disbursements required to pay his solicitor to defend this 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ICBC in the amount of the value of his vehicle and/or any damages related thereto less any payments made on behalf of the defendant to any secured creditor of the defendant;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Mr. Domonkos was committed for trial, the Crown decided not to pursue the criminal charge. In what I presume was a response to the Crown's decision, ICBC through its counsel confirmed by letter of December 9, 2002 to defence counsel that it would not be seeking indemnification from Mr. Domonkos for monies it had expended in settling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Mr. Domonkos pursues the matter, his counsel submitting that there is still a live issue between Mr. Domonkos and the plaintiff regarding his alleged responsibility for the accident which claimed the life of Mr. Joseph. Counsel for Mr. Domonkos submits that the mediated settlement is not binding as Mr. Domonkos was not served with the notice to mediate and that the defendant intended to set the plaintiff's action for trial. It is that position which led the defendant to serve Ms. Alec with demands for discovery and delivery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Master Groves, after reviewing the material in support of the application, concluded at Âs 12 to 14 of his Reasons that none of the defendant's claims had anything to do with the plaintiff and Mr. Domonkos was seeking relief only from ICBC. At Â15 the Master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the application of the defendant to require the plaintiff to produce a list of documents and to comply with a notice to produce is without foundation and unnecessary to his claim and his application is dismissed.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Master at Â16 granted the plaintiff's application that the defendant's demand for discovery and production of documents be struck pursuant to Rule 19(24) which addresses scandalous, frivolous or vexatious matters and Rule 1(5) which states that the object of the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submits that merely because the plaintiff settled her claims directly with ICBC does not mean that the issues between Mr. Domonkos and the plaintiff have been resolved. The defendant submits that it is necessary for him to pursue the case against the plaintiff in order to establish, as a basis for the claims found in his November 2001 third party notice against ICBC that he, the defendant, was not liable for the accident and that the plaintiff, on behalf of the deceased Mr. Joseph, had no claims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usual rules applicable in B.C.'s tort system have been subjected to a statutory overlay which modifies the conduct of civil litigation arising from motor vehicle accidents and involving personal injury or death. The uniqueness of this extensive statutory intrusion into B.C.'s traditional tort system attracted comment from Southin J.A. in Bliefernich v. Freeman </w:t>
      </w:r>
      <w:hyperlink r:id="rId644" w:history="1">
        <w:r>
          <w:rPr>
            <w:rFonts w:ascii="arial" w:eastAsia="arial" w:hAnsi="arial" w:cs="arial"/>
            <w:i/>
            <w:color w:val="0077CC"/>
            <w:sz w:val="20"/>
            <w:u w:val="single"/>
            <w:shd w:val="clear" w:color="auto" w:fill="FFFFFF"/>
            <w:lang w:val="en-US" w:eastAsia="en-US" w:bidi="ar-SA"/>
          </w:rPr>
          <w:t>(1989), 38 B.C.L.R. (2d) 128</w:t>
        </w:r>
      </w:hyperlink>
      <w:r>
        <w:rPr>
          <w:rFonts w:ascii="arial" w:eastAsia="arial" w:hAnsi="arial" w:cs="arial"/>
          <w:color w:val="000000"/>
          <w:sz w:val="20"/>
          <w:lang w:val="en-US" w:eastAsia="en-US" w:bidi="ar-SA"/>
        </w:rPr>
        <w:t xml:space="preserve"> at pp. 136 and 137. The legislature established ICBC as the foundation of a government-operated motor vehicle insurance scheme with a mandate which included the speedy and efficient resolution of claims arising from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ICBC's powers are found in various B.C. Statutes, however for the purpose of this appeal the Insurance (Motor Vehicle) Act ("the Act") is particularly germane. Section 21(7) of the Act requires that where an insured such as Mr. Domonkos breaches or appears to have breached the terms of the insurance agreement by the commission of certain offences, the corporation can deny liability to the insured. When it does so, ICBC may then take a third party position and defend the claim brought against the insured. In Carter v. Kerr </w:t>
      </w:r>
      <w:hyperlink r:id="rId645" w:history="1">
        <w:r>
          <w:rPr>
            <w:rFonts w:ascii="arial" w:eastAsia="arial" w:hAnsi="arial" w:cs="arial"/>
            <w:i/>
            <w:color w:val="0077CC"/>
            <w:sz w:val="20"/>
            <w:u w:val="single"/>
            <w:shd w:val="clear" w:color="auto" w:fill="FFFFFF"/>
            <w:lang w:val="en-US" w:eastAsia="en-US" w:bidi="ar-SA"/>
          </w:rPr>
          <w:t>(1990), 45 B.C.L.R. (2d) 160</w:t>
        </w:r>
      </w:hyperlink>
      <w:r>
        <w:rPr>
          <w:rFonts w:ascii="arial" w:eastAsia="arial" w:hAnsi="arial" w:cs="arial"/>
          <w:color w:val="000000"/>
          <w:sz w:val="20"/>
          <w:lang w:val="en-US" w:eastAsia="en-US" w:bidi="ar-SA"/>
        </w:rPr>
        <w:t>, the Court of Appeal addressed s. 20(7), now s. 21(7), third party notices stating at p. 168: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connection, I emphasize that the third party notice issued and filed by the corporation pursuant to s. 20(7) of the Act is not in any sense a third party notice within the meaning of the Supreme Court Rules. The third party notice under s. 20(7) is a statutory form of notice that the corporation has denied liability to the insured and intends to defend on its own behalf. It is to be distinguished from a claim by an insured against the insurer for indemnity, a matter which can be raised in third party proceedings under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decision appears to confirm the process pursued by Mr. Domonkos in the instant case, that is, where an insured wishes to take action against ICBC he can do so either in a separate action or, as here, by way of a third party notice against ICBC, although I would add that there are aspects of the third party notice which might not be suitable for pursuit in this process, but that is not an issue before me. I do not understand the Carter decision to provide a basis for the defendant insured, in the absence of any claim against the plaintiff, to involve the plaintiff in the dispute between the defendant insured and his insurer,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Ms. Alec, dealt throughout with ICBC as the representative of the defendant pursuant to the exercise of its statutory authority. It is up to ICBC to pursue the defence as it determines best and it has the power pursuant to s. 21(1) and (2) of the Act to reach a settlement compromising the plaintiff's claims or to take the matter to court. ICBC steps into the defendant insured's position to defend the action, dealing directly with the plaintiff as is necessary. The plaintiff in turn deals directly with the third party insurers which has, from the plaintiff's perspective, put itself into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am satisfied that there is no requirement for ICBC, having issued a third party notice as occurred in the instant case, to consult with the defendant or his counsel with regard to the compromise settlement where no prejudice flows to the defendant as a result: see Insurance Corp. of B.C. v. Tu-Ell Leasing Ltd. </w:t>
      </w:r>
      <w:hyperlink r:id="rId646" w:history="1">
        <w:r>
          <w:rPr>
            <w:rFonts w:ascii="arial" w:eastAsia="arial" w:hAnsi="arial" w:cs="arial"/>
            <w:i/>
            <w:color w:val="0077CC"/>
            <w:sz w:val="20"/>
            <w:u w:val="single"/>
            <w:shd w:val="clear" w:color="auto" w:fill="FFFFFF"/>
            <w:lang w:val="en-US" w:eastAsia="en-US" w:bidi="ar-SA"/>
          </w:rPr>
          <w:t>[1996] B.C.J. No. 685</w:t>
        </w:r>
      </w:hyperlink>
      <w:r>
        <w:rPr>
          <w:rFonts w:ascii="arial" w:eastAsia="arial" w:hAnsi="arial" w:cs="arial"/>
          <w:color w:val="000000"/>
          <w:sz w:val="20"/>
          <w:lang w:val="en-US" w:eastAsia="en-US" w:bidi="ar-SA"/>
        </w:rPr>
        <w:t xml:space="preserve"> (B.C.C.A.). In the absence of intervening factors such as allegations of bad faith or limits issues, to allow Mr. Domonkos or any defendant to enter into the action with a view to interfering or impeding the resolution of the plaintiff's claims would be contrary to the legislative intention of expediting the settlement of claims arising from motor vehicle collisions. If an insured is aggrieved and suffers loss as a result of a settlement reached by ICBC, then the insured's claim is against ICBC, not the plaintiff, unless the defendant is counter claiming against the plaintiff. Mr. Domonkos makes no claim against Mr. Alec. Mr. Domonkos suffered no prejudice as a result of the settlement with Ms. Alec as ICBC has confirmed that it will not pursue him for indemnification of the settlement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Defence counsel submits that the settlement reached between Ms. Alec and ICBC is not binding as a result of ICBC's failure to service a notice to mediate upon Mr. Domonkos. I note that counsel for Ms. Alec and ICBC consider the settlement binding and if there is any difficulty with the settlement it lies solely between ICBC and Mr. Domonkos. Although the mediation notice was not served upon Mr. Domonkos I note that s. 3 of the Notice to Mediate Regulation 127/4 provides that attendance at the mediation must include the plaintiff and the defendant's insurer or, if the defendant does not have an insurer, the defendant. In this case, although ICBC has denied liability to indemnify Mr. Domonkos, it has acted as the defendant's insurer pursuant to the Act and moved to defend the action brought by Ms. Alec. It is in that role as insurer that it attended the settlement, subsequently reaching a compromise with Ms. Alec.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I conclude that Mr. Domonkos should have been served with the notice to mediate, I do not conclude that the failure to provide such notice is fatal to the settlement reached with Ms. Alec. ICBC had the statutory authority to reach a settlement of the claim and the mediation was simply a process to achieve that settlement. I note that at the time ICBC issued its notice to mediate and at the time of the mediation, the defendant's involvement in the action was minimal due, I understand, to a concern that participation might in some respect compromise his situation as it related to the then existing criminal charge. It was only after both the settlement was achieved and the Crown determined that it would not proceed with the criminal charge that the defendant became active in this action through the appointment of counsel and the issuance of his third party notice against ICBC. I do not find ICBC's failure to give Mr. Domonkos a notice to mediate to be of significance in the context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the third party action brought by Mr. Domonkos relates solely to issues between himself and ICBC and that these issues do not involve the plaintiff, Ms. Alec. The issues as between Ms. Alec and Mr. Domonkos have been resolved by ICBC pursuant to the Act. The claims raised by Mr. Domonkos seek relief only from ICBC, not from Ms. Alec. I see no error of law in the conclusion of the Master. The appeal brought by Mr. Domonkos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in a notice of motion filed January 28, 2003 sought an order requiring Mr. Domonkos to file security for costs in the sum of $4,572.54. The matter was addressed briefly during the hearing of the appeal before me and I understood counsel to advise that Joyce J. earlier denied this application for security of costs. In any event I make no order regarding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defence sought costs personally from Mr. Zak, counsel for the plaintiff. At the hearing of this appeal I denied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conclusion of the hearing I advised counsel that after I gave judgment they could make submissions on the issue of costs and I leave them to make the appropriate arrangements with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Bank of China v. Fan, [2015] B.C.J. No. 703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24-27, December 18 and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S015937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Bank of China, Plaintiff, and Xu Chao Fan, also known as Hui Yat Fai; Xu Gao Jun, also known as Xu Juo Jun, Xu Guo Jun, Kit Sun Hui; Hui Kit Shun, Hui Kit Sun and Hui Kit Chun; Yu Zhen Dong, also known as Xu Zhen Dong, Yu Zhen-Dong, Yu Wing Chung, Yu Zhan Dong, Yu Wing Chong and Yu Chun Tung; Kwong Wa Po; Cindy Ching Yiu-Chu, also known as Sindy Ching, Ching Yu-Chu Sindy, Ching Fo-Chu and Ching Yu-Chu; Kuang Wan Fang, also known as Wendy Wan Fang Kuang; Ying Yi Yu, also known as Yu Yung Yi; Fion Xu Hui Yu, also known as Fion Yu and Xu Hu Yu; Li Cong Xu, Siu Ling Yan, Xia Li Xu, also known as Carolyn Xia Li Xu and Carolyn X Xu; Fal Kwong Ching, also known as Fo Kong Ching, Fo Kong Cheung and Connie Fal Kwong Ching; Wen Jing Tan; Xu Lie Ming; Xu Gang Qiang; Xu Bin Yan; Tang Jie Yu, also known as Jie Yu Tang, Tan Jie Yu and Jie Yu Tan; Yu Bao Quon, also known as Bao Quon Yu, Yu Bao Quan and Quan Bao Yu; Liang Bin Jin; Liang Cui 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31"/>
      <w:bookmarkEnd w:id="288"/>
      <w:r>
        <w:rPr>
          <w:rFonts w:ascii="arial" w:eastAsia="arial" w:hAnsi="arial" w:cs="arial"/>
          <w:b/>
          <w:color w:val="000000"/>
          <w:sz w:val="20"/>
          <w:lang w:val="en-US" w:eastAsia="en-US" w:bidi="ar-SA"/>
        </w:rPr>
        <w:t>Conflict of laws — Foreign evidence — Evidence from foreign state or territory — Evidence used in foreign action — Action by Bank of China against Kuang and Tan for damages related to international fraud allowed — Plaintiff was victim of $670 million fraud perpetrated by three employees, one of whom was defendants' husband and son — Evidence in foreign proceedings established elements of fraud and Kuang's involvement in laundering proceeds — Kuang was liable for knowing assistance for damages equal to total proceeds of $670 million — Expert evidence established Tan's liability for knowing assistance and knowing receipt with respect to specific transactions — Tan liable for damages of $2.2 million for knowing assistance and $350,000 for knowing receipt.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Remedies — Action by Bank of China against Kuang and Tan for damages related to international fraud allowed — Plaintiff was victim of $670 million fraud perpetrated by three employees, one of whom was defendants' husband and son — Evidence in foreign proceedings established elements of fraud and Kuang's involvement in laundering proceeds — Kuang was liable for knowing assistance for damages equal to total proceeds of $670 million — Expert evidence established Tan's liability for knowing assistance and knowing receipt with respect to specific transactions — Tan liable for damages of $2.2 million for knowing assistance and $350,000 for knowing receipt.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29"/>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the Bank of China, against the defendants, Kuang and Tan, for damages in connection with an international fraud. Between 1992 and 2001, the plaintiff was the victim of a fraud perpetrated by three management employees. It was alleged that the plaintiff was defrauded of $670 million and the proceeds were laundered internationally with the assistance of the perpetrators' families. The plaintiff commenced civil proceedings in Hong Kong, the United States and British Columbia. The two remaining defendants in the British Columbia action were Kuang and Tan, respectively the wife and mother of the individual alleged to have been the principal architect of the fraud, Xu. The plaintiff claimed against both defendants for knowing assistance in the fraudulent scheme and against Tan for knowing receipt of the fraudulent proceeds. The plaintiff relied on foreign judgments and transcripts admitted into evidence in a prior ruling. The combined effect of the judgments described and established the essential elements of the underlying fraud and Kuang's role in a conspiracy to launder the proceeds. Tan was not a party to the foreign proceedings. The plaintiff also relied on expert evidence regarding money laundering activities and the defendants' financial circumstances. The defendants did not testify and led no viva voce evidence. They relied on the evidence in the Nevada criminal proceeding to argue that Xu had significant wealth independent of the fraud, and that the corporate entities used to launder the proceeds had legitimate sources of funds.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0" w:name="Holdings of Court_27"/>
            <w:bookmarkEnd w:id="29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permitted to rely on the aspects of the Nevada criminal proceeding stating that Xu's gambling activities in Las Vegas could not be traced directly to the fraud. The defendants were not permitted to rely on expert evidence given at the Nevada proceeding regarding Xu's wealth or the legitimacy of the source of the funds, as the use of such evidence would impermissibly circumvent the Rules related to the admission of expert evidence in British Columbia. Kuang's conviction in the Nevada proceeding supported a finding that she knowingly assisted in the efforts of the principal fraudsters, including her husband, to cover up the fraud and to disperse and launder the proceeds thereof. The expert evidence analyzing Tan's financial holdings and transactions overwhelmingly established her role in money laundering activities sufficient to find her liable for knowing assistance. Tan did not provide any credible explanation for the transactions, or other evidence establishing their legitimacy. Similarly, the plaintiff's expert evidence regarding $1.37 million transferred by Xu to Tan established her liability for knowing receipt of $350,000 of those funds. There was a sufficient link between Kuang's conduct and the plaintiff's loss to hold her accountable for the whole of the loss. The plaintiff was accordingly entitled to judgment against Kuang for damages of $670 million. The evidence did not establish Tan's involvement to the same degree as Kuang. Given evidence of Tan's involvement in specific transactions, she was held liable for $2.2 million for knowing assistance, and $350,000 for knowing receipt based on the specific amounts that came into her possession.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1" w:name="Legislation Cited_29"/>
      <w:bookmarkEnd w:id="2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11-6(1), Rule 11-7(1), Rule 11-7(1)(a), Rule 11-7(2)(b)(ii), Rule 12-5(54)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654" w:history="1">
        <w:r>
          <w:rPr>
            <w:rFonts w:ascii="arial" w:eastAsia="arial" w:hAnsi="arial" w:cs="arial"/>
            <w:i/>
            <w:color w:val="0077CC"/>
            <w:sz w:val="20"/>
            <w:u w:val="single"/>
            <w:shd w:val="clear" w:color="auto" w:fill="FFFFFF"/>
            <w:lang w:val="en-US" w:eastAsia="en-US" w:bidi="ar-SA"/>
          </w:rPr>
          <w:t>R.S.C. 1985, c. C 46, s. 462.31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655" w:history="1">
        <w:r>
          <w:rPr>
            <w:rFonts w:ascii="arial" w:eastAsia="arial" w:hAnsi="arial" w:cs="arial"/>
            <w:i/>
            <w:color w:val="0077CC"/>
            <w:sz w:val="20"/>
            <w:u w:val="single"/>
            <w:shd w:val="clear" w:color="auto" w:fill="FFFFFF"/>
            <w:lang w:val="en-US" w:eastAsia="en-US" w:bidi="ar-SA"/>
          </w:rPr>
          <w:t>RSBC 1996, CHAPTER 124, s. 26</w:t>
        </w:r>
      </w:hyperlink>
      <w:r>
        <w:rPr>
          <w:rFonts w:ascii="arial" w:eastAsia="arial" w:hAnsi="arial" w:cs="arial"/>
          <w:color w:val="000000"/>
          <w:sz w:val="20"/>
          <w:lang w:val="en-US" w:eastAsia="en-US" w:bidi="ar-SA"/>
        </w:rPr>
        <w:t>(1), s. 26(2)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2" w:name="Counsel_31"/>
      <w:bookmarkEnd w:id="2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D.R. Clark, Q.C., M. Gehlen, J. Horswill.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Kuang W. Fang and Wen J. Tan: L.J. Litman.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3" w:name="Judgment_31"/>
      <w:bookmarkEnd w:id="293"/>
      <w:r>
        <w:pict>
          <v:line id="_x0000_s1193"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4" w:name="R.A. SKOLROOD J."/>
            <w:bookmarkEnd w:id="294"/>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Between approximately 1992 and 2001, the plaintiff Bank of China (the "Bank") was the subject of a significant fraud perpetrated by three management employees of the Bank's Kaiping sub-branch. It is alleged that they defrauded the Bank of the equivalent of more than US $480 million and that the stolen funds were then laundered internationally through a complex web of transactions, assisted by numerous individuals, many of whom were their close relatives.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discovering the fraud, the Bank launched civil proceedings in Hong Kong, the United States and British Columbia seeking to recover the proceeds of the fraud. In addition, there were criminal prosecutions resulting in the conviction of many of the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While the list of named defendants in this action is long, the only defendants still being pursued by the Bank in British Columbia are Kuang Wan Fang ("Kuang") and Tan Wen Jing ("Tan"). Kuang is the wife and Tan the mother of Xu Chao Fan ("Xu"), who is said to be the principal architect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Bank claims against both Kuang and Tan for knowing assistance in the fraudulent scheme and against Tan for knowing receipt of funds fraudulently taken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was commenced on October 22, 2001 and, on the same day, the Bank obtained an order freezing Kuang's assets. Tan was subsequently added as a defendant on March 12, 2002, at which time the Bank also obtained an order freezing her assets. Neither Kuang nor Tan has applied to remove or vary the freeze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Key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Xu Chao Fan, the two other principal fraudsters were Xu Guo Jun and Yu Zhen Dong (collectively "the principal fraudsters"). Each has a number of relatives who were implicated to some degree in the fraud and it is useful to identify at the outset those individuals and their relationships to the principal fraudsters. Since many of these individuals have the same surname, I will use their full names below when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Xu Chao Fan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Kuang -- Wife of Xu;</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Tan -- Mother of Xu and Xu Xia Li;</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Xu Xia Li -- Sister of Xu and daughter of Tan;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Kwong Wa Po -- Brother of Kuang and brother-in-law to Xu;</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Sindy Ching Yiu Chu (also known as Ching Yu Chu) -- Common law wife of Kwong Wa Po;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Hui Yat Sing -- Cousin of Xu and Xu Xia Li;</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Wong Suet Mui -- Wife of Hui Yat Sing;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Tam Kam Ngan -- Sister of Tan, aunt of Xu.</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Xu Guo Jun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Yu Ying Yi -- Wife of Xu Guo Jun;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Xu Bin Yan -- Mother of Xu Guo Jun.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Yu Zhen Dong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Yu Fion Xu Hui -- Wife of Yu Zhen Dong;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Yu Zhen Feng -- Brother of Yu Zhen Dong.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Foreign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case is somewhat unusual in that much of the evidence was in the form of judgments of courts in foreign jurisdictions that have dealt with the civil and criminal liability of the principal fraudsters and various family members and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Prior to the commencement of the trial, the Bank brought an application seeking to have the foreign judgments admitted into evidence at trial. They further sought directions that certain findings in the foreign judgments constitute conclusive proof of a number of facts in the present proceeding and that various other findings constitute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or may be admitted as contextual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specific judgments sought to be entered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Hong Kong Judgments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HKSAR v. Hui Yat-sing</w:t>
      </w:r>
      <w:r>
        <w:rPr>
          <w:rFonts w:ascii="arial" w:eastAsia="arial" w:hAnsi="arial" w:cs="arial"/>
          <w:color w:val="000000"/>
          <w:sz w:val="20"/>
          <w:lang w:val="en-US" w:eastAsia="en-US" w:bidi="ar-SA"/>
        </w:rPr>
        <w:t xml:space="preserve"> (18 January 2007 ), DCCC 660/2005 (District Court of the Hong Kong Special Administrative Region) [</w:t>
      </w:r>
      <w:r>
        <w:rPr>
          <w:rFonts w:ascii="arial" w:eastAsia="arial" w:hAnsi="arial" w:cs="arial"/>
          <w:i/>
          <w:color w:val="000000"/>
          <w:sz w:val="20"/>
          <w:lang w:val="en-US" w:eastAsia="en-US" w:bidi="ar-SA"/>
        </w:rPr>
        <w:t>HKSAR 2005</w:t>
      </w:r>
      <w:r>
        <w:rPr>
          <w:rFonts w:ascii="arial" w:eastAsia="arial" w:hAnsi="arial" w:cs="arial"/>
          <w:color w:val="000000"/>
          <w:sz w:val="20"/>
          <w:lang w:val="en-US" w:eastAsia="en-US" w:bidi="ar-SA"/>
        </w:rPr>
        <w:t>], in which Hui Yat Sing and Wong Suet Mui were convicted of conspiracy to deal with property knowing or having reasonable grounds to believe it represented the proceeds of an indictable offence. The court found that the accused conspired with a number of people, including the three principal fraudsters as well as Kwong Wa Po, to deal with large sums of money stolen from the Bank and that one of the primary vehicles used for moving the funds was a company called Ever Joint Properties Limited ("Ever Joint").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HKSAR v. Hui Yat Sing</w:t>
      </w:r>
      <w:r>
        <w:rPr>
          <w:rFonts w:ascii="arial" w:eastAsia="arial" w:hAnsi="arial" w:cs="arial"/>
          <w:color w:val="000000"/>
          <w:sz w:val="20"/>
          <w:lang w:val="en-US" w:eastAsia="en-US" w:bidi="ar-SA"/>
        </w:rPr>
        <w:t>, [2008] HKCA 214 (High Court of the Hong Kong Special Administrative Region, Court of Appeal), in which the appellate court dismissed Hui Yat Sing and Wong Suet Mui's application for leave to appeal both their convictions and sentences.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HKSAR v. Xu Xia-li</w:t>
      </w:r>
      <w:r>
        <w:rPr>
          <w:rFonts w:ascii="arial" w:eastAsia="arial" w:hAnsi="arial" w:cs="arial"/>
          <w:color w:val="000000"/>
          <w:sz w:val="20"/>
          <w:lang w:val="en-US" w:eastAsia="en-US" w:bidi="ar-SA"/>
        </w:rPr>
        <w:t xml:space="preserve"> (8 September 2003), DCCC 273/2003 (District Court of the Hong Kong Special Administrative Region), in which Xu Xia Li and Sindy Ching Yu Chu were similarly convicted of conspiracy to deal with property knowing or having reasonable grounds to believe it represented in whole or in part directly or indirectly any person's proceeds of an indictable offence. The person that the accused were found to have conspired with was Kwong Wa Po, the brother of Kuang and brother-in-law of Xu, and the conspiracy involved the accused using various transactions to disperse some HK$11 million provided by Kwong Wa Po.</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Bank of China v. Kwong Wa-Po</w:t>
      </w:r>
      <w:r>
        <w:rPr>
          <w:rFonts w:ascii="arial" w:eastAsia="arial" w:hAnsi="arial" w:cs="arial"/>
          <w:color w:val="000000"/>
          <w:sz w:val="20"/>
          <w:lang w:val="en-US" w:eastAsia="en-US" w:bidi="ar-SA"/>
        </w:rPr>
        <w:t xml:space="preserve"> (18 July 2005), HCA No. 5291/2001 (High Court of the Hong Kong Special Administrative Region), in which the Bank obtained judgment against Kwong Wa Po, Ching Yu Chu (also known as Sindy Ching Yiu Chu) and Xu Xia Li in the amounts of HK$299,770,000.00, C$249,990.00 and HK$3,865,699.40 respectively, plus interest and various ancillary relief. Each was found liable to the Bank for knowing receipt of and knowing assistance in channelling funds misappropriated from the Bank.</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Bank of China v. Xu Chao Fan</w:t>
      </w:r>
      <w:r>
        <w:rPr>
          <w:rFonts w:ascii="arial" w:eastAsia="arial" w:hAnsi="arial" w:cs="arial"/>
          <w:color w:val="000000"/>
          <w:sz w:val="20"/>
          <w:lang w:val="en-US" w:eastAsia="en-US" w:bidi="ar-SA"/>
        </w:rPr>
        <w:t xml:space="preserve"> (26 April 2002), HCA No. 4529/2001 (High Court of the Hong Kong Special Administrative Region), in which the Bank obtained default judgment against the three principal fraudsters for US$95 million plus various ancillary relief.</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Bank of China Limited v. Ever Joint Properties Limited</w:t>
      </w:r>
      <w:r>
        <w:rPr>
          <w:rFonts w:ascii="arial" w:eastAsia="arial" w:hAnsi="arial" w:cs="arial"/>
          <w:color w:val="000000"/>
          <w:sz w:val="20"/>
          <w:lang w:val="en-US" w:eastAsia="en-US" w:bidi="ar-SA"/>
        </w:rPr>
        <w:t xml:space="preserve"> (Judgments of 22 June 2007; 12 October 2007; and 24 May 2011), HCA 2841/2006 (High Court of the Hong Kong Special Administrative Region), in which the Bank obtained judgment against numerous corporate entities that were used to channel misappropriated funds, including Ever Joint. Judgement was also granted against Kuang in the amount of HK$2,127,828.00 on account of all sums that the principal fraudsters misappropriated from the Bank and which Kuang received directly or indirectly.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United States Judgments</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United States v. Xu Chaofan,</w:t>
      </w:r>
      <w:r>
        <w:rPr>
          <w:rFonts w:ascii="arial" w:eastAsia="arial" w:hAnsi="arial" w:cs="arial"/>
          <w:color w:val="000000"/>
          <w:sz w:val="20"/>
          <w:lang w:val="en-US" w:eastAsia="en-US" w:bidi="ar-SA"/>
        </w:rPr>
        <w:t xml:space="preserve"> Docket Case No. 2:02-CR-674-PMP-LRL (D. Ct. Nev. May 11, 2009) (order granting preliminary forfeiture). This decision is discussed in more detail below.</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United States v. Xu,</w:t>
      </w:r>
      <w:r>
        <w:rPr>
          <w:rFonts w:ascii="arial" w:eastAsia="arial" w:hAnsi="arial" w:cs="arial"/>
          <w:color w:val="000000"/>
          <w:sz w:val="20"/>
          <w:lang w:val="en-US" w:eastAsia="en-US" w:bidi="ar-SA"/>
        </w:rPr>
        <w:t xml:space="preserve"> Nos. 09-10189, 09-10193, 09-10201, 09-10202 (9th Cir. 2013) (Jan. 3, 2013) [</w:t>
      </w:r>
      <w:r>
        <w:rPr>
          <w:rFonts w:ascii="arial" w:eastAsia="arial" w:hAnsi="arial" w:cs="arial"/>
          <w:i/>
          <w:color w:val="000000"/>
          <w:sz w:val="20"/>
          <w:lang w:val="en-US" w:eastAsia="en-US" w:bidi="ar-SA"/>
        </w:rPr>
        <w:t>United States v. Xu (Ninth Circuit Appeal)</w:t>
      </w:r>
      <w:r>
        <w:rPr>
          <w:rFonts w:ascii="arial" w:eastAsia="arial" w:hAnsi="arial" w:cs="arial"/>
          <w:color w:val="000000"/>
          <w:sz w:val="20"/>
          <w:lang w:val="en-US" w:eastAsia="en-US" w:bidi="ar-SA"/>
        </w:rPr>
        <w:t>], in which the United States Court of Appeals for the Ninth Circuit varied the restitution order against the principal fraudsters. This decision is discussed in more detail below.</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Bank of China v. Yu,</w:t>
      </w:r>
      <w:r>
        <w:rPr>
          <w:rFonts w:ascii="arial" w:eastAsia="arial" w:hAnsi="arial" w:cs="arial"/>
          <w:color w:val="000000"/>
          <w:sz w:val="20"/>
          <w:lang w:val="en-US" w:eastAsia="en-US" w:bidi="ar-SA"/>
        </w:rPr>
        <w:t xml:space="preserve"> No. 400 488 (Cal. Sep. 4, 2003) (order granting default judgment), in which the Bank obtained default judgment against a number of defendants, including Kuang, for US$115,493,872.12.</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Bank of China v. Xu,</w:t>
      </w:r>
      <w:r>
        <w:rPr>
          <w:rFonts w:ascii="arial" w:eastAsia="arial" w:hAnsi="arial" w:cs="arial"/>
          <w:color w:val="000000"/>
          <w:sz w:val="20"/>
          <w:lang w:val="en-US" w:eastAsia="en-US" w:bidi="ar-SA"/>
        </w:rPr>
        <w:t xml:space="preserve"> No. 415 518 (Cal. Sep. 4, 2003) (order granting default judgment), in which the Bank obtained default judgment against the principal fraudsters in the amount of US$135,125,504.27.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"foreign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addition, the Bank sought to introduce into evidence the following transcript from the Nevada District Court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Transcript of proceedings in </w:t>
      </w:r>
      <w:r>
        <w:rPr>
          <w:rFonts w:ascii="arial" w:eastAsia="arial" w:hAnsi="arial" w:cs="arial"/>
          <w:i/>
          <w:color w:val="000000"/>
          <w:sz w:val="20"/>
          <w:lang w:val="en-US" w:eastAsia="en-US" w:bidi="ar-SA"/>
        </w:rPr>
        <w:t>United States v. Xu Chaofan et al.,</w:t>
      </w:r>
      <w:r>
        <w:rPr>
          <w:rFonts w:ascii="arial" w:eastAsia="arial" w:hAnsi="arial" w:cs="arial"/>
          <w:color w:val="000000"/>
          <w:sz w:val="20"/>
          <w:lang w:val="en-US" w:eastAsia="en-US" w:bidi="ar-SA"/>
        </w:rPr>
        <w:t xml:space="preserve"> Docket Case No. 2:02-CR-674-PMP-LRL (D. Nev. May 11, 2009) (order granting preliminary forfeiture)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"Nevada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proceedings in Nevada warrant further discussion because they figure prominently in the positions advanced by both the Bank and Tan and Kuang.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January 31, 2006, an indictment (referred to as the second superseding indictment) was filed in the United States District Court, District of Nevada charging Xu, Kuang, Xu Guojun also known as Hui Kit Shun, Yu Ying Yi and Kwong Wa Po with numerous counts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 1 RICO (Racketeer Influenced and Corrupt Organizations) Conspiracy -- all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 2 Money Laundering Conspiracy -- all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 3 Conspiracy to Transport Stolen Moneys -- all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Counts 4-6 Use of a Fraudulently Obtained Visa -- Xu;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Counts 7-9 Use of a Fraudulently Obtained Visa -- Xu Guojun;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Counts 10-12 Use of a Fraudulently Obtained Passport -- Kuang;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Counts 13-15 Use of a Fraudulently Obtained Passport -- Yu Ying 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More particularly, with respect to Kuang, the following allegations were contained in the indictment: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knowingly and intentionally conspired to conduct and participate, directly and indirectly, in the conduct of the affairs of an enterprise engaged in, among other things, fraud, money laundering and foreign and interstate transfers of funds, through a pattern of racketeering activity (Count 1).</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conspired to knowingly engage and attempt to engage in monetary transactions by, through and to a financial institution, affecting interstate and foreign commerce, in criminally derived property of a value greater than $10,000.00, including wire transfers, deposits, withdrawals and casino transactions, such property having been derived from a specified unlawful activity, that is, fraud, and a scheme to attempt to defraud a foreign bank (Count 2).</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knowingly and wilfully conspired to transport, transmit, and transfer in interstate and foreign commerce, securities and money of $5,000.00 or more, knowing the same to have been stolen, converted and taken by fraud (Count 3).</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wilfully and knowingly used a passport the issue of which was secured by reason of a false statement (Counts 10-12).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case was tried before a jury beginning June 10, 2008 and on August 29, 2008, after 38 days of trial, all of the defendants were found guilty on all of the 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sentencing hearing was subsequently held on May 5-6, 2009, following which each of the defendants was sentenced to a prison term, including 300 months for Xu and 96 months for Kuang. In addition, the court issued a restitution order for US$482 million in favour of the Bank jointly and severally against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appealed their convictions and sentences. On January 13, 2013, the United States Court of Appeals for the Ninth Circuit affirmed all of the convictions but vacated the sentences and remanded the cases for resentencing: </w:t>
      </w:r>
      <w:r>
        <w:rPr>
          <w:rFonts w:ascii="arial" w:eastAsia="arial" w:hAnsi="arial" w:cs="arial"/>
          <w:i/>
          <w:color w:val="000000"/>
          <w:sz w:val="20"/>
          <w:lang w:val="en-US" w:eastAsia="en-US" w:bidi="ar-SA"/>
        </w:rPr>
        <w:t>United States v. Xu (Ninth Circuit Appeal)</w:t>
      </w:r>
      <w:r>
        <w:rPr>
          <w:rFonts w:ascii="arial" w:eastAsia="arial" w:hAnsi="arial" w:cs="arial"/>
          <w:color w:val="000000"/>
          <w:sz w:val="20"/>
          <w:lang w:val="en-US" w:eastAsia="en-US" w:bidi="ar-SA"/>
        </w:rPr>
        <w:t>. In considering the appeals, the Ninth Circuit reviewed the evidentiary record from the trial in some detail and concluded that the evidence at trial was sufficient to maintain the convictions.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Subsequent to the completion of the trial herein, counsel for the Bank provided the court with a copy of the re-sentencing decision of the United States District Court, District of Nevada dated January 15, 2015. The court re-imposed the same prison sentences but revised the restitution order to require that the defendants are jointly and severally liable to the Bank for the sum of US$7,813,905.75. The reduction in the restitution amount was based on evidence submitted by the United States government that US$20,099,174.04 had been transmitted by the defendants to the United States, of which US$12,285,268.29 had been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should be noted that the defendants each went to prison following the original District Court decision and that Kuang completed her sentence on September 25, 2011. Xu remains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Reasons for Judgment dated October 30, 2014 (now indexed at </w:t>
      </w:r>
      <w:hyperlink r:id="rId656" w:history="1">
        <w:r>
          <w:rPr>
            <w:rFonts w:ascii="arial" w:eastAsia="arial" w:hAnsi="arial" w:cs="arial"/>
            <w:i/>
            <w:color w:val="0077CC"/>
            <w:sz w:val="20"/>
            <w:u w:val="single"/>
            <w:shd w:val="clear" w:color="auto" w:fill="FFFFFF"/>
            <w:lang w:val="en-US" w:eastAsia="en-US" w:bidi="ar-SA"/>
          </w:rPr>
          <w:t>2014 BCSC 2043</w:t>
        </w:r>
      </w:hyperlink>
      <w:r>
        <w:rPr>
          <w:rFonts w:ascii="arial" w:eastAsia="arial" w:hAnsi="arial" w:cs="arial"/>
          <w:color w:val="000000"/>
          <w:sz w:val="20"/>
          <w:lang w:val="en-US" w:eastAsia="en-US" w:bidi="ar-SA"/>
        </w:rPr>
        <w:t xml:space="preserve">), I ordered that the foreign judgments and the Nevada transcript may be entered into evidence at the trial in keeping with the analysis of the Supreme Court of Canada in cases such as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(Attorney General) v. Malik,</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2011 SCC 18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Jesse</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2012 SCC 21</w:t>
        </w:r>
      </w:hyperlink>
      <w:r>
        <w:rPr>
          <w:rFonts w:ascii="arial" w:eastAsia="arial" w:hAnsi="arial" w:cs="arial"/>
          <w:color w:val="000000"/>
          <w:sz w:val="20"/>
          <w:lang w:val="en-US" w:eastAsia="en-US" w:bidi="ar-SA"/>
        </w:rPr>
        <w:t xml:space="preserve"> ("the evidentiary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Generally speaking, those decisions say that the admissibility of prior decisions, and the use to be made of those decisions, turns in large measure on whether it would be an abuse of process to permit a party to relitigate certain facts or issues in the current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Applying the principles established by the Supreme Court, I held at paragraphs 37-38 of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However, in my view, the combined effect of the Nevada judgments and the Hong Kong judgments conclusively establishes the essential elements of the underlying fraud as described at p. 7 of the Ninth Circuit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During their management of the Kaiping sub-branch [Xu Chaofan, Xu Guojun and Yu Zhendong] engaged in in three types of fraud: (1) foreign exchange speculation, resulting in a loss to the Bank of China of approximately $147 million; (2) "out-of-book" loans, which are loans that were not properly recorded in the bank's accounting system, resulting in a loss of approximately $181 million; and (3) false loans, in which loans totalling $90-95 million were entered into the bank's accounts, but the proceeds from the loans were diverted into a Hong Kong conduit company named Ever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To permit the defendants to relitigate these essential elements of the underlying fraud would, in my view, amount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to this finding that the underlying fraud had been conclusively proven, I made the following findings with respect to Kuang, at paragraphs 32-34: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With respect to paragraph (b), the defendants agree that Kuang was found to have knowingly engaged in racketeering activities with Xu Chao Fan, Xu Guo Jun, Yu Ying Yi, Yu Zhen Dong and Fion Xu, but only to the extent found by the Ninth Circuit Court of Appeals i.e. with respect to immigration and visa offences. I agree with the defendants' qualification.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With respect to paragraph (c), the defendants agree that Kuang engaged in a conspiracy to launder money that had been inappropriately taken from the Bank, but they disagree that there was any finding that funds were criminally derived from the Bank. On my reading of the reasons of the Ninth Circuit Court of Appeals, it is clear that the court found that Kuang and the other defendants in that proceeding had conspired to launder money </w:t>
      </w:r>
      <w:r>
        <w:rPr>
          <w:rFonts w:ascii="arial" w:eastAsia="arial" w:hAnsi="arial" w:cs="arial"/>
          <w:color w:val="000000"/>
          <w:sz w:val="20"/>
          <w:u w:val="single"/>
          <w:lang w:val="en-US" w:eastAsia="en-US" w:bidi="ar-SA"/>
        </w:rPr>
        <w:t>fraudulently</w:t>
      </w:r>
      <w:r>
        <w:rPr>
          <w:rFonts w:ascii="arial" w:eastAsia="arial" w:hAnsi="arial" w:cs="arial"/>
          <w:color w:val="000000"/>
          <w:sz w:val="20"/>
          <w:lang w:val="en-US" w:eastAsia="en-US" w:bidi="ar-SA"/>
        </w:rPr>
        <w:t xml:space="preserve"> obtained from the Bank and that such fraud was unlawful. The Nevada judgments are conclusive proof of this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defendants raise the same qualification with respect to paragraph (d). Again, in my view, a proper characterization is that Kuang knowingly and wilfully conspired to transport money knowing it to have been fraudulently and unlawfully obtained from the Bank.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to the above findings concerning the underlying fraud and Kuang's involvement therein, it is useful to note as well the findings made by multiple courts in the foreign judgments concerning Ever Joint. Ever Joint was incorporated in 1991 and was one of if not the primary recipient of funds stolen from the Bank. It was largely controlled by the principal fraudsters (see for example, </w:t>
      </w:r>
      <w:r>
        <w:rPr>
          <w:rFonts w:ascii="arial" w:eastAsia="arial" w:hAnsi="arial" w:cs="arial"/>
          <w:i/>
          <w:color w:val="000000"/>
          <w:sz w:val="20"/>
          <w:lang w:val="en-US" w:eastAsia="en-US" w:bidi="ar-SA"/>
        </w:rPr>
        <w:t>Bank of China v. Kwong Wa Po</w:t>
      </w:r>
      <w:r>
        <w:rPr>
          <w:rFonts w:ascii="arial" w:eastAsia="arial" w:hAnsi="arial" w:cs="arial"/>
          <w:color w:val="000000"/>
          <w:sz w:val="20"/>
          <w:lang w:val="en-US" w:eastAsia="en-US" w:bidi="ar-SA"/>
        </w:rPr>
        <w:t xml:space="preserve"> at paras. 6-12 and </w:t>
      </w:r>
      <w:r>
        <w:rPr>
          <w:rFonts w:ascii="arial" w:eastAsia="arial" w:hAnsi="arial" w:cs="arial"/>
          <w:i/>
          <w:color w:val="000000"/>
          <w:sz w:val="20"/>
          <w:lang w:val="en-US" w:eastAsia="en-US" w:bidi="ar-SA"/>
        </w:rPr>
        <w:t>United States v. Xu (Ninth Circuit Appeal)</w:t>
      </w:r>
      <w:r>
        <w:rPr>
          <w:rFonts w:ascii="arial" w:eastAsia="arial" w:hAnsi="arial" w:cs="arial"/>
          <w:color w:val="000000"/>
          <w:sz w:val="20"/>
          <w:lang w:val="en-US" w:eastAsia="en-US" w:bidi="ar-SA"/>
        </w:rPr>
        <w:t xml:space="preserve"> at 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HKSAR 2005</w:t>
      </w:r>
      <w:r>
        <w:rPr>
          <w:rFonts w:ascii="arial" w:eastAsia="arial" w:hAnsi="arial" w:cs="arial"/>
          <w:color w:val="000000"/>
          <w:sz w:val="20"/>
          <w:lang w:val="en-US" w:eastAsia="en-US" w:bidi="ar-SA"/>
        </w:rPr>
        <w:t>, the court described Ever Joint in these terms at para.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totality of the evidence before me, I am perfectly satisfied that [Ever Joint] was not a legitimate investment arm of the Bank of China, and that the defendants were perfectly aware that it was not. The three managers went to great lengths to promote the falsity that EJP was a legitimate window company of the Bank of China Kaiping, but the reality of the matter is quite simply that it was not. It was no more and no less that a company incorporated for the sole purpose of laundering money that had been stolen from the Bank of China Kaiping by the three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U.S. Ninth Circuit acknowledged that the evidence led at the trial in Nevada did reflect that Ever Joint engaged in real estate investments that could have been legitimate, but it noted that the "vast majority" of the funds in Ever Joint's accounts were fraudulently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These findings concerning Ever Joint are relevant to the submission of the defendants, which will be addressed in greater detail below, that to the extent they received money from Ever Joint, the Bank cannot establish that such money was fraudulently taken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Various other findings made in the foreign judgments were admitted either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the facts alleged or as contextual facts. I will address them where necessary when addressing the issues that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course of the trial, a dispute arose between the parties as to the use to be made of the Nevada transcript. I will address this below when reviewing the evidence sought to be relied on by Kuang and Tan.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at Trial</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Bank's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Two witnesses gave </w:t>
      </w:r>
      <w:r>
        <w:rPr>
          <w:rFonts w:ascii="arial" w:eastAsia="arial" w:hAnsi="arial" w:cs="arial"/>
          <w:i/>
          <w:color w:val="000000"/>
          <w:sz w:val="20"/>
          <w:lang w:val="en-US" w:eastAsia="en-US" w:bidi="ar-SA"/>
        </w:rPr>
        <w:t>vive voce</w:t>
      </w:r>
      <w:r>
        <w:rPr>
          <w:rFonts w:ascii="arial" w:eastAsia="arial" w:hAnsi="arial" w:cs="arial"/>
          <w:color w:val="000000"/>
          <w:sz w:val="20"/>
          <w:lang w:val="en-US" w:eastAsia="en-US" w:bidi="ar-SA"/>
        </w:rPr>
        <w:t xml:space="preserve"> evidence for the Bank at trial: Mr. Liao Hai and Mr. Patrick McParland.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Liao is a senior auditor employed by the Bank who was directly involved in investigating the fraud at the Kaiping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Liao testified that he became involved in the investigation when the fraud was first discovered in October of 2001. According to Mr. Liao, it was around that time that the Bank implemented a computerized network for monitoring foreign currency transactions at all of it branches. Previously, each branch would submit reports to the head office, which had a limited ability to test the veracity of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Liao said that his investigation focussed on determining how the fraud was carried out and the whereabouts of the missing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was Mr. Liao's investigation that produced many of the key documents and records that formed the basis for the forensic accounting review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McParland is a forensic accountant who was retained by counsel for the Bank to investigate the movement of funds between various named defendants, including Kuang and Tan. He prepared a detailed report dated August 27, 2014 that was entered into evidence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focus of Mr. McParland's investigation was to determine whether Kuang and Tan assisted in the fraud perpetrated against the Bank by moving embezzled funds between various bank accounts located in different countries and by acting in concert with other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investigative process involved an extensive review of banking and other records of Tan, Kuang and other named defendants, in particular Xu. It also involved a review of affidavits and other evidence filed in various court actions relating to the fraud, and reliance on an extensive set of assumed facts provided by counsel for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McParland's report contains a detailed description of the purpose and mechanics of money laundering, which he describes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Money laundering is defined by the Association of Certified Fraud Examiners as "the disguising of the existence, nature source, ownership, location, and disposition of property derived from criminal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"cleansing" or "laundering" of money is intended to "legitimize" illicit funds so that they can be used by criminals without any suspicion or recourse by law enforcement or the victims of the criminal activity. While the terms has often been used in the context of the illegal sale of narcotics, it refers to the treatment of funds earned from any illegal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Money laundering is a direct response to illegal activity. Whatever that illegal activity is, whether it is theft, fraud, drug trafficking, or other, there is a necessity to "legitimize" the funds. To this end criminals use a variety of methods and stages to launder funds, some of which are discussed in greater detail below. The most common characteristic is the "washing" of funds through a series of accounts and transactions to make the direct tracing of funds difficult, if not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McParland goes on to identify a number of key indicators of money laundering:</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of large sums of money from small to large denominations;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of large amounts of money to foreign currencies;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movement (transfer) of funds offshore;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bank drafts and other such instruments for no apparent legitimate reason;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of a number of safe deposit boxes;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frequent transfers of money from one account or one country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report, Mr. McParland states his principal findings or opinions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our observations and professional experience, we are of the opinion that all of the "usual indicators" of money laundering...have been identified as present in our review and analysis of the available evidence relative to the defendants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based on our observations and professional experience, we are of the opinion that the transfers of funds among TAN and KUANG and the other defendants named in the Action and proceedings in Hong Kong and the Unites States of America ("USA") as well as other activities in concert with the other defendants...clearly fit within the profile and patterns of money laundering. The transfers of funds involving TAN and KUANG appear to be the movement of illicit funds ultimately embezzled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Bank relies heavily on Mr. McParland's report in support of its claims against both Tan and Kuang. I will deal with the report in greater detail when I consider each of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addition to the evidence of Mr. Liao and Mr. McParland, the Bank relies on the expert reports of Professor Thomas Gold, Professor Andrew Wedeman and Mr. Irwin Schwartz. These reports were tendered in accordance with Rule 11-7(2)(b)(ii)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and none of the authors were required to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Professor Gold is a member of the department of sociology at the University of California, Berkeley with an interest in Asian studies, particularly China. Professor Gold was asked for his opinion on the likely average annual incomes earned by Tan and her husband, Xu Leiming ("Xu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Based on certain factual assumptions and documents provided by counsel for the Bank as well as statistical information that he gathered concerning average Chinese wages, it was Professor Gold's opinion that Tan's average annual earnings for the years 1993-1997 were approximately 11,370 RMB. Professor Gold's analysis actually goes back as far as 1980 but I have only used the final five years of Tan's working life to arrive at the above average as these were apparently her most remunerative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Professor Gold, Xu Sr.'s average annual earnings for the period of 1990-1994 (he died in July of 1994) were approximately 11,761 RMB. Again, while Professor's Gold's analysis goes back further in time, in Xu Sr.'s case to 1976, I have used his final and most remunerative years to arrive at this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Professor Wedeman is a member of the department of political science at Georgia State University and the director of that school's China Studies program. Professor Wedeman has a particular interest in the political economy of corruption in contemporary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Professor Wedeman was also asked to provide an opinion about the likely incomes of Tan and Xu Sr., taking account of any additional income or money that they might have received over and above their normal earnings by way of "red packets." Professor Wedeman was asked to consider possible red packet income because Tan, on her examination for discovery, said that some of the money that she had accumulated came from red packets given to her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report, Professor Wedeman describes red packets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red packet refers to the practice of giving gifts of cash at the time of the two major festivals in China. Cash is placed in a red packet (red for luck), hence the term. The red packet is not a bribe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in that it is not given in expectation that the giver will receive an immediate quid pro-quo benefit from the recipient. Rather it is intended to express gratitude and to build bonds of friendship between individuals or between and individual and an institution. However, accepting cash from red packets does imply accepting an obligation to 'return the favor" in some ways in the future. Giving the red packet also generally implies that the giver is expressing appreciation for past favors.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is generally a function of the rank of the recipient and their ability to "do favors" for the giver in the future. Based on my experience, cash amounts are carefully calculated. Low ranking officials with limited discretionary authority are apt to receive token amounts. Senior officials with considerable discretionary authority and hence the ability to provide the giver with substantial benefits in the future are apt to receive larger sums. But the amount given is generally a fraction of the size of expected benefits. Even in more overtly quid-pro quo bribery and kickback cases, the fraction is often 5 to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Professor Wedeman goes on to examine Tan and Xu Sr.'s employment positions and likely earnings as well as their potential red packet income given their respective positions. It is Professor Wedeman's opinion that combined, Tan and Xu Sr. likely earned approximately 250,000 RMB in total legitimate income between 1954, when Xu Sr. started working, and 1997 when Tan retired, out of which they had to support themselves and their family. On Professor Wedeman's calculation, assuming that Tan and Xu Sr. were able to save 25% of their earnings, or 60,000 RMB, they would have accumulated only about $7,800.00 by 1998 (based on a 1998 exchange rate of RMB 8: CAD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terms of red packet income, it is Professor Wedeman's opinion that it would likely have been no more than their total legitimate earnings or perhaps a modest multiple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is further of the opinion that their total combined red packet income for the same period would have been no more than the same amount or perhaps some modest multiple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Bank relies on the opinions of Professors Gold and Wedeman to make the point that Tan and Xu Sr.'s incomes during their working lives, including any red packet income, cannot account for the amount of money accumulated by Tan that is reflected in the bank accounts reviewed by Mr. McParland.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Schwartz is a lawyer who practices law in Seattle, Washington. He was asked for his opinion on United States law, specifically as it relates to sentencing and the effect of a restitution order. Mr. Schwartz prepared an initial report dated January 31, 2012 in which he addressed the convictions and sentencing decision in the Nevada District Court proceedings. He subsequently prepared a second report dated August 6, 2014 which addresses the Ninth Circuit's appellate decision in </w:t>
      </w:r>
      <w:r>
        <w:rPr>
          <w:rFonts w:ascii="arial" w:eastAsia="arial" w:hAnsi="arial" w:cs="arial"/>
          <w:i/>
          <w:color w:val="000000"/>
          <w:sz w:val="20"/>
          <w:lang w:val="en-US" w:eastAsia="en-US" w:bidi="ar-SA"/>
        </w:rPr>
        <w:t>United States v. Xu (Ninth Circuit Appeal)</w:t>
      </w:r>
      <w:r>
        <w:rPr>
          <w:rFonts w:ascii="arial" w:eastAsia="arial" w:hAnsi="arial" w:cs="arial"/>
          <w:color w:val="000000"/>
          <w:sz w:val="20"/>
          <w:lang w:val="en-US" w:eastAsia="en-US" w:bidi="ar-SA"/>
        </w:rPr>
        <w:t>, filed March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neither party addressed Mr. Schwartz's opinions in any detail in their submissions, I do not propose to review his evidence any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Neither Tan nor Kuang testified at trial and the defendants led no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Instead, they sought to rely on evidence given in the criminal proceeding in the United States District Court, District of Nevada as set out in the Nevada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noted above, the Bank originally applied to have the Nevada transcript entered in evidence at the trial. That application was granted in the evidentiary ruling, along with the Bank's application to admit the foreign judgments. At the hearing that led to the evidentiary ruling, the parties focussed their submissions on the use that could be made of the foreign judgments, in particular, whether findings of fact made in those judgments constituted conclusive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facts in the present proceeding or merely contextual facts. At that hearing, the parties did not make any submissions on the use to be made of the Nevada transcript and that issue is not addressed in the evidentiary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issue however arose squarely at trial. The defendants sought to rely on evidence in the Nevada transcript, including expert opinion evidence, to establish (i) that Xu had significant wealth independent of what he stole from the Bank, and (ii) that a number of the corporate entities used to launder stolen funds, in particular Ever Joint, also had legitimate sources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considering what, if any, use may be made of the Nevada transcript, it is first important to understand what evidence the defendants seek to rely on from the transcript. Essentially, it comprises portions of the trial testimony of three witnesses: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Nancy Miller -- an employee of the Bellagio Hotel in Las Vegas, who testified about money deposited with the Bellagio by Xu and money paid out to Xu;</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 Morris -- a forensic accountant retained by the United States government who testified about his review of various banking and financial records, including the financial statements of Ever Joint;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Cosimo Borrelli -- a forensic accountant retained by the defendants to conduct a similar review of banking and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Mr. Morris and Mr. Borrelli were accepted as expert witnesses in the Nevada trial and both offered opinion evidence based on their respective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Bank's original application to admit the foreign judgments and the Nevada transcript was brought pursuant to Rule 12-5(54) and sections 26(1) and (2)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Rule 12-5(54)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witness is dead, or is unable to attend and testify because of age, infirmity, sickness or imprisonment or is out of the jurisdiction or his or her attendance cannot be secured by subpoena, the court may permit a transcript of any evidence of that witness taken in any proceeding, hearing or inquiry at which the evidence was taken under oath, whether or not involving the same parties, to be put in as evidence, but reasonable notice must be given of the intention to give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Sections 26(1) and (2)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section, </w:t>
      </w:r>
      <w:r>
        <w:rPr>
          <w:rFonts w:ascii="arial" w:eastAsia="arial" w:hAnsi="arial" w:cs="arial"/>
          <w:b/>
          <w:color w:val="000000"/>
          <w:sz w:val="20"/>
          <w:lang w:val="en-US" w:eastAsia="en-US" w:bidi="ar-SA"/>
        </w:rPr>
        <w:t>"evidence of a proceeding or record"</w:t>
      </w:r>
      <w:r>
        <w:rPr>
          <w:rFonts w:ascii="arial" w:eastAsia="arial" w:hAnsi="arial" w:cs="arial"/>
          <w:color w:val="000000"/>
          <w:sz w:val="20"/>
          <w:lang w:val="en-US" w:eastAsia="en-US" w:bidi="ar-SA"/>
        </w:rPr>
        <w:t xml:space="preserve"> refers to evidence of a proceeding or record of, in or before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the United Kingdom,</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or Federal Courts of Canada,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justice or coroner in a province of Canada,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a British Colony or possession,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of record of the United States,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of record of a state of the United States, or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of record of any other foreign country.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a proceeding or record may be given in any action or proceeding in British Columbia by an exemplification or certified copy of it, purporting to be under the seal of the court or under the hand or seal of the justice or coroner, as the case may be, without any proof of the authenticity of the seal or of the signature of the justice or coroner or further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is well established that for evidence in the form of a transcript from another proceeding to be admitted into evidence under either Rule 12-5(54) or sections 26(1) and (2)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it must meet the tests of relevance and admissibility in the present action: </w:t>
      </w:r>
      <w:r>
        <w:rPr>
          <w:rFonts w:ascii="arial" w:eastAsia="arial" w:hAnsi="arial" w:cs="arial"/>
          <w:i/>
          <w:color w:val="000000"/>
          <w:sz w:val="20"/>
          <w:lang w:val="en-US" w:eastAsia="en-US" w:bidi="ar-SA"/>
        </w:rPr>
        <w:t>Laxton v. Coglon,</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2006 BCSC 181</w:t>
        </w:r>
      </w:hyperlink>
      <w:r>
        <w:rPr>
          <w:rFonts w:ascii="arial" w:eastAsia="arial" w:hAnsi="arial" w:cs="arial"/>
          <w:color w:val="000000"/>
          <w:sz w:val="20"/>
          <w:lang w:val="en-US" w:eastAsia="en-US" w:bidi="ar-SA"/>
        </w:rPr>
        <w:t xml:space="preserve"> at para. 41, aff'd </w:t>
      </w:r>
      <w:hyperlink r:id="rId660" w:history="1">
        <w:r>
          <w:rPr>
            <w:rFonts w:ascii="arial" w:eastAsia="arial" w:hAnsi="arial" w:cs="arial"/>
            <w:i/>
            <w:color w:val="0077CC"/>
            <w:sz w:val="20"/>
            <w:u w:val="single"/>
            <w:shd w:val="clear" w:color="auto" w:fill="FFFFFF"/>
            <w:lang w:val="en-US" w:eastAsia="en-US" w:bidi="ar-SA"/>
          </w:rPr>
          <w:t>2006 BCCA 178</w:t>
        </w:r>
      </w:hyperlink>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Laxton</w:t>
      </w:r>
      <w:r>
        <w:rPr>
          <w:rFonts w:ascii="arial" w:eastAsia="arial" w:hAnsi="arial" w:cs="arial"/>
          <w:color w:val="000000"/>
          <w:sz w:val="20"/>
          <w:lang w:val="en-US" w:eastAsia="en-US" w:bidi="ar-SA"/>
        </w:rPr>
        <w:t xml:space="preserve"> dealt only with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the same analysis has been applied to Rule 12-5(54),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 very helpful and thorough analysis of the test for admissibility under Rule 12-5(54) can be found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2013 BCSC 2250</w:t>
        </w:r>
      </w:hyperlink>
      <w:r>
        <w:rPr>
          <w:rFonts w:ascii="arial" w:eastAsia="arial" w:hAnsi="arial" w:cs="arial"/>
          <w:color w:val="000000"/>
          <w:sz w:val="20"/>
          <w:lang w:val="en-US" w:eastAsia="en-US" w:bidi="ar-SA"/>
        </w:rPr>
        <w:t xml:space="preserve"> where the plaintiff sought to introduce transcripts into evidence at trial in B.C. The disputed transcripts were of pre-trial depositions and of trial testimony from U.S. proceedings involving similar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Madam Justice Gropper succinctly summarized the plaintiff's position in support of admitting the transcripts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plaintiff asserts that the U.S. transcripts are admissible in accordance with Rule 12-5(54). She argues that the Rule is more expansive than in other provinces. It provides an exception to the hearsay rule, that is, that the evidence is presumptively admissible if it meets the criteria. Necessity where the witness is out of the jurisdiction and his/her attendance cannot be secured by subpoena. Reliability is established if the transcript is of evidence of that witness [that] was taken under oath, whether or not involving the same parties. Relevance is established in relation to the pleadings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Madam Justice Gropper rejected the plaintiff's position that Rule 12-5(54) creates a presumption that transcripts are necessary, reliable and admissible. In reaching this conclusion, Madam Justice Gropper reviewed Rule 40(4), the predecessor to Rule 12-5(54), and the related case law and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reject the plaintiff's position that Rule12-5(54) creates a presumption of admissibility of the U.S. transcripts and provides the basis for a necessity and reliability is not supportable.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Alberni Chrysler Ltd. v. Sester</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2005 BCSC 943</w:t>
        </w:r>
      </w:hyperlink>
      <w:r>
        <w:rPr>
          <w:rFonts w:ascii="arial" w:eastAsia="arial" w:hAnsi="arial" w:cs="arial"/>
          <w:color w:val="000000"/>
          <w:sz w:val="20"/>
          <w:lang w:val="en-US" w:eastAsia="en-US" w:bidi="ar-SA"/>
        </w:rPr>
        <w:t>, Mr. Justice Taylor considered Rule 40, the predecessor Rule and its interplay with the principled approach to the admissibility of hearsay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He began by quoting the Rule at para. 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40(4) provides as follows: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witness is dead, or is unable to attend and testify because of age, infirmity, sickness or imprisonment or is out of the jurisdiction or his or her attendance cannot be secured by subpoena, the court may permit a transcript of any evidence of that witness taken in any proceeding, hearing or inquiry at which the evidence was taken under oath, whether or not involving the same parties to be put in as evidence, but reasonable notice shall be given of the intention to give that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He discussed the rule and its application to the admissibility of hearsay evidence at paras. 17 and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Rule 40(4) was a rule that was in existence prior to the development of the principled approach to the admissibility of hearsay evidence enunciated by the Supreme Court of Canada in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In my view, regardless of how the provisions of Rule 40(4) may be interpreted as applying to the examination for discovery evidence and the affidavit of a party, the question of admissibility is now governed by those general principles with respect to the admission of hearsay evidence, that is necessity and reliability...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Mr. Justice Goepel considered Rule 40(4) in the context of a class action in </w:t>
      </w:r>
      <w:r>
        <w:rPr>
          <w:rFonts w:ascii="arial" w:eastAsia="arial" w:hAnsi="arial" w:cs="arial"/>
          <w:i/>
          <w:color w:val="000000"/>
          <w:sz w:val="20"/>
          <w:lang w:val="en-US" w:eastAsia="en-US" w:bidi="ar-SA"/>
        </w:rPr>
        <w:t>Beazley v. Suzuki Motor Corporation</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2009 BCSC 1575</w:t>
        </w:r>
      </w:hyperlink>
      <w:r>
        <w:rPr>
          <w:rFonts w:ascii="arial" w:eastAsia="arial" w:hAnsi="arial" w:cs="arial"/>
          <w:color w:val="000000"/>
          <w:sz w:val="20"/>
          <w:lang w:val="en-US" w:eastAsia="en-US" w:bidi="ar-SA"/>
        </w:rPr>
        <w:t>. There were two witnesses who were residents of the United States and were therefore not subject to the court's subpoena power and the plaintiffs could not compel them to give evidence at trial. In respect of the Rule, Goepel J. stated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is discretionary in nature. If the witness cannot attend for one of the stated reasons the court may, not must, allow a transcript of prior testimony to be put into evidence, subject only to the requirement of prior notice. In determining whether or not to allow the evidence to be admitted, the court must consider matters of trial fairness and potential prejudice to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Goepel J. noted that both of those individuals had been examined by discovery by the plaintiff with the intent that the evidence would be read in at trial. One of the witnesses could have been called as an adverse witness. There was no prejudice to the defendants if the evidence was admitted.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plaintiffs in </w:t>
      </w:r>
      <w:r>
        <w:rPr>
          <w:rFonts w:ascii="arial" w:eastAsia="arial" w:hAnsi="arial" w:cs="arial"/>
          <w:i/>
          <w:color w:val="000000"/>
          <w:sz w:val="20"/>
          <w:lang w:val="en-US" w:eastAsia="en-US" w:bidi="ar-SA"/>
        </w:rPr>
        <w:t>Beazley</w:t>
      </w:r>
      <w:r>
        <w:rPr>
          <w:rFonts w:ascii="arial" w:eastAsia="arial" w:hAnsi="arial" w:cs="arial"/>
          <w:color w:val="000000"/>
          <w:sz w:val="20"/>
          <w:lang w:val="en-US" w:eastAsia="en-US" w:bidi="ar-SA"/>
        </w:rPr>
        <w:t xml:space="preserve"> also sought to put in evidence parts of transcripts which assisted their case. Goepel J. allowed that, subject to the defendants right to request that other parts of the discovery that were reasonably connected to those portions also be introduced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Madam Justice Gropper then summarized the correct approach to determining the admissibility of hearsay evidence in the form of transcripts from other proceedings. Such evidence must be reviewed on a case-by-case basis according to necessity and reliability, the guiding principles for the admissibility of hearsay: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order to be admissible, the hearsay evidence must be admitted on a case by case basis according to the principles of necessity and reliability. These are the guiding principles for the admissibility of hearsay: </w:t>
      </w:r>
      <w:r>
        <w:rPr>
          <w:rFonts w:ascii="arial" w:eastAsia="arial" w:hAnsi="arial" w:cs="arial"/>
          <w:i/>
          <w:color w:val="000000"/>
          <w:sz w:val="20"/>
          <w:lang w:val="en-US" w:eastAsia="en-US" w:bidi="ar-SA"/>
        </w:rPr>
        <w:t>R. v. Hawkins</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[1996] 3 S.C.R. 1043</w:t>
        </w:r>
      </w:hyperlink>
      <w:r>
        <w:rPr>
          <w:rFonts w:ascii="arial" w:eastAsia="arial" w:hAnsi="arial" w:cs="arial"/>
          <w:color w:val="000000"/>
          <w:sz w:val="20"/>
          <w:lang w:val="en-US" w:eastAsia="en-US" w:bidi="ar-SA"/>
        </w:rPr>
        <w:t xml:space="preserve"> at para.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[37]The necessity requirement is satisfied where it is "reasonably necessary" to present the hearsay evidence in order to obtain the declarant's version of [events]. The declarant must be unavailable to testify at trial and the party seeking admission of the hearsay statement must establish on a balance of probabilities that it is unable to obtain the evidence of similar quality from another source: </w:t>
      </w:r>
      <w:r>
        <w:rPr>
          <w:rFonts w:ascii="arial" w:eastAsia="arial" w:hAnsi="arial" w:cs="arial"/>
          <w:i/>
          <w:color w:val="000000"/>
          <w:sz w:val="20"/>
          <w:lang w:val="en-US" w:eastAsia="en-US" w:bidi="ar-SA"/>
        </w:rPr>
        <w:t>Hawkins</w:t>
      </w:r>
      <w:r>
        <w:rPr>
          <w:rFonts w:ascii="arial" w:eastAsia="arial" w:hAnsi="arial" w:cs="arial"/>
          <w:color w:val="000000"/>
          <w:sz w:val="20"/>
          <w:lang w:val="en-US" w:eastAsia="en-US" w:bidi="ar-SA"/>
        </w:rPr>
        <w:t xml:space="preserve">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respect of reliability, the test is "threshold reliability". The particular hearsay statement must demonstrate sufficient indicia of reliability in order that the trier of fact has a sub satisfactory basis for a evaluating the truth of the statement: </w:t>
      </w:r>
      <w:r>
        <w:rPr>
          <w:rFonts w:ascii="arial" w:eastAsia="arial" w:hAnsi="arial" w:cs="arial"/>
          <w:i/>
          <w:color w:val="000000"/>
          <w:sz w:val="20"/>
          <w:lang w:val="en-US" w:eastAsia="en-US" w:bidi="ar-SA"/>
        </w:rPr>
        <w:t>Hawkins</w:t>
      </w:r>
      <w:r>
        <w:rPr>
          <w:rFonts w:ascii="arial" w:eastAsia="arial" w:hAnsi="arial" w:cs="arial"/>
          <w:color w:val="000000"/>
          <w:sz w:val="20"/>
          <w:lang w:val="en-US" w:eastAsia="en-US" w:bidi="ar-SA"/>
        </w:rPr>
        <w:t xml:space="preserve"> at paras 74-75.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went on to find that the plaintiff had not established the necessity of admitting the transcripts because there was no evidence that she had sought to contact the U.S. witnesses or that the evidence could not be obtained by other means (at para. 38). She held further that the reliability of the transcript evidence was doubtful given that the U.S. proceedings involved different parties than those before her and the issues in the Canadian proceedings were not identical to the U.S. proceedings that generated the transcripts (at paras. 40-41). In the result, Madam Justice Gropper dismissed the plaintiff's application to admit the transcripts with leave to reapply if she could satisfy the necessity and reliability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present case, the defendants offered no evidence of any attempts to contact the witnesses on whose transcript evidence they seek to rely nor did they offer any explanation as to why those witnesses were not available to testify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They advanced an argument similar to that of the plaintiff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and asserted that the transcripts were presumptively admissible because each of the witnesses is out of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most cases, as noted by Madam Justice Gropper, the mere fact that a witness is out of the jurisdiction will be insufficient to satisfy the necessity requirement by itself. The party seeking to introduce hearsay transcript evidence must demonstrate that the declarant is unavailable to testify at trial and that the party cannot acquire evidence of a similar quality from another source: </w:t>
      </w:r>
      <w:r>
        <w:rPr>
          <w:rFonts w:ascii="arial" w:eastAsia="arial" w:hAnsi="arial" w:cs="arial"/>
          <w:i/>
          <w:color w:val="000000"/>
          <w:sz w:val="20"/>
          <w:lang w:val="en-US" w:eastAsia="en-US" w:bidi="ar-SA"/>
        </w:rPr>
        <w:t>R. v. Hawkins</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[1996] 3 SCR 1043</w:t>
        </w:r>
      </w:hyperlink>
      <w:r>
        <w:rPr>
          <w:rFonts w:ascii="arial" w:eastAsia="arial" w:hAnsi="arial" w:cs="arial"/>
          <w:color w:val="000000"/>
          <w:sz w:val="20"/>
          <w:lang w:val="en-US" w:eastAsia="en-US" w:bidi="ar-SA"/>
        </w:rPr>
        <w:t xml:space="preserve"> at para. 71. Both of these elements must be proven, not merely that the declarant cannot testify at trial. To prove that similar evidence cannot be acquired, the party seeking to tender the hearsay evidence must demonstrate more than mere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in this case I would not reject the transcript evidence on the basis that it is not necessary, given that it was the Bank which initially sought to admit the transcripts. Further, in light of the Bank's application and my decision in the evidentiary ruling, the issue here is not so much one of admissibility but rather of the use that can be made of the evidence and the weight to be placed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testimony of Ms. Miller, her evidence is factual in nature, given under oath and appears to relate to matters within her personal knowledge. As such it meets the reliability test and is properly admissible. However, in the circumstances of this case her evidence is of little weight. Ms. Miller's evidence indicates that Xu paid money to and received money from Las Vegas casinos in connection with gambling activities that cannot be traced directly to money stolen from the Bank. Even if I were to accept that evidence as fact, that would not establish that Xu had independent or legitimate sources of wealth wholly unrelated to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of Mr. Morris and Mr. Borrrelli is more problematic given that, again, they testified as experts in the Nevada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Bank objects to their evidence on four grounds:</w:t>
      </w:r>
      <w:r>
        <w:rPr>
          <w:rFonts w:ascii="arial" w:eastAsia="arial" w:hAnsi="arial" w:cs="arial"/>
          <w:sz w:val="20"/>
          <w:lang w:val="en-US" w:eastAsia="en-US" w:bidi="ar-SA"/>
        </w:rPr>
        <w:cr/>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irrelevant because there was no evidence from either Kuang or Tan that they believed Xu to have other sources of money.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attempting to relitigate issues that were decided in the Nevada proceeding which is an abuse of process. The Bank submits that this evidence, which was before the court in Nevada, did not prevent the jury from convicting Xu and Kuang on all charges.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transcripts is an impermissible attempt to circumvent the rules governing expert opinion evidence and that the attempt to rely on this evidence amounts to trial by ambush.</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unreliable in that it is based on documents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counter by again stating that it was the Bank that sought admission of the transcripts. Accordingly, they argue that the Bank cannot fairly argue that it was caught off guard or that it did not know the contents of Mr. Morris' and Mr. Borelli's evidence. Further, the defendants submit that the evidence is directly relevant to the issue of whether money in the possession of Kuang and Tan can be traced back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agree with the Bank that the attempt to rely on the opinion evidence of Mr. Morris and Mr. Borrelli constitutes an impermissible circumvention of the rules governing expert evidence in trials in B.C., in particular Rule 11-7(1)(a) which states:</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opinion evidence of an expert, other than an expert appointed by the court under Rule 11-5, must not be tendered at trial unless</w:t>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evidence is included in a report of that expert that has been prepared and served in accordance with Rule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submit, as is apparent from the opening words of Rule 11-7(1), that the court has the discretion to admit expert evidence that does not otherwise comply with the requirements of the Rules. If this was simply a matter of late notice on the part of the defendants, I might have been inclined to exercise that discretion given that the Bank has had the transcripts for some time and cannot be said to have been taken by surprise by their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the Bank's objections go beyond mere timing or notice. Rather, they say that a number of the substantive requirements for admissible expert evidence are lacking. I agree. For example:</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11-7(1)(a) stipulates that for expert opinion evidence to be admitted at trial, it must be included in a report prepared in accordance with Rule 11-6. The defendants did not submit expert reports prepared by either Mr. Morris or Mr. Borrelli.</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11-6, which deals with expert reports, requires that experts identify the factual assumptions on which their opinions are based: Rule 11-6(1)(f). Neither witness does so in his testimony.</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troublesome in my view is the fact that both Mr. Morris and Mr. Borrelli base their opinions on their review of documents that are not in evidence in this proceeding. This renders it virtually impossible for the court to assess the validity of their evidence. Put another way, the evidence of both Mr. Morris and Mr. Borrelli is based entirely on hearsay evidence of unproven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Court of Appeal summarized the correct approach for dealing with opinion evidence of this type in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When deciding what weight to place on expert evidence, the trier of fact must assess the extent to which the expert relied on hearsay evidence and factual assumptions, and the reliability of those hearsay statements and assumptions. Madam Justice Garson for the Court summarized this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From these authorities, I would summarize the law on this question as to the admissibility of expert reports containing hearsay evidence as follows: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expert witness may rely on a variety of sources and resources in opining on the question posed to him. These may include his own intellectual resources, observations or tests, as well as his review of other experts' observations and opinions, research and treatises, information from others - this list is not exhaustive. (See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at 834-835)</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may rely on hearsay. One common example in a personal injury context would be the observations of a radiologist contained in an x-ray report. Another physician may consider it unnecessary to view the actual x-ray himself, preferring to rely on the radiologist's report.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weight the trier of fact ultimately places on the opinion of the expert may depend on the degree to which the underlying assumptions have been proven by other admissible evidence. The weight of the expert opinion may also depend on the reliability of the hearsay, where that hearsay is not proven by other admissible evidence. Where the hearsay evidence (such as the opinion of other physicians) is an accepted means of decision making within that expert's expertise, the hearsay may have greater reliability.</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 judicial response to the question of the admissibility of hearsay evidence in an expert opinion is not to withdraw the evidence from the trier of fact unless, of course, there are some other factors at play such that it will be prejudicial to one party, but rather to address the weight of the opinion and the reliability of the hearsay in an appropriate self-instruction or instruction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Again, the transcript evidence of Mr. Morris and Mr. Borrrelli does not outline all of their factual assumptions. Further, the material that these experts relied on was not submitted into evidence. As indicated by the Court of Appeal in </w:t>
      </w:r>
      <w:r>
        <w:rPr>
          <w:rFonts w:ascii="arial" w:eastAsia="arial" w:hAnsi="arial" w:cs="arial"/>
          <w:i/>
          <w:color w:val="000000"/>
          <w:sz w:val="20"/>
          <w:lang w:val="en-US" w:eastAsia="en-US" w:bidi="ar-SA"/>
        </w:rPr>
        <w:t>Mazur,</w:t>
      </w:r>
      <w:r>
        <w:rPr>
          <w:rFonts w:ascii="arial" w:eastAsia="arial" w:hAnsi="arial" w:cs="arial"/>
          <w:color w:val="000000"/>
          <w:sz w:val="20"/>
          <w:lang w:val="en-US" w:eastAsia="en-US" w:bidi="ar-SA"/>
        </w:rPr>
        <w:t xml:space="preserve"> this significantly restricts the court's ability to assess their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ability to assess evidence is essential to the principled approach to admitting hearsay evidence. As noted by the Supreme Court of Canada in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the underlying rationale for the general exclusion of hearsay evidence is the difficulty of testing and assessing hearsay statements (at para. 41). Accordingly, the requirement of threshold reliability requires that disputed hearsay statements can either be tested and assessed by the trier of fact, or that there is sufficient evidence of truth that testing those statements in court would add little or nothing to the trial process. This was summarized by the Court at para. 49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criterion of reliability is about ensuring the integrity of the trial process. The evidence, although needed, is not admissible unless it is sufficiently reliable to overcome the dangers arising from the difficulty of testing it. As we shall see, the reliability requirement will generally be met on the basis of two different grounds, neither of which excludes consideration of the other. In some cases, because of the circumstances in which it came about, the contents of the hearsay statement may be so reliable that contemporaneous cross-examination of the declarant would add little if anything to the process. In other cases, the evidence may not be so cogent but the circumstances will allow for sufficient testing of evidence by means other than contemporaneous cross-examination. In these circumstances, the admission of the evidence will rarely undermine trial fairness.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problem is well illustrated in evidence given by Mr. Borrelli during his direct examination in the Nevada trial. At one point he testified about a memo prepared by a banker concerning Xu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Chung has stated: "XCF"-the initials of Mr. Xu Chao Fan--"made his fortune in the late eighties by investing in residential and commercial properties, FX trading, and investment in Hong Kong stocks and IPO. The Hong Kong China trade business boom also created various opportunities for XCF to build up his wealth. Estimated net worth over USD $30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apparent from this passage that Mr. Borrelli is basing his opinion about Xu's alleged independent wealth on a memo prepared by a banker who did not testify. Neither the memo nor any of the documents that the banker Ms. Chung may have reviewed to form her opinion are in evidence in this Canadian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are similar flaws in the evidence of Mr. Morris and Mr. Borrelli concerning the business of Ever Joint. Both base their opinions about possible legitimate business activities of the company on their review of banking and financial records not in evidence before me. Absent proof of the underlying facts, the opinions of the two witnesses are of little or no use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These flaws are not merely issues of process or form but rather strike at the heart of what constitutes admissible expert opinion evidence. Expert witnesses occupy a unique and somewhat privileged position in that, unlike lay witnesses, they are permitted to offer opinions on matters that are beyond the knowledge or experience of ordinary people. The central purpose of admitting such evidence is to assist the court in understanding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order to accept the proffered opinion as reliable, the court, and indeed all of the parties, must be able to understand the analysis that led to the formation of the opinion and to test its foundation. That is the rationale for the various requirements set out in Rule 11-6(1) and why expert evidence will typically be rejected where those requirements have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Since the opinion evidence of Mr. Morris and Mr. Borrelli cannot be sufficiently tested, it does not have sufficient threshold reliability to be admitted under the principled exception to the exclusion of hearsay evidence. Thus, while the Nevada transcript was admitted into evidence generally under the evidentiary ruling, I reject the opinion evidence of Mr. Morris and Mr. Borrelli that is contained in the transcript. Their evidence does not comply with the formal requirements as set out in Rules 11-6 and 11-7, more fundamentally, for the reasons described, the evidence does not satisfy the essential requirement of reliability, which is necessary to admit such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Even if the opinion evidence in the Nevada transcripts had been admissible, I would not have given this evidence any weight. As noted above, in </w:t>
      </w:r>
      <w:r>
        <w:rPr>
          <w:rFonts w:ascii="arial" w:eastAsia="arial" w:hAnsi="arial" w:cs="arial"/>
          <w:i/>
          <w:color w:val="000000"/>
          <w:sz w:val="20"/>
          <w:lang w:val="en-US" w:eastAsia="en-US" w:bidi="ar-SA"/>
        </w:rPr>
        <w:t>Mazur</w:t>
      </w:r>
      <w:r>
        <w:rPr>
          <w:rFonts w:ascii="arial" w:eastAsia="arial" w:hAnsi="arial" w:cs="arial"/>
          <w:color w:val="000000"/>
          <w:sz w:val="20"/>
          <w:lang w:val="en-US" w:eastAsia="en-US" w:bidi="ar-SA"/>
        </w:rPr>
        <w:t xml:space="preserve"> the Court of Appeal indicated that the weight that is given to expert evidence may depend on the degree to which the expert's underlying assumptions are proven, and the degree to which an expert relied on unproven hearsay evidence (at para. 40). In the circumstances of this case, it is impossible to assess the underlying assumptions, sources, or processes of these experts. Accordingly, no weight can be given to such unreliable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Kuang liable for knowing assistance?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Tan liable for knowing assistance?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Tan liable for knowing receipt?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remedies are available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Framework: Knowing Assistance and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 real dispute between the parties about the 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Knowing assistance and knowing receipt are equitable claims that date back to the decision of Selborne L.C. in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xml:space="preserve"> (1874) L.R. 9 Ch. A. 244 at 251-252, cited, amongst other places, in </w:t>
      </w:r>
      <w:r>
        <w:rPr>
          <w:rFonts w:ascii="arial" w:eastAsia="arial" w:hAnsi="arial" w:cs="arial"/>
          <w:i/>
          <w:color w:val="000000"/>
          <w:sz w:val="20"/>
          <w:lang w:val="en-US" w:eastAsia="en-US" w:bidi="ar-SA"/>
        </w:rPr>
        <w:t>Royal Brunei Airlines Sdn Bhd v. Tan (P.C.),</w:t>
      </w:r>
      <w:r>
        <w:rPr>
          <w:rFonts w:ascii="arial" w:eastAsia="arial" w:hAnsi="arial" w:cs="arial"/>
          <w:color w:val="000000"/>
          <w:sz w:val="20"/>
          <w:lang w:val="en-US" w:eastAsia="en-US" w:bidi="ar-SA"/>
        </w:rPr>
        <w:t xml:space="preserve"> [1995] 2 A.C. 378 at 382 [</w:t>
      </w:r>
      <w:r>
        <w:rPr>
          <w:rFonts w:ascii="arial" w:eastAsia="arial" w:hAnsi="arial" w:cs="arial"/>
          <w:i/>
          <w:color w:val="000000"/>
          <w:sz w:val="20"/>
          <w:lang w:val="en-US" w:eastAsia="en-US" w:bidi="ar-SA"/>
        </w:rPr>
        <w:t>Royal Brunei Airlines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responsibility of a trustee] may no doubt be extended in equity to others who are not properly trustees, if they are found...actually participating in any fraudulent conduct of the trustee to the injury of the </w:t>
      </w:r>
      <w:r>
        <w:rPr>
          <w:rFonts w:ascii="arial" w:eastAsia="arial" w:hAnsi="arial" w:cs="arial"/>
          <w:i/>
          <w:color w:val="000000"/>
          <w:sz w:val="20"/>
          <w:lang w:val="en-US" w:eastAsia="en-US" w:bidi="ar-SA"/>
        </w:rPr>
        <w:t>cestui que trust</w:t>
      </w:r>
      <w:r>
        <w:rPr>
          <w:rFonts w:ascii="arial" w:eastAsia="arial" w:hAnsi="arial" w:cs="arial"/>
          <w:color w:val="000000"/>
          <w:sz w:val="20"/>
          <w:lang w:val="en-US" w:eastAsia="en-US" w:bidi="ar-SA"/>
        </w:rPr>
        <w:t>. But...strangers are not to be made constructive trustees merely because they act as the agents of trustees in transactions within their legal powers, transactions, perhaps of which a court of equity may disapprove, unless those agents receive and become chargeable with some part of the trust property, or unless they assist with knowledge in a dishonest and fraudulent design on the part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Building on Selborne L.C.'s comments, Nicholls L.J. in </w:t>
      </w:r>
      <w:r>
        <w:rPr>
          <w:rFonts w:ascii="arial" w:eastAsia="arial" w:hAnsi="arial" w:cs="arial"/>
          <w:i/>
          <w:color w:val="000000"/>
          <w:sz w:val="20"/>
          <w:lang w:val="en-US" w:eastAsia="en-US" w:bidi="ar-SA"/>
        </w:rPr>
        <w:t>Royal Brunei Airlines</w:t>
      </w:r>
      <w:r>
        <w:rPr>
          <w:rFonts w:ascii="arial" w:eastAsia="arial" w:hAnsi="arial" w:cs="arial"/>
          <w:color w:val="000000"/>
          <w:sz w:val="20"/>
          <w:lang w:val="en-US" w:eastAsia="en-US" w:bidi="ar-SA"/>
        </w:rPr>
        <w:t xml:space="preserve"> went on to say at 382: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conventional shorthand, the first of these two circumstances in which third parties (non-trustees) may become liable to account in equity is "knowing receipt," as distinct from the second, where liability arises from "knowing assistance." Stated even more shortly, the first limb of Lord Selborne L.C.'s formulation is concerned with the liability of a person as a </w:t>
      </w:r>
      <w:r>
        <w:rPr>
          <w:rFonts w:ascii="arial" w:eastAsia="arial" w:hAnsi="arial" w:cs="arial"/>
          <w:i/>
          <w:color w:val="000000"/>
          <w:sz w:val="20"/>
          <w:lang w:val="en-US" w:eastAsia="en-US" w:bidi="ar-SA"/>
        </w:rPr>
        <w:t>recipient</w:t>
      </w:r>
      <w:r>
        <w:rPr>
          <w:rFonts w:ascii="arial" w:eastAsia="arial" w:hAnsi="arial" w:cs="arial"/>
          <w:color w:val="000000"/>
          <w:sz w:val="20"/>
          <w:lang w:val="en-US" w:eastAsia="en-US" w:bidi="ar-SA"/>
        </w:rPr>
        <w:t xml:space="preserve"> of trust property or its traceable proceeds. The second limb is concerned with what, for want of a better compendious description, can be called the liability of an </w:t>
      </w:r>
      <w:r>
        <w:rPr>
          <w:rFonts w:ascii="arial" w:eastAsia="arial" w:hAnsi="arial" w:cs="arial"/>
          <w:i/>
          <w:color w:val="000000"/>
          <w:sz w:val="20"/>
          <w:lang w:val="en-US" w:eastAsia="en-US" w:bidi="ar-SA"/>
        </w:rPr>
        <w:t>accessory</w:t>
      </w:r>
      <w:r>
        <w:rPr>
          <w:rFonts w:ascii="arial" w:eastAsia="arial" w:hAnsi="arial" w:cs="arial"/>
          <w:color w:val="000000"/>
          <w:sz w:val="20"/>
          <w:lang w:val="en-US" w:eastAsia="en-US" w:bidi="ar-SA"/>
        </w:rPr>
        <w:t xml:space="preserve"> to a trustee's breach of trust. Liability as an accessory is not dependent upon receipt of trust property. It arises even though no trust property has reached the hands of the accessory. It is a form of secondary liability in the sense that it only arises where there has been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Both knowing assistance and knowing receipt are recognized in Canada. For example, in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Iacobucci J., after citing Selborne L.C. in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xml:space="preserve"> said at 810: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there were traditionally therefore two ways in which a stranger to the trust could be held personally liable to the beneficiaries as a participant in a breach of trust: as one in receipt and chargeable with trust property and as one who knowingly assisted in a dishonest and fraudulent design on the part of the trustees. The former category of constructive trusteeship has been termed "knowing receipt" or "knowing receipt and dealing", while the latter category has been termed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involved directors and shareholders of a travel agency which received the proceeds from the sale of Air Canada tickets and which were intended to be held in trust for the airline pending an accounting. However, the travel agency deposited the ticket funds directly into its operating account. Funds in the agency's operating account were seized by the agency's bank in connection with a defaulted loan and Air Canada then sued the directors personally for the amounts owed on the sale of the tickets.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Iacobucci J. held that knowing receipt had no application on the facts given that the directors did not receive the trust funds in their personal capacity (at 810-811). He then considered whether the directors were liable for knowing assistance on the basis that they assisted with knowledge in the dishonest or fraudulent actions of the trustee, which in that case was the diversion of the trust funds by the agency into its operating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Dealing first with the requisite degree of knowledge, Iacobucci J. held that actual knowledge was required, although recklessness or wilful blindness will suffice (at 811-812). Constructive knowledge however is insufficient. Iacobucci J. cites a number of authorities that establish that while receipt of a benefit from a breach of trust may ground an inference that the stranger to the trust knew of the breach, the receipt of a benefit is neither a sufficient nor a necessary condition for the drawing of such an inference (at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Iacobucci J. then canvassed two divergent lines of authority considering the nature of the underlying breach of trust and the issue of whether proof of fraud and dishonesty is required. He adopted what might be termed a hybrid approach or one that, as he said, is consistent with both lines of authority (at 618):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"take as a relevant description of fraud 'the taking of a risk to the prejudice of another's rights, which risk is known to be one which there is no right to take'." In my opinion, this standard best accords with the basic rationale for the imposition of personal liability on a stranger to a trust...namely, whether the stranger's conscience is sufficiently affected to justify the imposition of personal liability. In that respect, the taking of a knowingly wrongful risk resulting in prejudice to the beneficiary is sufficient to ground personal liability.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Iacobbucci J. reviewed the law of knowing assistance again in </w:t>
      </w:r>
      <w:r>
        <w:rPr>
          <w:rFonts w:ascii="arial" w:eastAsia="arial" w:hAnsi="arial" w:cs="arial"/>
          <w:i/>
          <w:color w:val="000000"/>
          <w:sz w:val="20"/>
          <w:lang w:val="en-US" w:eastAsia="en-US" w:bidi="ar-SA"/>
        </w:rPr>
        <w:t>Gold v. Rosenberg</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[1997] 3 S.C.R. 767</w:t>
        </w:r>
      </w:hyperlink>
      <w:r>
        <w:rPr>
          <w:rFonts w:ascii="arial" w:eastAsia="arial" w:hAnsi="arial" w:cs="arial"/>
          <w:color w:val="000000"/>
          <w:sz w:val="20"/>
          <w:lang w:val="en-US" w:eastAsia="en-US" w:bidi="ar-SA"/>
        </w:rPr>
        <w:t xml:space="preserve"> and he summarized the essential elements that must be established by a plaintiff seeking to recover damages, (at para. 34, in dissent but not on this point):</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trust;</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named trustee perpetrated a dishonest and fraudulent breach of trust;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participated in and had actual knowledge of the trustee's dishonest and fraudulent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However, for a claim of knowing assistance the plaintiff does not need to prove that the defendant personally received trust property. This is because liability "arises even though no trust property has reached the hands of the accessory": </w:t>
      </w:r>
      <w:r>
        <w:rPr>
          <w:rFonts w:ascii="arial" w:eastAsia="arial" w:hAnsi="arial" w:cs="arial"/>
          <w:i/>
          <w:color w:val="000000"/>
          <w:sz w:val="20"/>
          <w:lang w:val="en-US" w:eastAsia="en-US" w:bidi="ar-SA"/>
        </w:rPr>
        <w:t>Royal Brunei Airlines</w:t>
      </w:r>
      <w:r>
        <w:rPr>
          <w:rFonts w:ascii="arial" w:eastAsia="arial" w:hAnsi="arial" w:cs="arial"/>
          <w:color w:val="000000"/>
          <w:sz w:val="20"/>
          <w:lang w:val="en-US" w:eastAsia="en-US" w:bidi="ar-SA"/>
        </w:rPr>
        <w:t xml:space="preserve"> at 382.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Knowing receipt serves as a different but complimentary cause of action to knowing assistance. Knowing assistance applies where a defendant has assisted a trustee to fraudulently breach a trust. In contrast, knowing receipt applies where the defendant has received property in breach of a trust and they failed to make reasonable inquiries despite suspicious circumstances. The basis for a claim in knowing receipt was summarized by LaForest J. in </w:t>
      </w:r>
      <w:r>
        <w:rPr>
          <w:rFonts w:ascii="arial" w:eastAsia="arial" w:hAnsi="arial" w:cs="arial"/>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xml:space="preserve">], a companion case to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at para. 49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"knowing receipt" cases, relief flows from the breach of a legally recognized duty of inquiry. More specifically, relief will be granted where a stranger to the trust, having received trust property for his or her own benefit and having knowledge of facts which would put a reasonable person on inquiry, actually fails to inquire as to the possible misapplication of trust property. It is this lack of inquiry that renders the recipient's enrichment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Iacobucci J. provided a summary of the requisite elements that must be proven by a plaintiff seeking to recover damages for knowing receipt (at para. 53):</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in issue was subject to a trust in favour of the plaintiff;</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which the defendant received was taken from the plaintiff in breach of trust; and</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take the property as a bona fide purchaser for value without notice. The defendant will be taken to have notice if the circumstances were such as to put a reasonable person on inquiry, and the defendant made none, or if the defendant was put off by an answer which would not have satisfied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Elsewhere in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Iacobucci J. provided succinctly described the essence of knowing receipt as follows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the cause of action in knowing receipt arises simply because the defendant has improperly received property which belongs to the plaintiff. The plaintiff's claim amounts to nothing more than, "You unjustly have my property. Give it back." Unlike knowing assistance, there is no finding of fault, no legal wrong done by the defendant and no claim for damages. It is, at base, simply a question of who has a better claim to the disputed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respect to the requirement that the defendant actually receive trust property, Iacobucci J. noted that mere possession by the defendant is not sufficient. Rather, in order to ground liability, the defendant must have received the property in his or her own right or for his or her own benefit, as distinct from, for example, as an agent for a third party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terms of the requisite degree of knowledge, in contrast to knowing assistance, a knowing receipt claim does not require proof of actual knowledge. Rather, the plaintiff must prove only that the defendant received the trust property in circumstances that would have alerted a reasonable person to the possibility of a breach of trust: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xml:space="preserve"> at paras. 48-49. In this sense, knowing receipt imposes a stricter standard on strangers to a trust who receive trust property than on those who assist in a breach of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such a case [of knowing receipt], the conflict between the beneficiary and the stranger is at its most acute, because the court has in effect to determine which of them has the better title to the trust property. The winner takes all and the loser is left with a claim against the trustee that is likely to be worthless. Because the beneficiary stands to lose outright his beneficial interest, equity is at her most demanding, and insists upon compliance with her most exacting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(Harpum, Charles, "The Stranger as Constructive Trustee" (1986), 102 L.Q.R. 114 at 126, cited in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rationale for the different degree of knowledge for knowing receipt claims was explained in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when a defendant is the only person who stands to gain from a transaction, more should be expected of her than if she gained nothing (at paras. 48,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Against Kuang for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set out above, in order to establish Kuang's liability for knowing assistance, the Bank must prove that she had knowledge of, and knowingly participated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Bank relies largely on Kuang's conviction in the Nevada proceeding, as confirmed by the Ninth Circuit, to establish the requisite elements of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submits that the fact of the underlying fraud or breach of trust has been conclusively proven, as recognized in the evidentiary ruling (see paragraph 21 above). It submits further that Kuang's knowledge of the fraud as well as her participation in the fraud has also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Bank relies in particular on Kuang's conviction for counts 1, 2 and 3 in the Nevada proceeding. Again, these convictions were for knowingly and intentionally conspiring to conduct and participate in the conduct of the affairs of an enterprise engaged in interstate and foreign commerce through a pattern of racketeering activity (count 1); knowingly engaging in monetary transfers of criminally derived property through financial institutions, such property having been derived by fraud (count 2); and knowingly and willingly conspiring to transport, transmit and transfer securities and money, knowing those assets to have been stolen, converted and taken by fraud (count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addition, the Bank relies on the findings made by the trial judge during sentencing in the Nevada proceeding. The trial judge found that Kuang "knowingly benefited from the proceeds derived from the fraud against the Bank". That judge also found that Kuang "assisted in the concealment and laundering in the United States of proceeds derived from the underlying fraud". While the Ninth Circuit subsequently set aside the original sentencing decision, as noted, on resentencing the District Court reinstituted the same sentences and confirmed its earlier reasons, albeit with a reduced restitution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Finally, the Bank relies on the opinion and findings of Mr. McParland to the effect that various transactions engaged in by Kuang in Canada are consistent with money laundering activity and assistance in the embezzlement of funds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For their part, the defendants submit that in the Nevada proceeding, Kuang was convicted only of conspiracy and not of actual money laundering or of transporting stolen money. They say that the evidence did not establish that Kuang actually engaged in those activities and no actual funds fraudulently obtained from the Bank could be traced to Kuang. With respect to the immigration fraud, the defendants submit that it merely assisted a third party, not her husband Xu, to enter the Unites States illegally. The defendants deny that the immigration fraud in any way assisted Xu in stealing money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the evidence does not establish that Kuang participated directly in the fraud against the Bank. However, there can be no question that she knowingly assisted in the efforts of the principal fraudsters, including her husband, to cover up the fraud and to disperse and launder the money fraudulently taken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Findings to this effect were central to Kuang's conviction in the Nevada proceedings and there is no basis for coming to any different conclusion in this action. It would be particularly inappropriate to do so in the absence of any evidence from Kuang that might cast a different light on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specific type of assistance alleged by the Bank includes the laundering of money stolen from the Bank. However, this does not require the Bank to prove the elements of the criminal offence of money laundering, including that the funds or property in issue were obtained or derived from the commission of an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noted above, the Supreme Court of Canada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and other cases has made it clear that receipt of trust property is not a requisite element for establishing liability for knowing assistance. Moreover, and in any event, section 462.31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encompasses property obtained or derived </w:t>
      </w:r>
      <w:r>
        <w:rPr>
          <w:rFonts w:ascii="arial" w:eastAsia="arial" w:hAnsi="arial" w:cs="arial"/>
          <w:i/>
          <w:color w:val="000000"/>
          <w:sz w:val="20"/>
          <w:lang w:val="en-US" w:eastAsia="en-US" w:bidi="ar-SA"/>
        </w:rPr>
        <w:t>indirectly</w:t>
      </w:r>
      <w:r>
        <w:rPr>
          <w:rFonts w:ascii="arial" w:eastAsia="arial" w:hAnsi="arial" w:cs="arial"/>
          <w:color w:val="000000"/>
          <w:sz w:val="20"/>
          <w:lang w:val="en-US" w:eastAsia="en-US" w:bidi="ar-SA"/>
        </w:rPr>
        <w:t xml:space="preserve"> from the criminal offence, thus obviating the need to trace the property directly to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circumstances, I find that Kuang is liable to the Bank for knowing assistance. I will return to the issue of remedy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Against Tan for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claims against Tan, both for knowing assistance and for knowing receipt, are somewhat more complicated than the claim against Kuang, in that Tan was not a party to any of the prior proceedings that resulted in the foreign judgments. As such, her involvement in and knowledge of the fraud, if any, have not previously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Bank therefore relies largely on Mr. McParland's analysis of various transactions engaged in by Tan as well as her own evidence given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his report, Mr. McParland notes that as of April 30, 2003, Tan had approximately C$2.15 million in various bank accounts, taking account of payments into and out of her accounts in the period from June 13, 1996 to April 30, 2003. Schedule 1 of his report provides a general summary of the sources of those funds, and schedule 1A provides a more detailed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McParland identifies C$1,368,000 as coming to Tan directly from her son Xu and further funds of approximately C$758,000 from her sister, Tam Kam Ngan, who was a director of You Hip Trading Company Limited, a company that received funds from Ever Joint. Again, Ever Joint was the principal conduit of money stolen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McParland's analysis also tracked payments made from Tan's accounts. These payments included a payment of C$350,000 to her daughter Xu Xia Li which was used to purchase a condominium in Toronto in which Tan and Xu Xia Li live. Another notable payment was the transfer of C$1,000,000 ($1,029,419 with interest) to an account in Hong Kong held by Tan and then distributed to unknown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Mr. McParland's opinion, the analysis of Tan's accounts and transactions reveals a number of indicators of money laundering, including:</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of large sums of money from small to large denominations. He identifies numerous small deposits that were then grouped together into larger term deposits and transfers to Canada;</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of large amounts of money to foreign currencies. Namely, HKD and USD were converted to CAD;</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movement of funds offshore. The fraudulently transferred funds were originally located in Tan's Hong Kong accounts and were transferred to Canada;</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bank drafts and other such instruments for no apparent legitimate reasons;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of a number of safe deposit boxes; and</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frequent transfers of money from one account or one country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McParland, and by extension the Bank, also relies on the timing of certain transactions undertaken by Tan in relation to the actions of the principal fraudsters and other involved parties as detailed in Mr. McParland's report. Mr. McParland notes the relationships and potential for communication between Tan and several of the involved parties. For example, he points to the fact that Tan travelled to Canada on July 24, 2001 with Kuang and Xu Xia Li, co-defendants in this case, as well as other involved parties including her sister Tam Kam Ngan.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noted, Tan did not testify at trial but she was examined for discovery prior to trial. The Bank submits that the explanations given by Tan on discovery about the sources of her wealth and various transactions are implausible at best and dishonest at worst. For example:</w:t>
      </w:r>
      <w:r>
        <w:rPr>
          <w:rFonts w:ascii="arial" w:eastAsia="arial" w:hAnsi="arial" w:cs="arial"/>
          <w:sz w:val="20"/>
          <w:lang w:val="en-US" w:eastAsia="en-US" w:bidi="ar-SA"/>
        </w:rPr>
        <w:cr/>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Tan said that much of her wealth, apart from the approximately $1.37 million received from Xu, represented savings that she and her husband had accumulated during their working lives. However, the amounts in issue were significantly in excess of what she and her husband likely earned, including any money that might have been received in red packets;</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that money received from Xu, Tan said that he gave her the money so that she could buy a house for him in Toronto, notwithstanding that Tan had no knowledge of or experience in the real estate market in Toronto;</w:t>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Tan never questioned Xu about where he got the money that he transferred to her even though she knew his employment as a bank manager would not have earned him anywhere near the amounts in issue; and</w:t>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Tan said that a number of deposits to her accounts were reimbursements from relatives who had asked her to purchase property for them. However, she failed to produce any documentary or other evidence to substantiate such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Bank submits that, looked at in their totality, Tan's actions support a finding that she knew full well that she was assisting in hiding the trail of funds fraudulently taken from the Bank or that, at a minimum, she was reckless or wilfully blind to what was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Bank makes the point that if in fact there were legitimate explanations for Tan's actions, it was open to her to testify or adduce some evidence in support of those explanations, which she failed to do. The Bank cites the comments of Fox L.J. in </w:t>
      </w:r>
      <w:r>
        <w:rPr>
          <w:rFonts w:ascii="arial" w:eastAsia="arial" w:hAnsi="arial" w:cs="arial"/>
          <w:i/>
          <w:color w:val="000000"/>
          <w:sz w:val="20"/>
          <w:lang w:val="en-US" w:eastAsia="en-US" w:bidi="ar-SA"/>
        </w:rPr>
        <w:t>Agip (Africa) Ltd. v. Jackson,</w:t>
      </w:r>
      <w:r>
        <w:rPr>
          <w:rFonts w:ascii="arial" w:eastAsia="arial" w:hAnsi="arial" w:cs="arial"/>
          <w:color w:val="000000"/>
          <w:sz w:val="20"/>
          <w:lang w:val="en-US" w:eastAsia="en-US" w:bidi="ar-SA"/>
        </w:rPr>
        <w:t xml:space="preserve"> [1991] Ch. 547 at 568 (C.A.), aff'g [1990] 1 Ch. 265 (Ch. Div.)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course, possible that [the assisters to the breach of trust] were honest men and that there are facts which we do not know which would demonstrate that. But, if so, they could have attended the trial and explained their position in the witness box. They did not do so. One can only infer that they were not prepared to submit their activities to critical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I think that the judge rightly came to the conclusion that they must have known they were laundering money,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response, Tan submits that knowing assistance requires both that there be a breach of trust and that the defendant knowingly participated in the breach. While acknowledging that knowing assistance generally does not require proof that the defendant actually took receipt of trust property, like Kuang she submits that in this case the Bank must establish that the money that came into the possession of Tan is traceable to the Bank because the assistance alleged by the Bank is money laundering. In this regard, Tan submits that an essential element of the offence of money laundering under section 462.31 of the </w:t>
      </w:r>
      <w:r>
        <w:rPr>
          <w:rFonts w:ascii="arial" w:eastAsia="arial" w:hAnsi="arial" w:cs="arial"/>
          <w:i/>
          <w:color w:val="000000"/>
          <w:sz w:val="20"/>
          <w:lang w:val="en-US" w:eastAsia="en-US" w:bidi="ar-SA"/>
        </w:rPr>
        <w:t>Canadian Criminal Code</w:t>
      </w:r>
      <w:r>
        <w:rPr>
          <w:rFonts w:ascii="arial" w:eastAsia="arial" w:hAnsi="arial" w:cs="arial"/>
          <w:color w:val="000000"/>
          <w:sz w:val="20"/>
          <w:lang w:val="en-US" w:eastAsia="en-US" w:bidi="ar-SA"/>
        </w:rPr>
        <w:t xml:space="preserve"> is that the funds or property in issue were criminally derived. Here, Tan says that the Bank cannot establish that the funds in Tan's possession, or the funds that she transferred in the transactions scrutinized by Mr. McParland, were in fact funds stolen from the Bank. As such, she submits that the Bank has failed to prove its claim in both knowing assistance and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To the extent that funds came to Tan from Xu or through Ever Joint, she submits that, regardless of whether they were involved in defrauding the Bank, both had legitimate sources of income and again the Bank cannot establish that the funds in Tan's possession were illegitimate. In this regard, Tan submits that Mr. McParland's report and opinion should be disregarded because it is based on the unproven assumption that the only funds available to Xu and to Ever Joint were funds stolen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Tan says the same thing about funds received from her sister, Tam Kan Ngan. Namely, Tan argues that there is no evidence that any money coming from her sister was criminally derived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Tan submits that her actions at or around the time that this action was commenced are inconsistent with the allegation that she knowingly participated or assisted in the fraud against the Bank. She notes that the funds in her Canadian account were not frozen until six months after the action was filed and that if she had a guilty mind about her involvement, she had ample time to transfer or hide these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terms of why she never questioned Xu about the source of the funds that he provided her, Tan submits that Xu had other assets and sources of income that would no doubt have been apparent to her, giving her no reason to question any of his funds or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note that this submission is couched in terms that Xu's assets "would have been apparent" to Tan as opposed to "were" apparent to her because again, she did not testify nor did she give evidence on discovery that she knew of any other assets or income of Xu.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Tan submits as well that even if she had questioned Xu about the source of the funds he transferred to her, it is unlikely that he would have admitted that they came from money fraudulently taken from the Bank. Tan submits that where an inquiry would not have unearthed any wrongdoing on the part of the trustee, the failure to make such an inquiry is not a basis for finding a defendant liable (</w:t>
      </w:r>
      <w:r>
        <w:rPr>
          <w:rFonts w:ascii="arial" w:eastAsia="arial" w:hAnsi="arial" w:cs="arial"/>
          <w:i/>
          <w:color w:val="000000"/>
          <w:sz w:val="20"/>
          <w:lang w:val="en-US" w:eastAsia="en-US" w:bidi="ar-SA"/>
        </w:rPr>
        <w:t>CFI Trust v. Royal Bank of Canada,</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2013 BCSC 1715</w:t>
        </w:r>
      </w:hyperlink>
      <w:r>
        <w:rPr>
          <w:rFonts w:ascii="arial" w:eastAsia="arial" w:hAnsi="arial" w:cs="arial"/>
          <w:color w:val="000000"/>
          <w:sz w:val="20"/>
          <w:lang w:val="en-US" w:eastAsia="en-US" w:bidi="ar-SA"/>
        </w:rPr>
        <w:t xml:space="preserve"> at paras. 247-249).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noted above, the Bank puts particular emphasis on the approximately $1.37 million that was transferred to Tan from Xu, of which approximately $1 million was later transferred to Tan's account in Hong Kong and distributed to what Mr. McParland described as "unknown sources". The Bank asserts that Tan's reason for transferring this money back to Hong Kong was for the purpose of money laundering, whether the funds were for Xu's use or for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However, in her discovery evidence, Tan says that she sent the money back to her son Xu because she did not find a suitable house for him in Toronto, except for approximately $350,000 that she kept and which went towards the purchase of the condominium with her daughter. While the Bank said she gave the money to Xu's cousin Hui Yat Shing, Tan says that Hui simply picked up the money on behalf of Xu.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am satisfied on the totality of the evidence that the Bank has established that Tan is liable for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with the claim against Kuang, the underlying breach of trust has clearly been established by the fraud perpetrated against the Bank by the principal fraudsters.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my view, the evidence also overwhelmingly shows that Tan assisted in the breach of trust. On this issue, Mr. McParland submitted opinion evidence that Ms. Tan engaged in numerous transactions and activities that were consistent with a finding of money laundering. Such transactions include, in particular, the deposits and transfers of significant sums of money well in excess of what she and her husband could possibly have earned and saved in their working lives and the conversion of large amounts of Hong Kong dollars into U.S. and Canadian funds. This evidence was reliable and was not successfully challenged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Tan has not put forward any credible explanation for the transactions or any documentary or other evidence establishing their legitimacy.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am also satisfied that Tan had the requisite degree of knowledge concerning the breach of trust and her participation in or assistance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set out above, it must be shown that the defendant had actual knowledge of the breach or was reckless or wilfully blind. Short of an outright admission by a defendant, actual knowledge is often difficult to prove thus much of the case law focusses on the circumstances that give rise to a finding of recklessness or wilful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There is some divergence in the authorities as to whether a defendant's conduct must itself involve an element of dishonesty.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Iacobucci J. held that the requirement that there be a fraudulent or dishonest breach of trust focusses on the conduct of the trustee and not the defendant stranger to the trust and that it is not necessary to find that the defendant acted dishonestly or in bad faith (at 825-826).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weight of English authority, in contrast, seems to require some element of dishonesty on the part of a defendant who assists to breach a trust. The purpose of this requirement is to avoid the imposition of strict liability on a third party who has no knowledge, or reason to suspect, that a transaction is inconsistent with the terms of a trust. However, the authorities also establish that the test for what constitutes dishonesty is objective. As noted by the Privy Council in </w:t>
      </w:r>
      <w:r>
        <w:rPr>
          <w:rFonts w:ascii="arial" w:eastAsia="arial" w:hAnsi="arial" w:cs="arial"/>
          <w:i/>
          <w:color w:val="000000"/>
          <w:sz w:val="20"/>
          <w:lang w:val="en-US" w:eastAsia="en-US" w:bidi="ar-SA"/>
        </w:rPr>
        <w:t>Royal Brunei Airlines</w:t>
      </w:r>
      <w:r>
        <w:rPr>
          <w:rFonts w:ascii="arial" w:eastAsia="arial" w:hAnsi="arial" w:cs="arial"/>
          <w:color w:val="000000"/>
          <w:sz w:val="20"/>
          <w:lang w:val="en-US" w:eastAsia="en-US" w:bidi="ar-SA"/>
        </w:rPr>
        <w:t xml:space="preserve"> at 389-391</w:t>
      </w:r>
      <w:r>
        <w:rPr>
          <w:rFonts w:ascii="arial" w:eastAsia="arial" w:hAnsi="arial" w:cs="arial"/>
          <w:i/>
          <w:color w:val="000000"/>
          <w:sz w:val="20"/>
          <w:lang w:val="en-US" w:eastAsia="en-US" w:bidi="ar-SA"/>
        </w:rPr>
        <w:t xml:space="preserv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may be the position in some criminal or other contexts...in the context of the accessory liability principle acting dishonestly, or with a lack of probity, which is synonymous, means simply not acting as an honest person would in the circumstances. This is an objective standard....The standard of what constitutes honest conduct is not subjective. Honesty is not an optional scale, with higher or lower values according to the moral standards of each individual. If a person knowingly appropriates another's property, he will not escape a finding of dishonesty simply because he sees nothing wrong in such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most situations there is little difficulty in identifying how an honest person would behave. Honest people do not intentionally deceive others to their detriment. Honest people do not knowingly take other's property. Unless there is a very good and compelling reason, an honest person does not participate in a transaction if he knows it involves a misapplication of trust assets to the detriment of the beneficiaries. Nor does an honest person in such a case deliberately close his eyes and ears, or deliberately not ask questions, lest he learn something he would rather not know, and then proceed regardless.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honest person would have regard to the circumstances known to him, including the nature and importance of the proposed transaction, the nature and importance of his role, the ordinary course of business, the degree of doubt, the practicability of the trustee or the third party proceeding otherwise and the seriousness of the adverse consequences to the beneficiaries. The circumstances will dictate which one or more of the possible courses should be taken by an honest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called upon to decide whether a person was acting honestly, a court will look at all the circumstances known to the third party at the time. The court will also have regard to personal attributes of the third party, such as his experience and intelligence, and the reason why he acted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Regardless of whether or not the stranger to the trust must personally engage in dishonest conduct, I find Tan's conduct sufficient to constitute knowing assistance in this case. Receiving monies in these circumstances would not be reasonable conduct for an honest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Here, Tan failed to critically examine the nature and source of the large sums of money passing through her accounts, as reflected in her evidence on discovery, and she did not provide any credible explanation for the many transactions. These facts leave little room for any conclusion other than that she was at best reckless or wilfully blind to the fraudulent origins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For example, Tan's evidence that much of the money in her possession was amassed by her and her husband during their working lives is wholly inconsistent with the opinion evidence of Professors Gold and Wedeman and is not supported by financial or employment records nor corroborative evidence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Similarly, Tan's evidence that certain large sums she received were repayments by unnamed relatives in respect of properties that she purchased on their behalf begs belief. There is no evidence setting out the details of the alleged properties or explaining how she would have been able to afford the properties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noted in paragraphs 129 - 130 above, Tan's submission with respect to money received from her son Xu is that it "would have been apparent to her" that he had other assets and sources of income available to him. However, it has not been established that Xu did in fact have other legitimate money and property. In any event, there is no evidence that Tan had a good faith belief to this effect to such an extent that she would have no duty to make reasonable inquiries about the source of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Taking account of all of the circumstances, I find that the Bank has established that Tan is liable in knowing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Against Tan for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Bank's claim against Tan for knowing receipt is based on the approximately C$1.37 million transferred by Xu to Tan. It relies on the same evidence advanced in support of the knowing assistance claim and says the requisite elements of knowing receipt are made out in that:</w:t>
      </w:r>
      <w:r>
        <w:rPr>
          <w:rFonts w:ascii="arial" w:eastAsia="arial" w:hAnsi="arial" w:cs="arial"/>
          <w:sz w:val="20"/>
          <w:lang w:val="en-US" w:eastAsia="en-US" w:bidi="ar-SA"/>
        </w:rPr>
        <w:cr/>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clear breach of trust in the principal fraudsters embezzlement from the Bank;</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Tan received funds derived from the breach of trust; and</w:t>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Tan knew or ought to have known that the funds were derived from the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Tan submits in response that, again, the Bank cannot prove that any money she received was trust property or embezzled funds, thus the Bank has failed to prove a key element of knowing receipt. She submits further that the Bank has failed to prove the knowledge element in that there is no evidence that she knew she was dealing with trust property (which again Tan says she was not,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noted above, of the C$1.37 million received by Tan from Xu, C$1 million (again, C$1,029,419 inclusive of interest) was subsequently transferred back to Tan's account in Hong Kong and released to Hui Yat Shing. Tan says that Hui simply picked up the money for Xu, whereas the Bank, and Mr. McParland, characterize the money as being distributed to "persons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no issue again that the underlying fraud or breach of trust has been established and, for the same reasons as set out above with respect to the claim for knowing assistance, I find that the knowledge element of the test has also been met, keeping in mind that knowing receipt requires only the lower standard of constructive knowledge. The question then centres on the second element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noted, knowing receipt requires that a defendant receive trust money on their own behalf or for their own use. Here, regardless of which characterization is accurate, there is no evidence that Tan received $1 million of the $1.37 million for her own use. In other words, whether the money went back to Hong Kong and was then passed on by Hui Yat Sing back to Xu or on to "persons unknown," it is apparent that Tan did not receive or use those funds for her own purposes. I reject the argument that Tan was given the full $1.37 million for her personal use and chose to gift $1 million to Tan or other persons in Hong Kong. This is simply not supported by the evidence. She is not therefore liable for knowing receipt of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same cannot necessarily be said of the $350,000 that she held back and then transferred to Xu Xia Li to be applied towards the purchase of a condominium. While neither party specifically addressed these funds separately from the money Tan sent back to Hong Kong, it seems clear that they were received, and indeed used, by Tan for her own benefit. As such, they satisfy that element of the knowing receipt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real issue then is whether the Bank has established that the $350,000 were trust funds or funds fraudulently taken from the Bank, given that the funds cannot be traced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On this point, I agree with the Bank's submission that it would be harder to find stronger evidence of knowing receipt than a cheque provided directly to the recipient by one of the principal fraudsters (see </w:t>
      </w:r>
      <w:r>
        <w:rPr>
          <w:rFonts w:ascii="arial" w:eastAsia="arial" w:hAnsi="arial" w:cs="arial"/>
          <w:i/>
          <w:color w:val="000000"/>
          <w:sz w:val="20"/>
          <w:lang w:val="en-US" w:eastAsia="en-US" w:bidi="ar-SA"/>
        </w:rPr>
        <w:t>Homes v. Amlez Intl. Inc.,</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2009 CanLII 58984</w:t>
        </w:r>
      </w:hyperlink>
      <w:r>
        <w:rPr>
          <w:rFonts w:ascii="arial" w:eastAsia="arial" w:hAnsi="arial" w:cs="arial"/>
          <w:color w:val="000000"/>
          <w:sz w:val="20"/>
          <w:lang w:val="en-US" w:eastAsia="en-US" w:bidi="ar-SA"/>
        </w:rPr>
        <w:t xml:space="preserve"> (ONSC) at para. 17). I note as well that the High Court of the Hong Kong Special Administrative Region in </w:t>
      </w:r>
      <w:r>
        <w:rPr>
          <w:rFonts w:ascii="arial" w:eastAsia="arial" w:hAnsi="arial" w:cs="arial"/>
          <w:i/>
          <w:color w:val="000000"/>
          <w:sz w:val="20"/>
          <w:lang w:val="en-US" w:eastAsia="en-US" w:bidi="ar-SA"/>
        </w:rPr>
        <w:t>Bank of China v. Kwong Wa-Po</w:t>
      </w:r>
      <w:r>
        <w:rPr>
          <w:rFonts w:ascii="arial" w:eastAsia="arial" w:hAnsi="arial" w:cs="arial"/>
          <w:color w:val="000000"/>
          <w:sz w:val="20"/>
          <w:lang w:val="en-US" w:eastAsia="en-US" w:bidi="ar-SA"/>
        </w:rPr>
        <w:t xml:space="preserve"> found a number of the personal defendants liable for knowing receipt notwithstanding that it could not trace funds directly back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fact is that the very objective of money laundering is to make it difficult if not impossible to trace funds back to their illegal or fraudulent source. As stated by Mr. McParland in his report, that objective is accomplished by way of the three stages of money laundering - placement, layering and integration. Here, the fact that the principal fraudsters engaged in a comprehensive and far-reaching scheme to disperse and launder money stolen from the Bank, and did so quite successfully, should not be used to defeat the valid claims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Once again, in the absence of any evidence or credible explanation by Tan to support a finding that the funds in issue were not directly or indirectly derived from the fraud or that she believed them to be so, I am satisfied that the Bank has established liability for knowing receipt of the $350,000.00.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McGhee,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(London: Sweet &amp; Maxwell), 32nd ed., 2010, the authors describe the remedy for knowing assistance as follows, at para. 30-080: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losses, once it is proved that the defendant provided relevant assistance to the breach of duty, he is liable for the losses resulting from the trustee's breach. Since the defendant's fault is serious, he cannot put the claimant to proof of the specific causal connection between the assistance he gave and the loss that ensued; nor is it open to the defendant to exculpate himself by arguing that the losses resulted directly from the voluntary act of the trustee. But his assistance must have had some causative impact in facilitating the trustee's breach of duty if he is to [be] held accountable for them. The measure of the defendant's liability is not reduced to reflect the claimant's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A very helpful discussion of the governing principles can be found in the Court of Appeal's decision in </w:t>
      </w:r>
      <w:r>
        <w:rPr>
          <w:rFonts w:ascii="arial" w:eastAsia="arial" w:hAnsi="arial" w:cs="arial"/>
          <w:i/>
          <w:color w:val="000000"/>
          <w:sz w:val="20"/>
          <w:lang w:val="en-US" w:eastAsia="en-US" w:bidi="ar-SA"/>
        </w:rPr>
        <w:t>Alers-Hankey v. Teixeira,</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2006 BCCA 224</w:t>
        </w:r>
      </w:hyperlink>
      <w:r>
        <w:rPr>
          <w:rFonts w:ascii="arial" w:eastAsia="arial" w:hAnsi="arial" w:cs="arial"/>
          <w:color w:val="000000"/>
          <w:sz w:val="20"/>
          <w:lang w:val="en-US" w:eastAsia="en-US" w:bidi="ar-SA"/>
        </w:rPr>
        <w:t xml:space="preserve"> where the Court noted the need to be flexible when determining an appropriate remedy. Madam Justice Huddart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understand the authorities and jurisprudence in this area, what matters is that the appropriate remedy be applied to the harm suffered. In other words, the facts of the case will govern the remedy, not strict adherence to doctrinal or jurisprudential strictures. As McLachlin J. (as she then was) noted in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at para. 34, "[e]quitable remedies are flexible; their award is based on what is just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Madam Justice Huddart cited a number of authorities in which the courts have endorsed the proposition that the appropriate remedy for a breach of trust is to put the plaintiff in as good a position as it would have been in had the breach not occurred. She referred in particular to the summary of the law by La Forest J. for the majority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established that the proper approach to damages for breach of a fiduciary duty is restitutionary. On this approach, the appellant is entitled to be put in as good a position as he would have been in had the breach not occurred. On the facts here, this means that the appellant is entitled to be restored to the position he was in before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Since a defendant found liable for knowing assistance in a breach of trust is deemed to be constructive trustee, that defendant is also subject to the obligation to return the plaintiff to its pre-fraud position: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at 30-066 and 30-079. In other words, the same measure of damages should apply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to the assisting party as to the party who committed the breach: </w:t>
      </w:r>
      <w:r>
        <w:rPr>
          <w:rFonts w:ascii="arial" w:eastAsia="arial" w:hAnsi="arial" w:cs="arial"/>
          <w:i/>
          <w:color w:val="000000"/>
          <w:sz w:val="20"/>
          <w:lang w:val="en-US" w:eastAsia="en-US" w:bidi="ar-SA"/>
        </w:rPr>
        <w:t>Sorrel 1985 Ltd. Partnership v. Sorrel Resources Ltd.,</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2000 ABCA 256</w:t>
        </w:r>
      </w:hyperlink>
      <w:r>
        <w:rPr>
          <w:rFonts w:ascii="arial" w:eastAsia="arial" w:hAnsi="arial" w:cs="arial"/>
          <w:color w:val="000000"/>
          <w:sz w:val="20"/>
          <w:lang w:val="en-US" w:eastAsia="en-US" w:bidi="ar-SA"/>
        </w:rPr>
        <w:t xml:space="preserve"> at para. 101, appeal discontinued </w:t>
      </w:r>
      <w:hyperlink r:id="rId678" w:history="1">
        <w:r>
          <w:rPr>
            <w:rFonts w:ascii="arial" w:eastAsia="arial" w:hAnsi="arial" w:cs="arial"/>
            <w:i/>
            <w:color w:val="0077CC"/>
            <w:sz w:val="20"/>
            <w:u w:val="single"/>
            <w:shd w:val="clear" w:color="auto" w:fill="FFFFFF"/>
            <w:lang w:val="en-US" w:eastAsia="en-US" w:bidi="ar-SA"/>
          </w:rPr>
          <w:t>[2000] S.C.C.A. No. 612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This principle has been applied in a number of cases in which the person found to have assisted in a fraud or breach of trust was found liable for the full amount of the loss caused by the trustee's breach. See for example, </w:t>
      </w:r>
      <w:r>
        <w:rPr>
          <w:rFonts w:ascii="arial" w:eastAsia="arial" w:hAnsi="arial" w:cs="arial"/>
          <w:i/>
          <w:color w:val="000000"/>
          <w:sz w:val="20"/>
          <w:lang w:val="en-US" w:eastAsia="en-US" w:bidi="ar-SA"/>
        </w:rPr>
        <w:t>Agip (Africa) Ltd,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 Khudairi v. Abbey Brokers Ltd</w:t>
      </w:r>
      <w:r>
        <w:rPr>
          <w:rFonts w:ascii="arial" w:eastAsia="arial" w:hAnsi="arial" w:cs="arial"/>
          <w:color w:val="000000"/>
          <w:sz w:val="20"/>
          <w:lang w:val="en-US" w:eastAsia="en-US" w:bidi="ar-SA"/>
        </w:rPr>
        <w:t xml:space="preserve">., [2010] EWCA 1486 (Ch.); and </w:t>
      </w:r>
      <w:r>
        <w:rPr>
          <w:rFonts w:ascii="arial" w:eastAsia="arial" w:hAnsi="arial" w:cs="arial"/>
          <w:i/>
          <w:color w:val="000000"/>
          <w:sz w:val="20"/>
          <w:lang w:val="en-US" w:eastAsia="en-US" w:bidi="ar-SA"/>
        </w:rPr>
        <w:t>Grupo Torras SA v. Al-Sabah,</w:t>
      </w:r>
      <w:r>
        <w:rPr>
          <w:rFonts w:ascii="arial" w:eastAsia="arial" w:hAnsi="arial" w:cs="arial"/>
          <w:color w:val="000000"/>
          <w:sz w:val="20"/>
          <w:lang w:val="en-US" w:eastAsia="en-US" w:bidi="ar-SA"/>
        </w:rPr>
        <w:t xml:space="preserve"> [2000] EWCA Civ 273.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While acknowledging the general principle of equal liability, Madam Justice Huddart in </w:t>
      </w:r>
      <w:r>
        <w:rPr>
          <w:rFonts w:ascii="arial" w:eastAsia="arial" w:hAnsi="arial" w:cs="arial"/>
          <w:i/>
          <w:color w:val="000000"/>
          <w:sz w:val="20"/>
          <w:lang w:val="en-US" w:eastAsia="en-US" w:bidi="ar-SA"/>
        </w:rPr>
        <w:t>Alers-Hankey</w:t>
      </w:r>
      <w:r>
        <w:rPr>
          <w:rFonts w:ascii="arial" w:eastAsia="arial" w:hAnsi="arial" w:cs="arial"/>
          <w:color w:val="000000"/>
          <w:sz w:val="20"/>
          <w:lang w:val="en-US" w:eastAsia="en-US" w:bidi="ar-SA"/>
        </w:rPr>
        <w:t xml:space="preserve"> again underscored the need for flexibility and the importance of fashioning a remedy to meet the specific circumstances of each case (at para. 31). This is consistent with the equitable principles enunciated by La Forest J.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where he stated that equitable remedies should not be so rigid as to be out of all proportion to the defendant trustee's actual behaviour (at 444).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Here, the Bank has provided uncontradicted evidence calculating its loss as of December 19, 2014 to be C$670,015,201, net of amounts recovered by the Bank and inclusive of pre-judgment interest. This was the loss that resulted from the breach of the principal fraudsters' fiduciary duties, which breach was assisted by Kuang and 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With respect to Kuang, I am satisfied that there is a sufficient link between her conduct and the Bank's loss due to the fraud perpetrated by the principal fraudsters to warrant making her accountable for the whole of the loss. As noted in paragraph 114 above, it is apparent that she was involved extensively in efforts to conceal the fraud and to disperse and launder funds obtained by way of the fraud. Further, it is clear that her assistance was not directed towards only a few discrete transactions, rather she was engaged in assisting the overall pattern of fraud. The Bank is therefore entitled to judgement against Kuang in the amount of C$670,015,201.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With respect to Tan, the evidence does not establish that she was involved to the same degree as Kuang or that her actions assisted with the larger pattern of fraud that led to the Bank's loss. Rather, it is apparent that Tan's involvement was much more limited and was directed towards specific transactions as indicated in Mr. McParland's report. In my view, therefore, the focus of the remedy analysis should be on the actual funds that came into Tan's possession. In this regard, I refer again to Schedule 1 of Mr. McParland's report in which he summarizes the funds that flowed to and from 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According to Mr. McParland, Tan received $2,834,563 from known and unknown sources which, when added to the $482,441 earned in interest and fees and $28,241 earned through foreign exchange gains, results in a total of $3,345,245 that came into Tan's possession. Tan distributed $1,501,009 leaving a balance of $1,844,236. That amount, when added to GIC's in her name totalling $317,267 and money in her bank accounts totalling $53,113, left Tan with a net balance of $2,214,616.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As noted above, the objective in determining a remedy for knowing assistance is normally to put the plaintiff in the same position that it would have been in had the breach not occurred. However, the courts have also acknowledged, albeit in cases of fiduciary liability as distinct from knowing assistance, the principle that a fiduciary's liability should not exceed what he or she gained in consequence of the breach of duty: see </w:t>
      </w:r>
      <w:r>
        <w:rPr>
          <w:rFonts w:ascii="arial" w:eastAsia="arial" w:hAnsi="arial" w:cs="arial"/>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xml:space="preserve"> at para. 59, var'd </w:t>
      </w:r>
      <w:hyperlink r:id="rId680"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but not on this point, see paras. 83, 87. In keeping with that principle, the courts have in certain cases ordered that the fiduciary account for and disgorge any profits or benefits obtained through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Keeping in mind the purposes of this equitable remedy and its inherent flexibility, in my view the equitable approach in this case is to require Tan to disgorge the benefits she realized through her breach, that being the net amount of C$2,214,616. The Bank is therefore entitled to judgment against Tan in that amount. This significant award holds Tan to a strict standard on the basis that she had active knowledge of the trust and its fraudulent breach and knowingly participated in the fraud: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at para. 33. However, this award also recognizes Tan's more minimal assistance to the fraud than Kuang, and it is not out of all proportion to her actual behaviour in the circumstances: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With respect to knowing receipt, the authorities establish that the proper remedy is an award of damages equal to the amount improperly received. This accords with the principle that knowing receipt is restitution based and founded on the concept of unjust enrichment (see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at para. 41 and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set out in para. 161 above, the Bank has established that Tan improperly received $350,000 and accordingly, the Bank is further entitled to judgment against Tan for knowing receipt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summary, the Bank is entitled to the following:</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Kuang in the amount of C$670,015,201;</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Tan in the amount of C$2,214,616;</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Judgement against Tan in the amount of C$350,000;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funds currently held in bank accounts in the names of Kuang and Tan, frozen by order of this court, be released to the solicitors for the Bank, Davis LLP, within 30 days of the date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Costs may be spoken to if the parties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Barakett v. Foley, [2016] B.C.J. No. 1000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 24, April 11 and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14-4615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Jean Barakett and Brian Milne, Plaintiffs, and John Foley, Ken Cameron, Alison Cunningham, John Wiebe, Nick Boychuck also known as Nick Boychuk, Celine Boychuck also known as Celine Boychuk, Cedric Barker, John Fraser, and The Salt Spring Island Rod and Gun Club,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5" w:name="Keywords_32"/>
      <w:bookmarkEnd w:id="295"/>
      <w:r>
        <w:rPr>
          <w:rFonts w:ascii="arial" w:eastAsia="arial" w:hAnsi="arial" w:cs="arial"/>
          <w:b/>
          <w:color w:val="000000"/>
          <w:sz w:val="20"/>
          <w:lang w:val="en-US" w:eastAsia="en-US" w:bidi="ar-SA"/>
        </w:rPr>
        <w:t>Civil litigation — Civil procedure — Injunctions — Circumstances when not granted — Considerations affecting grant — Balance of convenience — Irreparable injury — Serious issue to be tried or strong prima facie case — Interlocutory or interim injunctions — Application by plaintiffs for interlocutory injunctive relief dismissed — Plaintiffs' land was adjacent to defendant Gun Club — Prior action seeking damages for nuisance resulted in draft order that had yet to be entered — Current action sought damages for trespass arising from lead contamination and water discharge — Concern arose that no serious issue to be tried existed, as draft order purported to require removal and collection of spent lead — If discharge of water raised serious issue, balance of convenience did not favour injunctive relief — Evidence of irreparable harm was speculative.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6" w:name="Case Summary_30"/>
            <w:bookmarkEnd w:id="2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Barakett and Milne, for an interlocutory injunction compelling the Salt Spring Island Rod and Gun Club defendants to take steps to remove lead from its lands and prevent encroachment of water and debris upon their lands. In a prior action, the same plaintiffs sued the Gun Club for damages for nuisance, damages for escape, damages for trespass, for punitive damages, and interim permanent and mandatory injunctive relief. The plaintiffs owned adjoining acreages to the Gun Club. They alleged that a creek running through the Gun Club and emptying into their fish pond contained substantial and contaminating amounts of lead from bullets. The trial focused primarily on nuisance and resulted in an order that remained to be settled. In the interim, limited injunctions required the Gun Club to remove and collect spent lead from the ground. The plaintiffs commenced a second action, naming the Gun Club and individual directors as defendants. The second action focused on the trespass and environmental aspects of the plaintiffs' complaints. They sought interim injunctive relief requiring removal of all lead and prevention of any contamination.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7" w:name="Holdings of Court_28"/>
            <w:bookmarkEnd w:id="29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terms of the order following the first trial, once settled and entered, would require the defendants to regularly remove lead from a bullet trap behind the backstop and require an environmental assessment to propose controlling contamination. Given the terms of the draft order, there was a question as to whether there remained a fair issue to be tried on the escape of deleterious substances onto the plaintiffs' land. To the extent a question existed with respect to the discharge of surface water, the balance of convenience did not favour the relief sought. The relief sought overlapped with the first action, the evidence of lead in the discharge was insufficient, and the possibility of irreparable harm was highly questionable. As a downslope property owner the plaintiffs were able to take steps to protect their land from surface water.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8" w:name="Legislation Cited_30"/>
      <w:bookmarkEnd w:id="2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Management Act, s. 39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9" w:name="Counsel_32"/>
      <w:bookmarkEnd w:id="2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G.N. Harney, J.A. Plonka.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John Foley, Ken Cameron, Alison Cunningham, John Wiebe, Cedric Barker, John Fraser, The Salt Spring Island Rod and Gun Club (appearing via teleconference): A. LaCroix.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Nick Boychuck, Celine Boychuck: B. Hoffman.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32"/>
      <w:bookmarkEnd w:id="300"/>
      <w:r>
        <w:pict>
          <v:line id="_x0000_s1198"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R. JOHNSTON J. (orally)"/>
            <w:bookmarkEnd w:id="301"/>
            <w:r>
              <w:rPr>
                <w:rFonts w:ascii="arial" w:eastAsia="arial" w:hAnsi="arial" w:cs="arial"/>
                <w:b/>
                <w:color w:val="000000"/>
                <w:sz w:val="30"/>
                <w:lang w:val="en-US" w:eastAsia="en-US" w:bidi="ar-SA"/>
              </w:rPr>
              <w:t>R. JOHNSTON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interlocutory injunctive relief as follows: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compelling the Gun Club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all lead from its lands;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steps necessary to prevent water and debris runoff from encroaching on the plaintiffs' lands, including:</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all reasonable steps to redirect or prevent drainage ditches from flowing or emptying on the plaintiffs' property; and</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all steps necessary to obtain authorization from the Ministry of Environment to permit the Gun Club to take any steps necessary to redirect or modify the drainage ditches for that limited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Those are the words of the notice of application. I acknowledge that, during the hearing, the suggested wording of the injunctions sought and the import of the injunctions sought did change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is brought in Action Number 14-4615, a 2014 action in the Victoria Registry, and I am going to call it Action Number 2. This application is complicated by the continued existence of an action numbered 11-4650, of 2011, which I am going to call Action Number 1, both in the Victoria Registry. In Action Number 1, the same two plaintiffs, Ms. Barakett and Mr. Milne, sue the Gun Club alone for damages for nuisance, damages for escape, damages for trespass, for punitive damages, and interim permanent and mandatory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way of background, the plaintiffs and the Gun Club own adjoining acreages on Long Harbour Road on Salt Spring Island. Both parcels of land were at one time owned by one person. That person had sufficient interest in shooting activities that he permitted others to shoot on or across both parcels of land. Eventually, that person sold both parcels, one of them to the Gun Club and the other to an intermediate owner who then sold it to the plaintiff Barakett who holds title for the benefit of herself and the plaintiff Milne. Mr. Milne has objected to Gun Club activities. That led to the commencement of Action Number 1. In that action, the plaintiffs, after alleging the identity of the parties, their property ownerships, and the kinds of shooting activities carried on at the Gun Club property, plead that those activities caused the emission, release, and escape of excessive and unreasonable noise, which the plaintiffs pleaded was ongoing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Still in Action Number 1, the plaintiffs plead at paragraphs 18 to 20 that a creek runs through the Gun Club property which empties into a creek and fish pond on the plaintiffs' property. The Gun Club operations have resulted in substantial amounts of lead from bullets originating from the Gun Club property being deposited on land and in water on the plaintiffs' property. At paragraph 19, the claim goes on:</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lead originating from the Gun Club Property by virtue of the Gun Club operations, has contaminated surface water, well water, and the fish pond all located on the Plaintiff Property.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amounts of lead shot from bullets now rests on the Plaintiff Property. The operations of the Gun Club have resulted in the deposit of lead from bullets on the Plaintiff Property, which is toxic and harmful to this property and to the plaintiffs' animals, and which constitutes nuisance, escape, and trespass.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Gun Club's nuisance, escape, and trespass, the plaintiffs have suffered loss and damage.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matters described in this Notice of Civil Claim constitute a non-natural use of the Gun Club Property, and the Gun Club has failed to prevent the escape of lead bullets and water containing lead contamination from the Gun Club Property onto the Plaintiff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These pleadings are, in my view, sufficient to support a claim that the Gun Club should be held liable for damages caused as a result of the escape of water containing lead contamination onto the plaintiffs' land following the principle laid down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where the House of Lords adopted this reasoning by Blackburn J. in the Court of Exchequer Chamber, and I quote: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think that the true rule of law is, that the person who, for his own purposes, brings on his land and collects and keeps there anything likely to do mischief if it escapes, must keep it in at his peril; and if he does not do so,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answerable for all the damage which is the natural consequence of its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Action Number 1 went to trial. That trial proceeded over several days in July and October 2013 and one day in April 2014. The trial judge, Mr. Justice Myers, delivered reasons for judgment June 17, 2014. The parties have disagreed over the terms of the final order flowing from that judgment to the extent that they have only recently signed a draft order and submitted it for entry. In the interim, the trial judge has issued and refined what are termed limited injunctions restricting Gun Club operations and requiring the parties to attempt to settle the terms of such injunctions, which terms must, according to an order that has been entered, provide for the means by which the Gun Club will collect spent lead from the ground. Counsel have provided a copy of the draft final order from Action Number 1. It is signed by counsel. As I have said, it has been submitted for entry. In fact, it may now be entered, for all I know. The terms in that order in which lead is mentioned are set out in paragraphs 8 and 12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 install a bullet trap behind the rifle range backstop, and will regularly remove all ricochet, bullet fragments and lead. ...</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 within 10 days request an environmental assessment from the Ministry of Environment, British Columbia, of the current state of the property and the proposed controls for lead containment and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Turning to this action, Number 2, the same plaintiffs have added individual directors of the Gun Club as parties defendant, and this action, I think it is fair to say, shifts the focus of the plaintiffs' allegations away from the nuisance caused by noisy Gun Club activities to, in paragraph 14, trespass of water and lead from Gun Club land onto the plaintiffs' land; in paragraph 15, migration of lead from Gun Club property to plaintiffs' property as a result of past and current construction and shooting activities on Gun Club land. Action Number 2 adds an allegation that the plaintiffs' land is a contaminated site as defined in s. 39 of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and seeks relief that includes, and I quote, "general damages including for trespass, nuisance, and escape." The notice of civil claim in Action Number 2 includes, as a legal basis for the claim, that the plaintiffs' land is a contaminated site and that each defendant is responsible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for having authorized or permitted Gun Club activities that gave rise to the contamination, and in part 3, paragraph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migration from the Gun Club Property to Plaintiff Property further constitutes nuisance, trespass, and escape pursuant to the Rule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This all - and when I say, "all," the apparent similarity between the allegations in Actions Number 1 and Action Number 2 - led the defendants in Action Number 2 to apply for an order striking the plaintiffs' claims or, in the alternative, striking the claims except those arising from contamination of the plaintiffs' land alleged to have occurred after the June 17, 2014, judgment in Action Number 1. That application is based on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That application was adjourned generally during the hearing of this injunction application, and it was adjourned at the request of the defendants, apparently, as a result of uncertainty then existing as to the state of the final order flowing from Action Number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Turning to the injunction sought, the test to be applied in applications for injunctive relief is well known. The applicant must show that there is a fair question to be tried, that the plaintiff will suffer irreparable harm if the injunction is not granted, and that the balance of convenience favours the granting of the injunction. That is a three-part test set out in </w:t>
      </w:r>
      <w:r>
        <w:rPr>
          <w:rFonts w:ascii="arial" w:eastAsia="arial" w:hAnsi="arial" w:cs="arial"/>
          <w:i/>
          <w:color w:val="000000"/>
          <w:sz w:val="20"/>
          <w:lang w:val="en-US" w:eastAsia="en-US" w:bidi="ar-SA"/>
        </w:rPr>
        <w:t>RJR-MacDonald v. Canada</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The second and third parts of that test were collapsed by Madam Justice McLachlin in the Court of Appeal of this province in </w:t>
      </w:r>
      <w:r>
        <w:rPr>
          <w:rFonts w:ascii="arial" w:eastAsia="arial" w:hAnsi="arial" w:cs="arial"/>
          <w:i/>
          <w:color w:val="000000"/>
          <w:sz w:val="20"/>
          <w:lang w:val="en-US" w:eastAsia="en-US" w:bidi="ar-SA"/>
        </w:rPr>
        <w:t>British Columbia v. Wale</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[1986] B.C.J. No. 1395</w:t>
        </w:r>
      </w:hyperlink>
      <w:r>
        <w:rPr>
          <w:rFonts w:ascii="arial" w:eastAsia="arial" w:hAnsi="arial" w:cs="arial"/>
          <w:color w:val="000000"/>
          <w:sz w:val="20"/>
          <w:lang w:val="en-US" w:eastAsia="en-US" w:bidi="ar-SA"/>
        </w:rPr>
        <w:t>. Whether or not it is a two-or three-part test makes no difference to the application before me. The considerations are the same as are the 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existence of two separate actions involving the same litigants and, here, I note that the individual defendants are sued because they are or were directors of the Gun Club, somewhat complicates the usual analysis in injunction applications. In spite of having adjourned the application to dismiss Action Number 2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otherwise an abuse of process, the Gun Club and most, if not all, of its directors continue to argue that the injunction application here should be dismissed because it is an abuse of process because it largely mirrors or tracks the first action down to injunctive relief sought or granted in Action Number 1. I go back to the draft order in Action Number 1 and the term which, if the order is entered as it is drawn, will require the defendants to regularly remove lead, at least from a bullet trap behind a backstop, and require them to seek environmental assessment of proposed controls for lead containment and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orders arising out of Action Number 1 have been difficult to track. The order I just referred to is dated as having been granted October 2, 2015. I looked at the clerk's notes from that day and they merely show that the court ordered that the injunction was to be lifted for six hours on a date to be agreed upon. The clerk's notes, cryptic as they are, appear to be the clerk's attempt to reconcile the results of a hearing that lasted about 50 minutes. The draft I have just referred to recites that it was made on an application that was heard a year earlier, October 3, 2014, in Vancouver. I have looked at the clerk's notes from the 2014 hearing. Those notes indicate that the court ordered that costs could be dealt with either orally or in writing, that damages were adjourned generally, that a contempt application was dismissed without costs, and I am quoting the clerk's note, "Injunction (NAP issues 6 and 7) as per appendix A of notice of application with amendments ordered to be submitted to Mr. Justice Myers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been provided a transcript of the proceedings of October 3, 2014. It runs the better part of 76 pages. It consists largely of a three-way discussion among counsel and the court. It may be that the somewhat laconic clerk's notes from October 3, 2014, also reflect some difficulty the clerk had teasing out of a 76-page discussion just what had been ordered on that day. All of that might indicate that when the order, as drafted, signed by counsel, and at least tendered for entry reaches the registry, there might be some difficulty encountered in securing its entry because of the apparent discrepancy, at least on the surface, between the lengthy draft provisions in the order signed by counsel and the notes of the clerk from either or both applications, which I have indicated are cryptic or laconic, generally brief, and pointed. I do not know whether there is going to be difficulty entering the order from Action Number 1 or whether it will simply go through the registry and get an entry stamp. It appears to me that, until that order is finally entered, Action Number 1 still has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of this is a circular way of coming back to what is ordinarily a very easy decision to reach on an application for an interlocutory injunction, and that is, is there a fair question to be tried? That usually receives little analysis in an injunction application. That is because the threshold to be crossed is quite low. Pleadings that appear to raise a triable issue are generally enough to allow the court to move on to the next question or questions. This case is not ordinary because of the apparent and obvious overlap between the two actions and the fact that Action Number 1 remains alive. It remains alive whether or not the order, as signed by counsel and tendered for entry, gets entered, because I gather from the orders that have been entered and the draft order that there is always a possibility, or the possibility remains open, that counsel may return before Mr. Justice Myers in Action Number 1 to refine, alter, or otherwise deal with any injunctive relief he has granted. Indeed, having looked at the draft, I note that it provides the parties may bring the terms of this injunction back before the court after a trial period, suggesting at minimum the injunctive relief in Action Number 1 remains open after the entry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draft order also provides the application for the balance of relief sought in the September 10, 2014, notice of application of the plaintiffs attached as Appendix A as adjourned generally. Counsel supplied a copy of the notice of application of that date in which the plaintiffs sought, among other relief, damages for nuisance up to June 17, 2014. The order appears to take care of the claim for damages in nuisance raised by the notice of civil claim in Action Number 1, but it does not appear to deal with the claims for damages for escape or trespass. I do not know what the status of those claims for escape or trespass is in Action Number 1. The order as drafted, intended apparently to be final order, simply does not refer to claims for damages for escape or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this leaves me in a state of considerable confusion about whether or to what extent Action Number 1 has been finally and fully decided. It appears from a comparison of the pleadings in both actions that there is, at minimum, considerable overlap between the two in terms of the facts alleged by the plaintiffs and the relief sought in each action. That causes me some concern as to whether or not there is a fair question remaining to be tried in Action Number 2 that has not already or should already have been tried in Action Number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realize that I am treading on thin ground here in that I have adjourned, at the request of the applicants, the application to dismiss Action Number 2 as an abuse of process or for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 do not want to be seen as prejudging the merits of that application. Having said that, I have to remain mindful of the principles enunciated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at page 115, and I quote: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omitted part of their case.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leaves some doubt whether there is a fair question to be tried on questions of escape of deleterious substances from the Gun Club land onto the plaintiffs' land, but it leaves little doubt whether a fair question remains to be tried and has shown to be tried in this action with respect to water moving from Gun Club land onto the plaintiffs' land, for the allegation is that the Gun Club has channelled surface water on its land into a ditch that discharges onto the plaintiffs' land and, if that is proved, the plaintiffs will be entitled to a remedy. So there is at minimum a fair question to be tried with respect to the discharge of water through the Gun Club's drainage ditch onto the plaintiffs' land, and so the plaintiffs get past the first question here on the discharge of water point. But there is a greater problem facing this application, and that is whether the balance of convenience favours interlocutory injunctive relief, and here I conclude that the balance is very decidedly tipped against interlocutory injunctive relief, for these reasons: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appears that the same relief sought in this application or in the pleadings underlying this application could have been sought, some of it was sought, and at minimum, ought to have been sought in Action Number 1. That militates against the grant of injunctive relief in this action.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on the evidence presented that the water discharging down the drainage ditch off the Gun Club properly contains lead particles or bits of skeet, and I say that in spite of Mr. Milne's evidence in affidavit form to that effect. Mr. Milne's evidence is at best his opinion that what he observed as murky water contains lead or the deleterious contents of skeets, and his opinion is not admissible to prove that. He has drawn an inference which counsel presses most vigorously that, because this surface water is flowing across land that is obviously and clearly contaminated by lead, it must be picking up lead particles and discharging it onto the plaintiffs' land. That inference or argument, while it may have some logical force, is not, in my view, sufficient evidence, nor does it form a sufficient evidentiary base, for me to conclude that the risk of irreparable harm from that prospect has been established. At minimum, the risk of irreparable harm from the discharge of lead or contaminants as opposed to the surface water itself is highly questionable on the evidence before me, and I bear in mind here that it is the nature of the harm, not its magnitude, that I must consider. I recognize that Mr. Milne has sworn that he has seen shotgun wads that appear to have been carried by this water onto his property. While that might be a nuisance, litter or otherwise, it is not sufficient, in my view, to warrant the imposition of interlocutory injunctive relief.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downslope property owner, Mr. Milne is not obliged to receive surface water from Gun Club land, but Mr. Milne can take his own steps to protect his land from the surface water by diverting it around his property. He could simply damn it up, send it back to the Gun Club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that reason, the balance of convenience does not favour injunctive relief with respect to surface water. I recognize that the Gun Club may well have and, if proved, likely will have committed an actionable wrong if it can be proved to have collected surface water, channelled it into a drainage ditch, and sent it off toward Mr. Milne's land, but as I have said, water alone, when Mr. Milne has the legal right to do something about it himself, is not sufficient to invoke the court's jurisdiction to grant interlocutory injunctive relief. I am not satisfied that the water alone, which the evidence indicates flows only seasonally, that is, when it is raining a lot, constitutes the sort of irreparable harm that injunctive relief requires to be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 for those reasons, the application for interlocutory injunctive relief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Battrum v. MacKenzie Estate, [2008] B.C.J. No. 1201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S054641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E.T.R. (3d)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Herbert Asals Battrum, Plaintiff, and Neil MacKenzie in his capacity as Executor of the Estate of Roderick Hector MacKenzie, Deceased and the said Estate of Roderick Hector MacKenzie,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2" w:name="Keywords_33"/>
      <w:bookmarkEnd w:id="302"/>
      <w:r>
        <w:rPr>
          <w:rFonts w:ascii="arial" w:eastAsia="arial" w:hAnsi="arial" w:cs="arial"/>
          <w:b/>
          <w:color w:val="000000"/>
          <w:sz w:val="20"/>
          <w:lang w:val="en-US" w:eastAsia="en-US" w:bidi="ar-SA"/>
        </w:rPr>
        <w:t>Civil litigation — Civil procedure — Pleadings — Amendment of — Statement of claim — To raise additional issues — Motion by the plaintiff seeking to further amend the statement of claim allowed — The defendant argued that the length of the delay prevented the amendment — The delay in bringing the motion to amend was due to the irresponsible conduct of the plaintiff's lawyer and not the plaintiff himself.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3" w:name="Case Summary_31"/>
            <w:bookmarkEnd w:id="3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seeking to further amend the statement of claim. The plaintiff brought an action against his lawyer for irregularities, breaches of trust and conflicts of interest related to trust funds. During discovery, the plaintiff discovered the possibility that the defendant had committed fraud in relation to the trust funds. The plaintiff sought to amend the statement of claim. The defendant argued that the length of the delay prevented the amendment.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4" w:name="Holdings of Court_29"/>
            <w:bookmarkEnd w:id="304"/>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amendment was permitted. The delay in bringing the motion to amend was due to the irresponsible conduct of the plaintiff's lawyer and not the plaintiff himself.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5" w:name="Legislation Cited_31"/>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B.C.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Estate Administration Act, R.S.B.C. 1996, c. 122, s. 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6" w:name="Counsel_33"/>
      <w:bookmarkEnd w:id="3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Agent for Counsel for the Plaintiff: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M.H. Grant.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33"/>
      <w:bookmarkEnd w:id="307"/>
      <w:r>
        <w:pict>
          <v:line id="_x0000_s1203"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M.D. MACAULAY J."/>
            <w:bookmarkEnd w:id="308"/>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over the objection of the defendants, to further amend his statement of claim. At issue are the following questions: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proposed amendments raise any new cause of action;</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are the proposed amendments otherwise necessary to determine the real questions and would granting them cause undue prejudice or delay; or</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proposed amendments raise a new cause of action, has the applicable limitation period expired and, if so, should the Court permit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reasons that follow, I conclude that the application to amend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July 1999, the plaintiff sued Roderick Hector MacKenzie ("MacKenzie"), a barrister and solicitor. The plaintiff alleged in his statement of claim that, in July 1997, he forwarded a cheque to MacKenzie for $103,500 "in trust" (paragraph 3). Of significance, the plaintiff then alleged: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money was for the immediate purchase of three hundred thousand shares of a company called Anglo-Canadian Gas Corp. which the said [MacKenzie] was an officer and director 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conditions were, inter alia, that the funds were not to be released from trust until the shares were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released the said $103,500 from his solicitor's Trust Account without ensuring the shares in Anglo-Canadian Gas Corporation were issued under the Terms of Trust, thereby breaching the trust terms to the Plaintiff.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or ought to have known that at all material times to this transaction, Anglo-Canadian Gas Corporation had no shares for sale under the conditions of Anglo-Canadian Gas Corp.'s registration with the Vancouver Stock Exchange and the Rules of the British Columbia Securities Commission.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in a fiduciary position in respect to the Plaintiff and the Defendant was in a Trust position, as a solicitor, in respect to the Plaintiff at all material times.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in a conflict of interest as a solicitor and as an officer/director of Anglo-Canadian Gas Corp. and as such, the said conflict of interest resulted in damages to the plaintiff because the shares were not issued to the plaintiff or his designate ...</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Trust and conflict of interest of the Defendant towards the Plaintiff has resulted in the Plaintiff losing the sum of $103,500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demanded return of his money in the amount of $103,500 by [sic] the Defendant, Roderick Hector MacKenzie has refused to pay or is unable to pay the said sum.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treatment of the Plaintiff and the Plaintiff's funds in the amount of $103,500 constitutes the Defendant being and acting in a conflict of interest, Breach of Trust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Barrister and Solicitor practicing in the Province of British Columbia resulting in damages to the Plaintiff for which the Defendant is liable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Prayer for Relief, the plaintiff claimed damages, including punitive damages, court ordered interest and costs. Anglo-Canadian Gas Corp. is sometimes referred to as "AOI".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October 1999, the plaintiff amended the statement of claim without leave, as permitted by the Rules of Court, to change an address set out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MacKenzie died in March 2000. In December 2001, counsel for the executor of the MacKenzie estate delivered a Notice to then counsel for the plaintiff, pursuant to s. 66 of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("EAA"). The Notice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 notice that Neil MacKenzie, personal representative of the estate of Roderick Hector MacKenzie, late of c/o #2020 - West Georgia Street, Vancouver, B.C., rejects or disputes your claim for $103,500 damages against the estate of Roderick Hector MacKenzie in whole or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do not commence legal proceedings in respect of your claim within six months after the date of service of this notice on you, Neil MacKenzie will rely on section 66 of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and your cause of action against the estate and Neil MacKenzie will be forever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66 of the EAA requires the party receiving notice under the section to commence action within six months of receipt. There is a question, to be addressed later, whether the section applies to any of the claims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February 2002, the plaintiff retained new counsel. Counsel for the executor re-delivered the s. 66 Notice to him in March 2002. Shortly after that, in April 2002, and by consent, the plaintiff further amended his statement of claim to add the executor of the MacKenzie estate and the estate as defendants in place of MacKenzie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no substantive amendments respecting the claims at the time of the April 2002 amendments and, thereafter, the parties proceeded to oral and document discovery. The latter included obtaining documents from non-parties.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discovery process, counsel for the plaintiff became aware of documents that he believed supported an allegation of fraud arising out of MacKenzie's conduct respecting the issuance of the subject shares. During examinations for discovery of the executor in July 2003, counsel for the plaintiff asked questions, which were not objected to, about the alleged fraudulent conduct. It appears that counsel for the plaintiff, and possibly counsel for the defendants, believed that the existing pleadings were sufficiently broad to include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2003, counsel for the plaintiff wrote to his counterpart advising that he intended to amend the statement of claim and set out, in the letter, his theory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quite clear that Dr. Battrum advanced monies by cheque payable directly to Mr. MacKenzie. Dr. Battrum also spoke with Mr. MacKenzie, who confirmed that he had shares in AOI. Mr. MacKenzie knew his representation to be false and fraudulent. His representation was made to induce Dr. Battrum to give money to Mr. MacKenzie and no adequate accounting of the money has been provided. Mr. MacKenzie knew that the terms of the private placement had not been met, that the company did not have sufficient funds to meet the terms of his placement, and that there was serious wrongdoing in the financial affairs of the company. Mr. MacKenzie made a false declaration to the Vancouver Stock Exchange which he knew to be false, and all of this was done for the purpose of obtaining money from innocent investors such as Dr. Battrum. There is little doubt that Mr. MacKenzie perpetrated a fraud or was party to a fraud. Dr. Battrum gave very clear evidence that he relied upon Mr. MacKenzie's representations, particularly so, because Mr. MacKenzie was a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trading and the shares of AOI was stopped because of the wrongdoing of the officers and promoters of the company, including Mr. MacKenzie. This was the main cause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matter is to proceed, then I will include a claim for punitive damages and special costs. I cannot see that it is in the interests of the Estate to defend actions which clearly were fraudulent and which caused the loss suffered by Dr. Battrum in this matter.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December 2003, counsel for the plaintiff delivered an un-filed copy of a further amended statement of claim to counsel for the defendants but the defendants never consented to the proposed amendments. I observe that these allegations were not dependent on the plaintiff establishing a solicitor-client relationship. In that respect, they differed from the allegation that, as a solicitor, MacKenzie owed a fiduciary duty to the plaintiff and was in a position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a variety of reasons, including general inattentiveness, counsel for the plaintiff did not deliver a notice of motion seeking to further amend the statement of claim, in the form provided to opposing counsel, until May 2004. The defendants never contributed in any way to this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June 2004, counsel for the defendants contended that the proposed amendments were barred by s. 66 of the EAA. Shortly after that, counsel for the plaintiff suffered a heart attack and was away from work for an extended period. In the result, the chambers application did not proceed. In fact, no steps were taken in the proceedings until May 2005 when counsel for the plaintiff filed a Notice of Intention to Proceed with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requisite waiting period under the Rules of Court, counsel for the plaintiff advised opposing counsel again of his intention to proceed with the application to amend the statement of claim. A number of delays ensued each resulting in a failure to proceed with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delay was largely and perhaps solely due to the procrastination of plaintiff's counsel. The plaintiff did not, at any time, authorize or instruct delay. The defendants did not contribute to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Eventually, the chambers application was set for hearing in May 2007. At that point, plaintiff's counsel realized that he should not speak to the application and retained independent counsel who appeared as agent at the eventual hearing of the application before me. Counsel for the defendants agreed that I need not consider the additional delay between June 2007 and the hearing of the application before me in calculating the extent of the delay and determining whether the defendants have been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proposed amendments were delivered to counsel for the defendants in July 2007 and are very similar to the form earlier delivered in late 2003. The proposed substantive amendments, shown as underlined,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 At all material times, MacKenzie was a director and the president of Anglo Canadian Gas Corp. ("AOI").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7. At all material times, AOI was a public company incorporated pursuant to the </w:t>
      </w:r>
      <w:r>
        <w:rPr>
          <w:rFonts w:ascii="arial" w:eastAsia="arial" w:hAnsi="arial" w:cs="arial"/>
          <w:i/>
          <w:color w:val="000000"/>
          <w:sz w:val="20"/>
          <w:u w:val="single"/>
          <w:lang w:val="en-US" w:eastAsia="en-US" w:bidi="ar-SA"/>
        </w:rPr>
        <w:t>British Columbia Act</w:t>
      </w:r>
      <w:r>
        <w:rPr>
          <w:rFonts w:ascii="arial" w:eastAsia="arial" w:hAnsi="arial" w:cs="arial"/>
          <w:color w:val="000000"/>
          <w:sz w:val="20"/>
          <w:u w:val="single"/>
          <w:lang w:val="en-US" w:eastAsia="en-US" w:bidi="ar-SA"/>
        </w:rPr>
        <w:t xml:space="preserve"> having its registered office at 6020 Steveston Highway, Richmond, British Columbia. At all material times until on or about March 16, 1998, shares in AOI traded publicly on the Vancouver Stock Exchange, now known as the TSX Venture Exchange.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8. On or about April 30, 1997, MacKenzie consented to and adopted the following resolutions in his capacity as a director of AOI (the "Resolutions")</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Whereas AOI had prepared private placement subscription agreements (the "Subscription Agreements") pursuant to a private placement (the "Private Placement") agreed to between AOI and certain Placees dated April 11, 1997;</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And whereas according to the Private Placement, the Placees agreed to purchase an aggregate of 1,250,000 units (the "Units") of AOI at a price of 34.5 cents per unit, with each Unit consisting of one common share of AOI and one non-transferrable share purchase warrant exercisable for a period of 2 years from the placement date;</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was resolved that MacKenzie or any other Director of AOI was authorized to execute such Subscription Agreements and AOI accept the aforesaid Subscription Agreement from the persons named as Placees, namely:</w:t>
      </w: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Joanne Fletcher 1712 Augusta Coguitlam, BC, V3E 3C9</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Ricardo Munoz 1319 Mahon Avenue North Vancouver, BC, V7M 2S2</w:t>
      </w:r>
    </w:p>
    <w:p>
      <w:pPr>
        <w:numPr>
          <w:numId w:val="13"/>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Tim Coupland 1210-2012 Fullerton Avenue North Vancouver, BC, V7P 3E3</w:t>
      </w:r>
    </w:p>
    <w:p>
      <w:pPr>
        <w:numPr>
          <w:numId w:val="1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Richard C. Harris Seven Mile Beach Grand Cayman Cayman Islands, BVI</w:t>
      </w:r>
    </w:p>
    <w:p>
      <w:pPr>
        <w:numPr>
          <w:numId w:val="15"/>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Roderick H. MacKenzie #1001 - 466 Moberley Vancouver, BC</w:t>
      </w:r>
    </w:p>
    <w:p>
      <w:pPr>
        <w:numPr>
          <w:numId w:val="16"/>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Piptown Investments Ltd. P.O. Box 116 Road Town, Tortolla, BVI</w:t>
      </w:r>
    </w:p>
    <w:p>
      <w:pPr>
        <w:numPr>
          <w:numId w:val="1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Upon receipt of final acceptance from regulatory authorities of the Private Placement, AOI was authorized to execute a Treasury Order for the issuance of 1,250,000 shares of AOI to the Placees as fully paid and non-assessable shares, for the price of $0.34 per share;</w:t>
      </w:r>
    </w:p>
    <w:p>
      <w:pPr>
        <w:numPr>
          <w:numId w:val="1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AOI should reserve a total 1,250,000 shares for purchase by the Placees on exercise of the Share Purchase Warrants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9. The aforesaid Resolutions were made fraudulently in that MacKenzie made them knowing they were false or made them without belief in their truth or made them recklessly, not caring whether they were true or false.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10. The Resolutions were false and fraudulent in that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names Placees were not the actual Placees or investors in AOI;</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Placees did not pay for their Private Placement shares;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AOI had not received Subscription Agreements from the persons named as Placees;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MacKenzie knew that Placees did not intend to advance the sums of money required to be advanced to AOI under the Private Placement.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11. On May 2, 1997, MacKenzie executed a Declaration (the "Declaration") to the Vancouver Stock Exchange in which he certified that, inter alia,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filing of the aforesaid Private Placement was in all respects in accordance with policy 16 in Section 3 of the Exchange's Listing Policy and Procedures Manual;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were no material changes in the affairs of AOI which had not been publicly disclosed;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changes to the terms of the Private Placement since preliminary acceptance had been disclosed.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 The Declaration of May 2, 1997 was false and was made fraudulently by MacKenzie in that he made it knowing it to be false or made without belief in its truth or made it recklessly, not caring whether it was true or false.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Particulars</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individuals named as Placees in the Private Placement were not the actual subscribers to the Units to be issued pursuant to the Private Placement;</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AOI had not received the consideration payable by the Placees pursuant to the Private Placement;</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AOI did not have sufficient or any ownership of the funds received to comply with the requirements of the Private Placement.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13. On May 23, 1997, MacKenzie executed a Treasury Order (the "Treasury Order"), authorizing and directing the Montreal Trust Company of Canada, as transfer agents for AOI, to issue certificates for fully paid commons shares in the capital of AOI to the Placees pursuant to the aforesaid Resolutions dated April 30,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14. In the Treasury Order, MacKenzie certified that the shares to be issued by Montreal Trust Company as transfer agents for AOI, were allotted to the persons names as Placees in the Private Placement and that AOI had received full consideration for the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15. MacKenzie's certification in the Treasury Order was false and was made fraudulently in that MacKenzie made it knowing it was false or made it without belief in its truth or made it recklessly, not caring whether it was true or false. The certificate was false in that AOI had not received full consideration or any consideration for the shares from the Placees, or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16. On or about July 10, 1997, MacKenzie represented to the Plaintiff that: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 was a barrister and solicitor in good standing with the Law Society of British Columbia;</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$103,500 would purchase 300,000 units in the capital of AOI, each such unit consisting of one share in AOI and one warrant to purchase one additional share in AOI;</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MacKenzie would deposit the $103,500 paid by the Plaintiff to his trust account and use those monies to purchase 300,000 units of AOI;</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MacKenzie would hold the 300,000 shares and 300,000 Warrants in AOI in trust;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MacKenzie had such units available; (the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17. MacKenzie intended the Plaintiff to rely on his representations, and to be induced by them to advance the sum of $103,500 to MacKenzie for 300,000 such units in AOI, and the Plaintiff was induced by MacKenzie's representations and did rely on them and did enter into an agreement with MacKenzie to advance $ 103.500. to be held in trust by MacKenzie for 300,000 units of AOI which units MacKenzie was to hold in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18. MacKenzie made the representations to the Plaintiff fraudulently in that MacKenzie made them knowing them to be false or made them without belief in their truth or made them recklessly, not caring whether they were true or false. The representations were false in that:</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MacKenzie did not have such shares and warrants available;</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shares MacKenzie had were derived from the Private Placement of April, 1997 referred to in this Statement of Claim;</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aforesaid Resolutions, Certification and Declaration were false and fraudulent and MacKenzie knew that consequently, any issued shares in AOI including the 1,200,000 Private Placement shares and including 300,000 units he told the Plaintiff he had available, were subject to retraction or cancellation;</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aforesaid Resolutions, Certification and Declaration made by MacKenzie were false and fraudulent and MacKenzie knew that the Plaintiff would not advance $103,500. or any sum for shares in AOI or at all, if he knew of MacKenzie's fraud;</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aforesaid Resolutions, Certification and Declaration were false and fraudulent and MacKenzie knew that consequently, trading in shares in AOI was subject to lengthy or permanent prohibition or cessation from trading and suspension by the Vancouver Stock Exchange or the British Columbia Securities Commission and consequently, the value of such shares would be eradicated.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29. The Plaintiff says that at all material times, MacKenzie stood in a fiduciary relationship to the Plaintiff and owed the Plaintiff fiduciary duties of honesty, loyalty, fidelity and avoidance of conflict of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30. The Plaintiff says that MacKenzie's fraudulent misrepresentations and fraudulent conduct as particularized aforesaid amount to a fraudulent breach of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31. Further, the Plaintiff says that the $103,500 paid to MacKenzie was impressed with a trust in favour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41. Further, the Plaintiff claims the sum of $103,500 as money received by MacKenzie for and to the use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seeks to amend the Prayer for Relief,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b.</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Repayment of the principal sum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$103,500;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Interest pursuant to the </w:t>
            </w:r>
            <w:r>
              <w:rPr>
                <w:rFonts w:ascii="arial" w:eastAsia="arial" w:hAnsi="arial" w:cs="arial"/>
                <w:i/>
                <w:color w:val="000000"/>
                <w:sz w:val="18"/>
                <w:u w:val="single"/>
                <w:lang w:val="en-US" w:eastAsia="en-US" w:bidi="ar-SA"/>
              </w:rPr>
              <w:t>Court Order Interest Act</w:t>
            </w:r>
            <w:r>
              <w:rPr>
                <w:rFonts w:ascii="arial" w:eastAsia="arial" w:hAnsi="arial" w:cs="arial"/>
                <w:color w:val="000000"/>
                <w:sz w:val="18"/>
                <w:u w:val="single"/>
                <w:lang w:val="en-US" w:eastAsia="en-US" w:bidi="ar-SA"/>
              </w:rPr>
              <w:t xml:space="preserve"> calculated from July 11, 1997 to December 12, 2003 in the sum of $129,007.88;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Interest pursuant to the </w:t>
            </w:r>
            <w:r>
              <w:rPr>
                <w:rFonts w:ascii="arial" w:eastAsia="arial" w:hAnsi="arial" w:cs="arial"/>
                <w:i/>
                <w:color w:val="000000"/>
                <w:sz w:val="18"/>
                <w:u w:val="single"/>
                <w:lang w:val="en-US" w:eastAsia="en-US" w:bidi="ar-SA"/>
              </w:rPr>
              <w:t>Court Order Interest Act</w:t>
            </w:r>
            <w:r>
              <w:rPr>
                <w:rFonts w:ascii="arial" w:eastAsia="arial" w:hAnsi="arial" w:cs="arial"/>
                <w:color w:val="000000"/>
                <w:sz w:val="18"/>
                <w:u w:val="single"/>
                <w:lang w:val="en-US" w:eastAsia="en-US" w:bidi="ar-SA"/>
              </w:rPr>
              <w:t xml:space="preserve"> calculated from December 12, 2003 to date of Judgment;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 accounting of the sum of $103,500. paid to MacKenzie;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f.</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 Declaration that the monies the Plaintiff paid to MacKenzie in the sum of $103,500 are impressed with a trust in favour of the Plaintiff for an Order that the Defendants pay the sum of $103,500 to the Plaintiff;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g.</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 Order that any necessary inquiries and accounts be made or taken;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 Order that the Defendant disgorge any profit, income, or revenue earned with the sum of $103,500. paid to MacKenzie;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Damages, including punitive, aggravated and exemplary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 Costs, including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k.</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Such further and other relief as this Honourable Court deems just.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 trial date has been set for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Ordinarily, amendments of pleadings are permitted as are necessary to determine the real questions in issue between the parties so long as it is just and convenient to do so: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at para. 38; and also, </w:t>
      </w:r>
      <w:r>
        <w:rPr>
          <w:rFonts w:ascii="arial" w:eastAsia="arial" w:hAnsi="arial" w:cs="arial"/>
          <w:i/>
          <w:color w:val="000000"/>
          <w:sz w:val="20"/>
          <w:lang w:val="en-US" w:eastAsia="en-US" w:bidi="ar-SA"/>
        </w:rPr>
        <w:t>G.A.D. v. British Columbia Children's Hospital,</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2003 BCSC 443</w:t>
        </w:r>
      </w:hyperlink>
      <w:r>
        <w:rPr>
          <w:rFonts w:ascii="arial" w:eastAsia="arial" w:hAnsi="arial" w:cs="arial"/>
          <w:color w:val="000000"/>
          <w:sz w:val="20"/>
          <w:lang w:val="en-US" w:eastAsia="en-US" w:bidi="ar-SA"/>
        </w:rPr>
        <w:t xml:space="preserve">, at para. 17. In deciding whether it is just and convenient, the court should consider the extent of and the reasons, or explanation, for any delay, as well as the degree of prejudice caused by the delay: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at paras. 45 and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contend, as I will return to later, that s. 66 of the EAA grafts on to the existing limitation periods for new causes of action raised in the proposed amendments so as to fix their expiry in June 2002, six months after delivery of the Notice. According to the defendants, the application to amend should be denied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Ryan v. Moore,</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2005 SCC 38</w:t>
        </w:r>
      </w:hyperlink>
      <w:r>
        <w:rPr>
          <w:rFonts w:ascii="arial" w:eastAsia="arial" w:hAnsi="arial" w:cs="arial"/>
          <w:color w:val="000000"/>
          <w:sz w:val="20"/>
          <w:lang w:val="en-US" w:eastAsia="en-US" w:bidi="ar-SA"/>
        </w:rPr>
        <w:t xml:space="preserve">, but that decision does not address the issue before me, namely whether to permit an amendment that raises a new cause of action where the limitation period has or may have expired. Instead, the decision focuses on the grafting effect referred to above. I accept the grafting effect. For example, a claim for non-payment of a contractual debt is subject to a six year limitation period as it falls within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I have no doubt that delivery of Notice under s. 66 of the EAA grafts on to that limitation period so as to effectively shorten it to six months from the date of delivery. Further, based on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the principle of discoverability would not apply as to do so would defeat the legislative intent underlying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Assuming for the moment that s. 66 applies to any new cause of action arising from the proposed amendments here,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does not address whether to permit the amendment in such circumstance. Other binding jurisprudence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When proposed amendments set out a new cause of action and the applicable limitation period has expired, the court will presume prejudice but that does not automatically preclude the amendment. While presumed prejudice is an important factor, all the relevant factors must be considered to determine what is just and convenient. See </w:t>
      </w:r>
      <w:r>
        <w:rPr>
          <w:rFonts w:ascii="arial" w:eastAsia="arial" w:hAnsi="arial" w:cs="arial"/>
          <w:i/>
          <w:color w:val="000000"/>
          <w:sz w:val="20"/>
          <w:lang w:val="en-US" w:eastAsia="en-US" w:bidi="ar-SA"/>
        </w:rPr>
        <w:t>G.A.D.</w:t>
      </w:r>
      <w:r>
        <w:rPr>
          <w:rFonts w:ascii="arial" w:eastAsia="arial" w:hAnsi="arial" w:cs="arial"/>
          <w:color w:val="000000"/>
          <w:sz w:val="20"/>
          <w:lang w:val="en-US" w:eastAsia="en-US" w:bidi="ar-SA"/>
        </w:rPr>
        <w:t xml:space="preserve"> at paras. 20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passages referred to immediately above, Ross J. reviewed and applied appellate authority, including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and concluded, correctly in my respectful view, that the presumption of prejudice arising as a result of an expired limitation period is not conclusive on an application to amend. Instead, as set out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"all relevant factors must be considered in light of what is just and convenient" (</w:t>
      </w:r>
      <w:r>
        <w:rPr>
          <w:rFonts w:ascii="arial" w:eastAsia="arial" w:hAnsi="arial" w:cs="arial"/>
          <w:i/>
          <w:color w:val="000000"/>
          <w:sz w:val="20"/>
          <w:lang w:val="en-US" w:eastAsia="en-US" w:bidi="ar-SA"/>
        </w:rPr>
        <w:t>G.A.D.</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decisions that the court analyzed in </w:t>
      </w:r>
      <w:r>
        <w:rPr>
          <w:rFonts w:ascii="arial" w:eastAsia="arial" w:hAnsi="arial" w:cs="arial"/>
          <w:i/>
          <w:color w:val="000000"/>
          <w:sz w:val="20"/>
          <w:lang w:val="en-US" w:eastAsia="en-US" w:bidi="ar-SA"/>
        </w:rPr>
        <w:t>G.A.D.</w:t>
      </w:r>
      <w:r>
        <w:rPr>
          <w:rFonts w:ascii="arial" w:eastAsia="arial" w:hAnsi="arial" w:cs="arial"/>
          <w:color w:val="000000"/>
          <w:sz w:val="20"/>
          <w:lang w:val="en-US" w:eastAsia="en-US" w:bidi="ar-SA"/>
        </w:rPr>
        <w:t xml:space="preserve"> interpret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section expressly permits me to allow the amendment of a pleading: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4(1) opens with the words "[i]f an action to which this or any other Act applies has been commenced"; s. 4(4) opens with "[i]n any action the court may allow". I am satisfied that the s. 4(4) interpretation set out in the decisions discussed in </w:t>
      </w:r>
      <w:r>
        <w:rPr>
          <w:rFonts w:ascii="arial" w:eastAsia="arial" w:hAnsi="arial" w:cs="arial"/>
          <w:i/>
          <w:color w:val="000000"/>
          <w:sz w:val="20"/>
          <w:lang w:val="en-US" w:eastAsia="en-US" w:bidi="ar-SA"/>
        </w:rPr>
        <w:t>G.A.D.</w:t>
      </w:r>
      <w:r>
        <w:rPr>
          <w:rFonts w:ascii="arial" w:eastAsia="arial" w:hAnsi="arial" w:cs="arial"/>
          <w:color w:val="000000"/>
          <w:sz w:val="20"/>
          <w:lang w:val="en-US" w:eastAsia="en-US" w:bidi="ar-SA"/>
        </w:rPr>
        <w:t xml:space="preserve"> apply here. Section 4(4) is not ousted, as the defendants suggest, by the legislative intent underlying s. 66 of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support of their contention that the discretion to permit an amendment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has no application, the defendants rely on the following decisions of the Court of Appeal: </w:t>
      </w:r>
      <w:r>
        <w:rPr>
          <w:rFonts w:ascii="arial" w:eastAsia="arial" w:hAnsi="arial" w:cs="arial"/>
          <w:i/>
          <w:color w:val="000000"/>
          <w:sz w:val="20"/>
          <w:lang w:val="en-US" w:eastAsia="en-US" w:bidi="ar-SA"/>
        </w:rPr>
        <w:t>M. (L. N.) v. Green,</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(1995) 11 B.C.L.R. (3d) 374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Dos Remedios v. Morey</w:t>
      </w:r>
      <w:r>
        <w:rPr>
          <w:rFonts w:ascii="arial" w:eastAsia="arial" w:hAnsi="arial" w:cs="arial"/>
          <w:color w:val="000000"/>
          <w:sz w:val="20"/>
          <w:lang w:val="en-US" w:eastAsia="en-US" w:bidi="ar-SA"/>
        </w:rPr>
        <w:t xml:space="preserve"> (1966), 56 W.W.R. 21 (B.C.C.A.); and </w:t>
      </w:r>
      <w:r>
        <w:rPr>
          <w:rFonts w:ascii="arial" w:eastAsia="arial" w:hAnsi="arial" w:cs="arial"/>
          <w:i/>
          <w:color w:val="000000"/>
          <w:sz w:val="20"/>
          <w:lang w:val="en-US" w:eastAsia="en-US" w:bidi="ar-SA"/>
        </w:rPr>
        <w:t>Cairney v. Queen Charlotte Airlines Ltd. (No. 1)</w:t>
      </w:r>
      <w:r>
        <w:rPr>
          <w:rFonts w:ascii="arial" w:eastAsia="arial" w:hAnsi="arial" w:cs="arial"/>
          <w:color w:val="000000"/>
          <w:sz w:val="20"/>
          <w:lang w:val="en-US" w:eastAsia="en-US" w:bidi="ar-SA"/>
        </w:rPr>
        <w:t xml:space="preserve"> (1954), 14 W.W.R. 301 (B.C.C.A). None of those decisions address the question whether the court has the discretion under s. 4(4) and the Rules of Court to amend pleadings to permit the raising of a new cause of action after the expiration of a limitation period under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Green</w:t>
      </w:r>
      <w:r>
        <w:rPr>
          <w:rFonts w:ascii="arial" w:eastAsia="arial" w:hAnsi="arial" w:cs="arial"/>
          <w:color w:val="000000"/>
          <w:sz w:val="20"/>
          <w:lang w:val="en-US" w:eastAsia="en-US" w:bidi="ar-SA"/>
        </w:rPr>
        <w:t xml:space="preserve"> addressed the requirement under then s. 66(4) of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R.S.B.C. 1979, c. 114, that an action commenced against an alleged tortfeasor who later dies must be continued against the executor or administrator of the estate. Section 66(4) of the 1979 statute is found in s. 59 of the current EAA and I will refer to the section again later to contrast the causes of action that fall within what are now ss. 66 and 59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applicability of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power to amend was simply not an issue in </w:t>
      </w:r>
      <w:r>
        <w:rPr>
          <w:rFonts w:ascii="arial" w:eastAsia="arial" w:hAnsi="arial" w:cs="arial"/>
          <w:i/>
          <w:color w:val="000000"/>
          <w:sz w:val="20"/>
          <w:lang w:val="en-US" w:eastAsia="en-US" w:bidi="ar-SA"/>
        </w:rPr>
        <w:t>Green</w:t>
      </w:r>
      <w:r>
        <w:rPr>
          <w:rFonts w:ascii="arial" w:eastAsia="arial" w:hAnsi="arial" w:cs="arial"/>
          <w:color w:val="000000"/>
          <w:sz w:val="20"/>
          <w:lang w:val="en-US" w:eastAsia="en-US" w:bidi="ar-SA"/>
        </w:rPr>
        <w:t xml:space="preserve"> or the other decisions referred to. The decisions are helpful, however, in interpreting the differing application of ss. 66 and 59 of the current EAA and I will discuss them for that purpose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in any event, necessary to first determine whether the proposed amendments set out any new cause of action and only, if so, whether such cause of action falls within the ambit of s. 66 of the EAA. If it does, the limitation period expired in June 2002, six months after the original delivery of the Notice, and the presumed prejudice flowing from that will be a factor to take into account along with all others in deciding whether the amendments are just and convenient. If, on the other hand, the amendments do not set out a new cause of action but are simply material particulars of the existing claims which were filed within time, there is no presumed prejudice arising from an expired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as I will also discuss, a third possibility, namely that the proposed amendments raise a new cause of action, but not one to which s. 66 applies. In that case, the Notice under s. 66 has no legal effect but I must address whether the applicable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Turning to the question whether the proposed amendments raise any new cause of action, our Rules of Court relating to pleadings do not require a plaintiff to specifically identify causes of action. Instead, the pleadings must set out, in "summary form" the "material facts on which the party relies": Rule 19(1). While the pleader must satisfy those requirements, he or she is not required to identify the cause of action: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at para. 13, affirmed </w:t>
      </w:r>
      <w:hyperlink r:id="rId702"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 at para. 5. Once facts are pled, the party asserting them "may raise any argument to be made from those facts": </w:t>
      </w:r>
      <w:r>
        <w:rPr>
          <w:rFonts w:ascii="arial" w:eastAsia="arial" w:hAnsi="arial" w:cs="arial"/>
          <w:i/>
          <w:color w:val="000000"/>
          <w:sz w:val="20"/>
          <w:lang w:val="en-US" w:eastAsia="en-US" w:bidi="ar-SA"/>
        </w:rPr>
        <w:t>Canned Heat Marketing Inc. v. CFM International Inc.,</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[1998] B.C.J. No. 2409</w:t>
        </w:r>
      </w:hyperlink>
      <w:r>
        <w:rPr>
          <w:rFonts w:ascii="arial" w:eastAsia="arial" w:hAnsi="arial" w:cs="arial"/>
          <w:color w:val="000000"/>
          <w:sz w:val="20"/>
          <w:lang w:val="en-US" w:eastAsia="en-US" w:bidi="ar-SA"/>
        </w:rPr>
        <w:t xml:space="preserve"> (S.C.), at para. 9. This is because any cause of action, in law, is inextricably linked to the underlying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cause of action is defined as "the fact or combination of facts which give rise to a right to sue": </w:t>
      </w:r>
      <w:r>
        <w:rPr>
          <w:rFonts w:ascii="arial" w:eastAsia="arial" w:hAnsi="arial" w:cs="arial"/>
          <w:i/>
          <w:color w:val="000000"/>
          <w:sz w:val="20"/>
          <w:lang w:val="en-US" w:eastAsia="en-US" w:bidi="ar-SA"/>
        </w:rPr>
        <w:t>Romanchuk v. Revelstoke (City),</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[1999] B.C.J. No. 1181</w:t>
        </w:r>
      </w:hyperlink>
      <w:r>
        <w:rPr>
          <w:rFonts w:ascii="arial" w:eastAsia="arial" w:hAnsi="arial" w:cs="arial"/>
          <w:color w:val="000000"/>
          <w:sz w:val="20"/>
          <w:lang w:val="en-US" w:eastAsia="en-US" w:bidi="ar-SA"/>
        </w:rPr>
        <w:t xml:space="preserve"> (S.C.), at para. 14. Accordingly, the focus here should be on the facts set out in the proposed amendments with a view to determining whether they give rise to some additional right to sue that did not already arise from the facts originally pled. The parties disagree on the result of this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the plaintiff contends that the combination of facts originally pled support, albeit imperfectly, claims in fraudulent misrepresentation and fraudulent breach of trust. In such regard, he emphasizes the allegations found in paragraph 10 of the original statement of claim alleging that MacKenzie "knew or ought to have known that at all material times to this transaction [AOI] had no shares for sale under the conditions of [AOI's] registration with the Vancouver Stock Exchange and the Rules of the British Columbia Securities Commission" and paragraph 11 to the effect that MacKenzie, as a solicitor, was in a fiduciary or trust position relative to the plaintiff. Counsel for the defendants contends that there is no allegation of deceit or fraudulent misrepresentation in the current pleadings but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essence of an allegation of deceit is dishonesty. There is an allegation of dishonesty in paragraph 10 of the existing statement of claim to the effect that MacKenzie, acting as a solicitor, and also a director, knew or ought to have known that AOI could not lawfully offer to sell shares to the plaintiff. Elsewhere, in paragraph 5, the plaintiff alleges that he paid the money for the "immediate purchase"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Having said that, it requires a generous reading to extract an allegation of fraudulent misrepresentation from the paragraph even when coupled with the balance of the pleading. Ordinarily, the plaintiff should allege that the representor made material misstatements, knowing them to be false, or at least was reckless whether they were true, that induced the plaintiff to enter into a contractual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facts originally alleged, if proven, support a finding that MacKenzie acted dishonestly in relation to the offering for sale and the sale of the shares to the plaintiff. It is alleged that he was acting as a solicitor and then wrongly retained the plaintiff's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amendments set out in proposed paragraphs 8 to 15 also allege fraud but in a different context. The contention in these paragraphs is that MacKenzie engaged in dishonest conduct including making fraudulent declarations to the regulatory authorities. They may be material particulars but do not give rise to any separate cause of action. Instead, they describe how MacKenzie allegedly created the appearance of a legitimate offering to prospective investors like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amendments set out in proposed paragraphs 16, 17 and 18 further particularize the facts respecting the original claims in fraud and breach of trust but also, for the first time, expressly allege fraudulent misrepresentation. I accept that paragraphs 16, 17 and 18 are better particulars of a poor initial pleading rather than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the defendants also contends that proposed paragraphs 29 and 30 allege new duties owed to the plaintiff that have been breached and thereby constitute new causes of action. Again, for the most part, I disagree. Both paragraphs address the legal result of facts previously pleaded, the existence of a fiduciary relationship on the one hand (paragraph 29) and, on the other, the fraudulent misrepresentation and conduct also constituting a fraudulent breach of trust by MacKenzie while acting as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Finally, counsel for the defendants contends that proposed paragraph 41 does not allege facts but sets out a new cause of action. That paragraph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claims the sum of $103,500 as money received by MacKenzie for and to the use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view this allegation as a potential alternative to the alleged breach of trust by MacKenzie in his capacity as a solicitor but it does not raise any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case I err in my conclusion that the claim of fraudulent misrepresentation set out in proposed paragraphs 16 to 18 is not a new cause of action, I considered whether s. 66 of the EAA grafts on and abbreviates the limitation period for such a claim. In my view,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right to claim in tort for pure economic loss attributable to fraudulent misrepresentation generally expires six years after the date on which the right to bring the action arises: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 3(5). See </w:t>
      </w:r>
      <w:r>
        <w:rPr>
          <w:rFonts w:ascii="arial" w:eastAsia="arial" w:hAnsi="arial" w:cs="arial"/>
          <w:i/>
          <w:color w:val="000000"/>
          <w:sz w:val="20"/>
          <w:lang w:val="en-US" w:eastAsia="en-US" w:bidi="ar-SA"/>
        </w:rPr>
        <w:t>Armstrong v. West Vancouver (District)</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2003 BCCA 73</w:t>
        </w:r>
      </w:hyperlink>
      <w:r>
        <w:rPr>
          <w:rFonts w:ascii="arial" w:eastAsia="arial" w:hAnsi="arial" w:cs="arial"/>
          <w:color w:val="000000"/>
          <w:sz w:val="20"/>
          <w:lang w:val="en-US" w:eastAsia="en-US" w:bidi="ar-SA"/>
        </w:rPr>
        <w:t>,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What then is the reach of s. 66 of the EAA? Section 66 of the EAA does not, in my opinion, extend beyond debt claims against an estate to claims in tort, breach of contract or breach of trust. The section, in its entirety,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 for disputed claims against estate</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if an executor or administrator gives notice in accordance with subsection (2) to</w:t>
      </w:r>
    </w:p>
    <w:p>
      <w:pPr>
        <w:numPr>
          <w:numId w:val="2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creditor or person of whose claim against the estate the executor or administrator has notice, or</w:t>
      </w:r>
    </w:p>
    <w:p>
      <w:pPr>
        <w:numPr>
          <w:numId w:val="2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or agent of the creditor or person.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must</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 in writing,</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notice that the executor or administrator rejects or disputes the claim, and</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 to this section and give notice of the intention of the executor or administrator to take advantage of it.</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notice is given in accordance with this section, the claimant must commence the claimant's action in respect of the claim whichever of the following is applicable:</w:t>
      </w:r>
    </w:p>
    <w:p>
      <w:pPr>
        <w:numPr>
          <w:numId w:val="2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6 months after the notice is given, if the debt or a part of it is due at the time of the notice;</w:t>
      </w:r>
    </w:p>
    <w:p>
      <w:pPr>
        <w:numPr>
          <w:numId w:val="2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6 months of the time the debt or a part of it falls due, if no part of it is due at the time of the notice.</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claimant's action is not commenced within the applicable time under subsection (3), the claim is forever barred.</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(4) does not bar a claim by a beneficiary of the estate with respect to a claim by the beneficiary against the estate in the person's capacity as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Having regard to the references to "creditor" in subsection (1) and to "debt" in subsection (3), the legislature intended to provide a means by which the executor or administrator of an estate can force creditors to commence their action within six months rather than having to delay winding up the estate until the expiry of the six year limitation period that would normally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Meldrum Estate v. Klassen Estate (Public Trustee of),</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[1998] B.C.J. No. 2532</w:t>
        </w:r>
      </w:hyperlink>
      <w:r>
        <w:rPr>
          <w:rFonts w:ascii="arial" w:eastAsia="arial" w:hAnsi="arial" w:cs="arial"/>
          <w:color w:val="000000"/>
          <w:sz w:val="20"/>
          <w:lang w:val="en-US" w:eastAsia="en-US" w:bidi="ar-SA"/>
        </w:rPr>
        <w:t xml:space="preserve"> (S.C.), Josephson J. concluded that the public policy consideration underlying s. 66 "was to enable a timely winding-up of an estate without awaiting the expiration of statutory time limits" (para. 7). Restricting s. 66 to debt claims is also consonant with the interpretation of similar legislation in Ontario: see </w:t>
      </w:r>
      <w:r>
        <w:rPr>
          <w:rFonts w:ascii="arial" w:eastAsia="arial" w:hAnsi="arial" w:cs="arial"/>
          <w:i/>
          <w:color w:val="000000"/>
          <w:sz w:val="20"/>
          <w:lang w:val="en-US" w:eastAsia="en-US" w:bidi="ar-SA"/>
        </w:rPr>
        <w:t>Re: Graham</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(1911), 25 O.L.R. 5</w:t>
        </w:r>
      </w:hyperlink>
      <w:r>
        <w:rPr>
          <w:rFonts w:ascii="arial" w:eastAsia="arial" w:hAnsi="arial" w:cs="arial"/>
          <w:color w:val="000000"/>
          <w:sz w:val="20"/>
          <w:lang w:val="en-US" w:eastAsia="en-US" w:bidi="ar-SA"/>
        </w:rPr>
        <w:t xml:space="preserve">, at 7 (H.C.), followed in </w:t>
      </w:r>
      <w:r>
        <w:rPr>
          <w:rFonts w:ascii="arial" w:eastAsia="arial" w:hAnsi="arial" w:cs="arial"/>
          <w:i/>
          <w:color w:val="000000"/>
          <w:sz w:val="20"/>
          <w:lang w:val="en-US" w:eastAsia="en-US" w:bidi="ar-SA"/>
        </w:rPr>
        <w:t>Huffmon v. Breese</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(1974), 3 O.R. (2d) 416</w:t>
        </w:r>
      </w:hyperlink>
      <w:r>
        <w:rPr>
          <w:rFonts w:ascii="arial" w:eastAsia="arial" w:hAnsi="arial" w:cs="arial"/>
          <w:color w:val="000000"/>
          <w:sz w:val="20"/>
          <w:lang w:val="en-US" w:eastAsia="en-US" w:bidi="ar-SA"/>
        </w:rPr>
        <w:t xml:space="preserve"> at 421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further support for my conclusion in s. 59 of the current Act and its predecessors. Section 59(6) permits a person who has suffered loss or damage by the fault of a person since deceased, subject to some exceptions not material here, to bring an action against the estate "within the time otherwise limited for the action" but makes no reference to that time being limited in any way by s. 66. Section 59(6) reads:</w:t>
      </w:r>
      <w:r>
        <w:rPr>
          <w:rFonts w:ascii="arial" w:eastAsia="arial" w:hAnsi="arial" w:cs="arial"/>
          <w:sz w:val="20"/>
          <w:lang w:val="en-US" w:eastAsia="en-US" w:bidi="ar-SA"/>
        </w:rPr>
        <w:cr/>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alleges that the person has suffered loss or damage by the fault of another and the person alleged to be at fault dies, the person wronged may</w:t>
      </w:r>
    </w:p>
    <w:p>
      <w:pPr>
        <w:numPr>
          <w:numId w:val="3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 against the executor or administrator of the deceased any action on that account pending against the deceased at the time of the deceased's death, or</w:t>
      </w:r>
    </w:p>
    <w:p>
      <w:pPr>
        <w:numPr>
          <w:numId w:val="3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time otherwise limited for the action, bring an action for the loss or damage, naming as defendant in it</w:t>
      </w:r>
    </w:p>
    <w:p>
      <w:pPr>
        <w:numPr>
          <w:numId w:val="32"/>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executor or administrator of the estate of the deceased, or</w:t>
      </w:r>
    </w:p>
    <w:p>
      <w:pPr>
        <w:numPr>
          <w:numId w:val="33"/>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Earlier, I referred to the Court of Appeal decisions in </w:t>
      </w:r>
      <w:r>
        <w:rPr>
          <w:rFonts w:ascii="arial" w:eastAsia="arial" w:hAnsi="arial" w:cs="arial"/>
          <w:i/>
          <w:color w:val="000000"/>
          <w:sz w:val="20"/>
          <w:lang w:val="en-US" w:eastAsia="en-US" w:bidi="ar-SA"/>
        </w:rPr>
        <w:t>Green, Dos Remedios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Cairney.</w:t>
      </w:r>
      <w:r>
        <w:rPr>
          <w:rFonts w:ascii="arial" w:eastAsia="arial" w:hAnsi="arial" w:cs="arial"/>
          <w:color w:val="000000"/>
          <w:sz w:val="20"/>
          <w:lang w:val="en-US" w:eastAsia="en-US" w:bidi="ar-SA"/>
        </w:rPr>
        <w:t xml:space="preserve"> All involved tort claims rather than debt claims. A historical review of the legislative history demonstrates that the EAA and its predecessors always differentiated between debt claims and other claims, including those in tort or contract. The following table illustrates: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1882"/>
        <w:gridCol w:w="1987"/>
        <w:gridCol w:w="156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Limitation</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R.S.B.C.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R.S.B.C.</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R.S.B.C.</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R.S.B.C.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periods for</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1948</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1960</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1979</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various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against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 estate</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1882"/>
        <w:gridCol w:w="1987"/>
        <w:gridCol w:w="156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Bringing new</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tort action</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against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deceased</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71(3)(b):</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71(4)(b):</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66(4)(b):</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59: no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 months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 months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twelve</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death</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death</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months</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limitation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if no</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if no</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death</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period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probate or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probate or</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letters of</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letters of</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administra-</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administra-</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tion,</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otherwise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otherwise</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six months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six months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death</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death</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1882"/>
        <w:gridCol w:w="1987"/>
        <w:gridCol w:w="156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Disputed</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debt claims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78: six</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78: six</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72(1):</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66(3)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months from</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months from</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six months</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six</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either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either</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either</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months from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notice or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notice or</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notice or</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either notice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when debt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when debt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when debt</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when debt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Of significance is the following. Section 66 of the current Act and its predecessors have always dealt with debt claims and provided for a form of six month notice to commence action similar to current s. 66(4). Current s. 59 has no similar limitation; instead, it effectively incorporates the limitation period from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other applicable legislation. Previously, the EAA did provide a shorter limitation period for tort claims although never six months upon notice being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immediate predecessor to s. 59 was s. 66(4) of the 1979 statute. It provided a reduced limitation period of 12 months for most tort claims against the deceased. Then s. 66(4)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 person alleges that he has suffered loss or damage by the fault of another and the person alleged to be at fault dies, the person wronged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continue against the executor or administrator of the deceased any action on that account pending against the deceased at the time of his death; or</w:t>
      </w: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may, if the period of limitation appropriate to the action had not expired at the time of the death and the action is brought not later than 12 months after the date of the death, bring an action for the loss or damage, naming as defendant in it the</w:t>
      </w:r>
    </w:p>
    <w:p>
      <w:pPr>
        <w:numPr>
          <w:numId w:val="35"/>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executor or administrator of the estate of the deceased; or</w:t>
      </w:r>
    </w:p>
    <w:p>
      <w:pPr>
        <w:numPr>
          <w:numId w:val="3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deceased, in which event the action is valid notwithstanding that the defendant is dead at the time the action is brought,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damages or costs, or both, recovered in the action are payable out of the estate of the deceased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analysis confirms my view that the legislature never intended current s. 66 to apply to tort claims against a deceased person or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I am not persuaded that the Notice under s. 66 had any impact on the applicable limitation period in the case at bar. Accordingly, principles such as discoverability, or postponement, might apply to extend the limitation period, if necessary. I turn next to whether I should permit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to the objections that some of the proposed amendments raise new causes of action, counsel for the defendants also contends that proposed paragraphs 6 to 15 are otherwise irrelevant and that paragraph 31 is unnecessary. Questions of relevance should be left to the trial judge and I would not deny the amendments on that basis. I also conclude that paragraph 31 may be necessary if the plaintiff fails to establish that MacKenzie acted in his capacity as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Insofar as the proposed amendments provide further particulars of the claims advanced, and raise a new cause of action in fraudulent misrepresentation, there is an obvious interconnection that militates in favour of permitting them. The new cause of action is intertwined with the present claims, largely arises out of the same facts and should be tried in the same proceeding as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to prejudice associated with delay, I keep in mind that where a limitation period expires, the effective time frame for considering prejudice is that occurring after the expiry of the limitation period plus the year available for service of the writ of summons permitted by our Rules of Court. All defendants are at risk in the same way during that cumulative period. See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at para. 8. There is, as a result, a grace period here of seven years, that is, until July 2004 before I should consider the prejudicial effect associated with the further delay to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 do not doubt that the delay is mostly, and perhaps entirely, attributable to counsel for the plaintiff, the defendants are not additionally hampered in their ability to defend as a result of any of the delay that has occurred since July 2004. The proposed amendments stem largely from a review of additional documents, particularly records of the Vancouver Stock Exchange and AOI, which are available to all the parties. I appreciate that an executor is always hampered by the inability to review the issues raised in litigation with the deceased but that is not itself a prejudice attributable to the delay in this case including delay pre- and post-expiry of the limitation period and time for service. MacKenzie died in March 2000 so the executor was hampered long before the expiry of the limitation period. Finally, I observe that there is no evidence here to suggest that any relevant documents were destroyed or lost during the period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presumed prejudice arising from the expiration of the limitation period in relation to the new cause of action but that is just one factor to consider in light of the others that I have identified. I also note that the defendants were put on effective notice of the claim in fraudulent misrepresentation in the fall of 2003, well before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left with two further general prejudicial effects of delay in this case, first, the inevitable erosion of witnesses' memories associated with the passage of time and, second, that the litigation delay likely precludes the timely distribution of the MacKenzie estate. The issues raised by the proposed amendments are sufficiently interconnected that I doubt that any significant additional prejudice arises if I permit them. As to the second effect, the proposed amendments do not render the litigation more complex than it already was. Distribution of the estate necessarily awaits resolution of the original claims as well as the additional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Taking into account all the factors discussed, I find it just and convenient to grant the application to further amend the statement of claim.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Bendzak v. Bohnet, [2013] B.C.J. No. 464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22-26, 2012.</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January 18,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S090402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464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435</w:t>
      </w:r>
    </w:p>
    <w:p>
      <w:pPr>
        <w:spacing w:before="120" w:line="260" w:lineRule="atLeast"/>
        <w:rPr>
          <w:lang w:val="en-US" w:eastAsia="en-US" w:bidi="ar-SA"/>
        </w:rPr>
      </w:pPr>
      <w:r>
        <w:rPr>
          <w:rFonts w:ascii="arial" w:eastAsia="arial" w:hAnsi="arial" w:cs="arial"/>
          <w:color w:val="000000"/>
          <w:sz w:val="20"/>
          <w:lang w:val="en-US" w:eastAsia="en-US" w:bidi="ar-SA"/>
        </w:rPr>
        <w:t>Between Tanner Joseph Bendzak, Plaintiff, and Floyd Winston Bohnet, Julie Christine Bohnet and Connor Bohnet,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5"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9" w:name="Keywords_34"/>
      <w:bookmarkEnd w:id="309"/>
      <w:r>
        <w:rPr>
          <w:rFonts w:ascii="arial" w:eastAsia="arial" w:hAnsi="arial" w:cs="arial"/>
          <w:b/>
          <w:color w:val="000000"/>
          <w:sz w:val="20"/>
          <w:lang w:val="en-US" w:eastAsia="en-US" w:bidi="ar-SA"/>
        </w:rPr>
        <w:t>Tort law — Occupiers' liability — Dangerous premises — Duty of occupier — To invitees — Legislation — Particular situations — Injury to children — Determination of liability for injuries arising from electrical accident — Parents were equally at fault — Plaintiff was injured when he and friend, both 13, were raising irrigation pipe that came into contact with power line on property of friend's parents — Plaintiff claimed that parents breached duty under Occupiers Liability Act to ensure that he was reasonably safe — Area was fraught with potential peril and parents depended only on friend to keep plaintiff safe.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0" w:name="Case Summary_32"/>
            <w:bookmarkEnd w:id="31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of liability for injuries arising from an electrical accident. The plaintiff was seriously injured as a 13-year-old when he and a friend, who was also 13, were raising an aluminum irrigation pipe that came into contact with a high voltage power line running above a field on the property of the friend's parents. The mother had directed the friend, while the plaintiff was visiting, to change the location of pipes in the field. The pipes were as long as 40 feet. The one that the boys raised was not one of those that the friend was required to move, but attracted their attention when they determined that there was a squirrel inside. The accident occurred when they attempted to dislodge the squirrel. The plaintiff claimed that the parents breached a duty under the Occupiers Liability Act to ensure that he was reasonably safe in using their premises. </w:t>
            </w:r>
            <w:r>
              <w:rPr>
                <w:lang w:val="en-US" w:eastAsia="en-US" w:bidi="ar-SA"/>
              </w:rPr>
              <w:cr/>
            </w:r>
          </w:p>
          <w:p>
            <w:pPr>
              <w:spacing w:before="120" w:line="260" w:lineRule="atLeast"/>
              <w:ind w:left="240"/>
              <w:jc w:val="both"/>
              <w:rPr>
                <w:lang w:val="en-US" w:eastAsia="en-US" w:bidi="ar-SA"/>
              </w:rPr>
            </w:pPr>
            <w:bookmarkStart w:id="311" w:name="Holdings of Court_30"/>
            <w:bookmarkEnd w:id="311"/>
            <w:r>
              <w:rPr>
                <w:rFonts w:ascii="arial" w:eastAsia="arial" w:hAnsi="arial" w:cs="arial"/>
                <w:color w:val="000000"/>
                <w:sz w:val="20"/>
                <w:lang w:val="en-US" w:eastAsia="en-US" w:bidi="ar-SA"/>
              </w:rPr>
              <w:t>HELD: The parents were equally at fault for the accident.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critical factors were the particular circumstances under which the plaintiff was injured, not the general practice applicable to irrigation under power lines in the area. The area was fraught with potential peril. Pipes that, if stood vertically, were of sufficient length to touch the power line were strewn about. It did not matter that it was unnecessary to stand them up to move them. The parents depended only on the friend's remaining within the four corners of the chore to keep the plaintiff safe, despite the self-evident immaturity and unpredictability that were attributes of 13-year-old children. The father appeared to have been the principal supervisor and instructor with respect to the maintenance of the irrigation system, but the mother left the boys to enter the field on the day of the accident. </w:t>
            </w:r>
            <w:r>
              <w:rPr>
                <w:lang w:val="en-US" w:eastAsia="en-US" w:bidi="ar-SA"/>
              </w:rPr>
              <w:cr/>
            </w:r>
          </w:p>
          <w:p>
            <w:pPr>
              <w:rPr>
                <w:lang w:val="en-US" w:eastAsia="en-US" w:bidi="ar-SA"/>
              </w:rPr>
            </w:pPr>
          </w:p>
        </w:tc>
      </w:tr>
    </w:tbl>
    <w:p>
      <w:pPr>
        <w:jc w:val="both"/>
        <w:rPr>
          <w:lang w:val="en-US" w:eastAsia="en-US" w:bidi="ar-SA"/>
        </w:rPr>
      </w:pPr>
      <w:bookmarkStart w:id="312" w:name="Legislation Cited_32"/>
      <w:bookmarkEnd w:id="31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6"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Occupiers Liability Act, </w:t>
      </w:r>
      <w:hyperlink r:id="rId103"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313" w:name="Counsel_34"/>
      <w:bookmarkEnd w:id="31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7" style="position:absolute;z-index:251796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G.J. Kehler.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D.H. Taylor.</w:t>
      </w:r>
      <w:r>
        <w:rPr>
          <w:lang w:val="en-US" w:eastAsia="en-US" w:bidi="ar-SA"/>
        </w:rPr>
        <w:cr/>
      </w:r>
    </w:p>
    <w:p>
      <w:pPr>
        <w:spacing w:after="240"/>
        <w:rPr>
          <w:lang w:val="en-US" w:eastAsia="en-US" w:bidi="ar-SA"/>
        </w:rPr>
      </w:pPr>
      <w:bookmarkStart w:id="314" w:name="Judgment_34"/>
      <w:bookmarkEnd w:id="314"/>
      <w:r>
        <w:pict>
          <v:line id="_x0000_s1208" style="position:absolute;z-index:25184768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5" w:name="T.A. SCHULTES J. (orally)"/>
            <w:bookmarkEnd w:id="315"/>
            <w:r>
              <w:rPr>
                <w:rFonts w:ascii="arial" w:eastAsia="arial" w:hAnsi="arial" w:cs="arial"/>
                <w:b/>
                <w:color w:val="000000"/>
                <w:sz w:val="30"/>
                <w:lang w:val="en-US" w:eastAsia="en-US" w:bidi="ar-SA"/>
              </w:rPr>
              <w:t>T.A. SCHULTES J. (orally)</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21, 2001 in Savona, British Columbia, 13-year-old Tanner Bendzak was seriously injured when an aluminum irrigation pipe that he and his friend Connor Bohnet were raising came into contact with a high voltage power line running above a field on Connor's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trial on liability was concerned with the question of whether Connor's parents, Floyd and Julie Bohnet, breached their duty to ensure that Tanner was reasonably safe in using their premises, as is required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essential facts are not significantly in issue. The issue is whether any breach of duty by the Bohnets flows from those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Like Tanner, Connor was also 13 years old at the time of the accident. Both boys lived on ranches, which were located about 10 kilometres apart. The Bohnets were involved in ranching and a fence building business, and the Bendzaks ran a fishing resort, in addition to a small degree of participation in ranching.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boys were good friends and engaged in a variety of activities together. The activity that is particularly relevant to this case was hunting ground squirrels, which are popularly known as gophers. There was evidence that at Tanner's property they used several methods, including pellet gun and leghold traps, in order to eliminate the squirrels. Tanner was paid a small bounty by his parents for each one he caught.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These rodents are regarded as pests on rural properties. There was evidence that they frequently take refuge in irrigation pipes.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day of the accident was a school day for the boys. They went on a field trip with their class to a local First Nations band. Afterwards, Connor's mother picked them up and brought them to the Bohnet residence. Mr. Bohnet was away from home that day working on a fence building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plan was for the boys to go swimming together on the property, before heading into town for a softball or baseball game that they had scheduled for that evening. Before the boys could go swimming, Mrs. Bohnet reminded Connor that he had the chore to do of changing the location of the irrigation pipes in the hay field next to the house. This field was used as forage for animals that were kept on the ranch.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some dispute in the evidence about the exact extent to which Mrs. Bohnet may have directed Tanner, in addition to her own son, to complete this chore. Tanner conceded in his evidence that Mrs. Bohnet was speaking to Connor in relation to the chore and that she did not specifically ask or tell them to do it, but his view was that if his friend had chores to be done, he should do them too.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Connor gave evidence that his mother did not ask Tanner to assist him and that he did not expect Tanner to do it, but that if Tanner wanted to, that was fine with him. Mrs. Bohnet conceded that Tanner was not forbidden to assist, and that it is not uncommon for boys to help each other out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Tanner recalled that the boys went to put on rubber boots before beginning the task, but that he did not actually don the pair that was available for him to use because it had a hole in one sole. Both Mrs. Bohnet and Connor suggested in their evidence that Tanner did not wish to put on the boots because he had a nice pair of runners of his own on, and in Mrs. Bohnet's case, for the additional reason that he had his good clothes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These suggestions of Tanner's basis for rejecting the rubber boots were never put to Tanner in cross-examination, nor did counsel for the Bohnets seek to recall Tanner after the their evidence about it so that they could be put to him. In the circumstances, I can give it no weight. I should say that in any event I found it implausible, in light of the age of these boys and their relationship with each other, that Tanner would stand on the condition of his shoes or clothes as a reason not to participate in assisting his friend.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Of course, Tanner's status as a person to whom a duty is owed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depend on whether he was directed to assist in this task or not, but to the extent that it affects the forseeability of risk on the part of the Bohnets with respect to the events that were to follow. I have no difficulty finding that Mrs. Bohnet, and indeed any reasonable person in her position, would have envisioned Tanner at least accompanying Connor on his task, and very likely sharing in the physical activities that it might consist 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boys then went outside to change the position of the pipes. They took Connor's dirt bike approximately a hundred yards to the area where they would be working.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irrigation system in place consisted of aluminum pipes 3 inches in diameter, which were available in lengths of 20, 30 and 40 feet. In the irrigation process these pipes were to be connected to various sprinklers, (which were on risers to keep them above the grass) and also to a hydrant that supplied the water. The lines thus formed by these pipes had to be moved regularly, by about a distance of 60 feet each time, to ensure irrigation to the entire field area. This was the task that Connor was required to do. The process involved was to drain and disconnect the pipes, carry or drag them to the next location and then re-connect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say more about the process of moving the pipes and how they could be carried when I deal with Mr. Bohnet's evidence about the training that he had provided to Connor and his other 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Tanner testified that he and Connor had been moving lines for half an hour when he heard chirping in a pipe that he recognized as coming from a squirrel, and also saw Connor's dog, who had accompanied them, acting as though a pipe had a squirrel in it. Connor recalled that when he heard the noise they were still waiting for the water to drain so that the pipes could be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Tanner, this pipe that apparently contained a squirrel was "probably a hundred feet" away. It was not part of the system that they were disconnecting and moving. Connor testified that the pipe was within 40 or 50 feet of their position. In cross-examination it was pointed out to him that on his examination for discovery he testified that it was within a pipe's length, which he agreed would be between 20 to 40 feet in the case of the pipes that were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Connor and his father were clear in their evidence that the pipe that appeared to contain the squirrel was not part of the irrigation lines that Connor was to be moving on that day; that is, it was not part of the field's irrigation system at that particular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boys made a joint decision to get the gopher out of the pipe. Tanner's reasoning was that if an animal is left in the pipe and then dies, presumably by drowning when the pipe is used, it creates problems by clogging up the pipe. Connor's view was instead that they were getting it out in order for the dog to chase it. As I will discuss, it was Mr. Bohnet's approach, in which Connor had been trained, that rodents were to be flushed out of the pipes using the water that flowed when the pipe was reattached to the line, as part of the irrigation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any event, as I have said the boys made a decision to try to dislodge the squirrel by raising the pipe. There was evidence that they would have been capable of carrying the pipes horizontally by holding them at a balance point in the middle, but that one of them alone would not be capable of standing it up vertically. The procedure required, which indeed is the one they followed, would be for one boy to anchor the pipe and the other to raise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Connor recalled that they first tried to raise it with him anchoring, but it was common ground in their evidence that at some point their positions were that Tanner, who was heavier, anchored the pipe while Connor raised it. Once the angle of the pipe got fairly steep Tanner put his ear to the opening in it and was listening for the squirrel. It is not contested that shortly after he started doing this the pipe touched the overhead power line -- electrically shocking both boys severely and killing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evidence was available about which length of pipe was being raised by the boys when they touched the line or exactly how high the line was above the field. Mr. Bohnet testified that a higher percentage of the pipes available were of the 40-foot length. Similarly, the exact location where contact was made could not be identified with precision, but what is relevant is that it occurred in the part of the field in which the boys had been engaged in moving the pipes.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Bohnet was inside reading when this occurred. She said she would have been able to look out if necessary to ensure Connor was "on task". She heard a strange sound and went out to investigate. She discovered the injured boys and the dead dog and called for urgent medical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line that was contacted by the pole, which cut across the field containing the irrigation line, was later relocated by BC Hydro when the Bohnets built a new house on their property. There was no cost to them for the movement of the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Bohnet testified that he was never informed by BC Hydro that he should not grow hay or engage in irrigation in the right of way underneath the line, nor did Hydro erect any warning signs or direct him to convey in any way the danger of the overhead lines to any user. According to him, the other ranchers in town over whose land high voltage lines passed did not refrain from agricultural activity beneath them either, nor did they display any warnings in those areas. He agreed with the suggestion that he had never turned his mind to the height of the power lines on his own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Bohnet explained that Connor and his older brother were responsible for the irrigation lines on that field. He trained them in the proper means of removing and reinstalling the irrigation pipes to move them across the field. Because the field is not perfectly rectangular, it changes in length as the pipes are moved, requiring some lengths of pipe to be removed and kept to one side for that period. Those extra pipes can then be reattached when the irrigation process moves back the other way. He said that the pipes that the boys lifted in this case could also have been from irrigation piping for another field on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Bohnet indicated that any rodents that may have gone into spare pipes are to be flushed from the lines at the time that the pipes are reattached. Connor also testified to having been instructed by his father to flush out rodents in this way. According to Mr. Bohnet there were never any circumstances in which pipes were to be raised vertically, whether to dislodge a rodent or for any other purpose, during the process of installing or moving irrigation lines.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advised that, like the boys, he himself could not stand a 40-foot length of pipe vertically without it being anchored. The proper manner of carrying the pipes, according to him, is to find the balance point in the middle of a pipe and then carry it horizontally, with hands held fairly wide apart.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was aware of the danger of lifting the pipes vertically in terms of the proximity of the power line. He was also aware of the known propensity of rodents to nest in the lines. He had no concerns about his sons moving pipes under the power lines. He did not describe having given them any specific instructions directed to the risk of contact between the pipes and the lines.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evidence from Mr. Bhatti, an occupational safety supervisor with WorkSafe BC, that the records of that regulatory body contain information about two accidents involving irrigation pipes contacting overhead power lines -- in 1988 and 1995. The circumstances of the 1995 accident, according to WorkSafe's records, were eerily similar to the present one, in that the farm worker who was fatally injured was attempting to dislodge a squirrel by standing an irrigation pipe vertically when he was electrocuted.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there are no specific records of mailings to individual registered employers, Mr. Bhatti was able to say that the company operating the Bohnet ranch would have been mailed a copy of a poster that described the circumstances of the 1995 accident by the Workers' Compensation Board (as WorkSafe was then named). This is because notifications were sent to all employers in the agricultural sector, which includes ranching.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Bohnet is the member of the household who would likely have reviewed any such correspondence, and his company was indeed registered with the Workers' Compensation Board at the time that it would have been 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found his evidence somewhat evasive and unhelpful on the issue of whether he saw this information poster about the similar 1995 accident before or after the incident involving Tanner and his son. In his examination for discovery he agreed that he had seen it but could not say when. He agreed in cross-examination that if he had seen it after the accident he would have had somewhat of an "epiphany", based on the similarity of the circumstances, but that he experienced no such moment of recognition whenever he did see it. However, he would also not accept the obvious implication of his rejection of that proposition, which was that he must have seen the poster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Mr. Bohnet must have seen the poster in the usual course of receiving correspondence from the Workers' Compensation Board, but as I will discuss, that finding is not in itself determinative of any degree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Tanner had visited the Bohnet residence previously between 10 and 20 times. He had not assisted in moving irrigation pipes previously. He said that he had assisted in building dams to raise the flow of a creek on the property to allow water to be drawn. Connor does not recall this specific activity, but acknowledged that he and Tanner had built lots of "little diversions".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Tanner had assisted in moving irrigation lines on his own property in the presence of his father and older brother. In some cases, these irrigation lines may have passed under power lines.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Tanner's knowledge of the dangers of electricity were primitive at best. He had received an electrical safety training session somewhere between Grades 3 and 5 during which a hot dog was burned using electrical current to demonstrate the dangers of electricity. He knew not to stick his fingers in electrical outlets, but most significantly, he did not at the time of this accident think that power lines of the kind that he and Connor touched with the pipe were dangerous, unless they were downed on a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requires an occupier of premises to take that care that is reasonable in all the circumstances of the case to see that a person on the premises will be reasonably safe in using the premises. This duty applies to, among other considerations, the condition of the premises and the activities on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All of the necessary technical requirements for this section to apply have been admitted. The Bohnets were certainly occupiers, and Tanner is conceded to have been an invited guest. It was not submitted in final argument on Tanner's behalf that Connor should bear any liability for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standard of care set out in s. 3(1) is comprehensive, and it is not necessary to refer to standards set out in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that is "likely to be more confusing than helpful in the analysis": </w:t>
      </w:r>
      <w:r>
        <w:rPr>
          <w:rFonts w:ascii="arial" w:eastAsia="arial" w:hAnsi="arial" w:cs="arial"/>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at 118;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at para. 62.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standard of care is one of reasonableness and not perfection. The occupier is definitely not an insurer against any possible risk of harm: </w:t>
      </w:r>
      <w:r>
        <w:rPr>
          <w:rFonts w:ascii="arial" w:eastAsia="arial" w:hAnsi="arial" w:cs="arial"/>
          <w:i/>
          <w:color w:val="000000"/>
          <w:sz w:val="20"/>
          <w:lang w:val="en-US" w:eastAsia="en-US" w:bidi="ar-SA"/>
        </w:rPr>
        <w:t>Carlson v. Canada Safeway</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Sulmona v. Serraglio</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[1986] B.C.J. No. 413</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duty is not to ensure that those using the premises will be absolutely safe but to use reasonable care to prevent injury or harm from danger that is or ought to be known: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721"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test is not "whether anything could have been done to prevent the injury using 20/20 hindsight, but rather whether the steps taken by the occupier were reasonable in all the circumstances":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at para. 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Although it is not specifically mentioned in the section, the common law requirement of reasonable foreseeability of harm remains part of the analysis of liability under the act: </w:t>
      </w:r>
      <w:r>
        <w:rPr>
          <w:rFonts w:ascii="arial" w:eastAsia="arial" w:hAnsi="arial" w:cs="arial"/>
          <w:i/>
          <w:color w:val="000000"/>
          <w:sz w:val="20"/>
          <w:lang w:val="en-US" w:eastAsia="en-US" w:bidi="ar-SA"/>
        </w:rPr>
        <w:t>Rendall v. Ewert</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(C.A.) at 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For a risk to be foreseeable it is not required that it be more likely than not to occur or that there needs to be some particular degree of statistical probability attaching to it.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at para. 13, Chief Justice McLachlan described the correct approach: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Much has been written on how probable or likely a harm needs to be in order to be considered reasonably foreseeable.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as a "real risk", i.e. "one which would occur to the mind of a reasonable man in the position of the defendan[t] . . . and which he would not brush aside as far-fetched"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(P.C.), at p. 643).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also not necessary that the exact type of injury that occurred be foreseen. As Mr. Justice Dickson explained in </w:t>
      </w:r>
      <w:r>
        <w:rPr>
          <w:rFonts w:ascii="arial" w:eastAsia="arial" w:hAnsi="arial" w:cs="arial"/>
          <w:i/>
          <w:color w:val="000000"/>
          <w:sz w:val="20"/>
          <w:lang w:val="en-US" w:eastAsia="en-US" w:bidi="ar-SA"/>
        </w:rPr>
        <w:t>Assiniboine School Division No. 3 v. Hoffer</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(1971), 21 D.L.R. (3d) 608</w:t>
        </w:r>
      </w:hyperlink>
      <w:r>
        <w:rPr>
          <w:rFonts w:ascii="arial" w:eastAsia="arial" w:hAnsi="arial" w:cs="arial"/>
          <w:color w:val="000000"/>
          <w:sz w:val="20"/>
          <w:lang w:val="en-US" w:eastAsia="en-US" w:bidi="ar-SA"/>
        </w:rPr>
        <w:t xml:space="preserve"> (Man. C.A.), at page 614: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enough to fix liability if one could foresee in a general way the sort of thing that happened. The extent of the damage and its manner of incidence may not be foreseeable if physical damage of the kind which in fact ensued is foreseeable.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Côté</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at p. 604 Mr. Justice Dickson elaborated on this principle: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not necessary that one foresee the "precise concatenation of events"; it is enough to fix liability if one can foresee in a general way the class or character of injury which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Bohnets argue that this was in essence a freak accident, one that arose from the boys getting "caught up in the moment" and "failing to appreciate the danger around them." The Bohnets, it is submitted, did everything that could reasonably be expected of them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nothing from any supervisory authority suggesting or requiring that irrigation under the power lines should not be engaged in, and it is widely done in their area. Connor was properly trained, in their view, in how to change the pipes safely; standing the pipes up vertically is no part of that process. In the circumstances no reasonable person would foresee the highly unusual act of standing the pipe upright to dislodge a squirrel, which was not required for the task that Connor was given. A single official notice of a related accident, which Mrs. Bohnet does not recall seeing and Mr. Bohnet cannot put a time to, does not displace that reasonable state of mind.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for Mr. Bendzak argues that the absence of any warning of the dangers inherent in moving the pipes unsafely in this location or of any instruction about how to do it safely and, more broadly, the failure to remedy the overall dangerous situation created by this activity going on in close proximity to the power lines means that the Bohnets breached their duty to Tanner to keep him reasonably safe on their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argued that, despite the Bohnets' awareness of a high voltage line across their field, of the propensity of gophers to nest in irrigation pipes beneath it, and of the boys' enthusiasm for gopher hunting, Tanner was still permitted into this area. It was not roped off or otherwise isolated and was not subject to warning signs. Nor did the Bohnets, knowing of this dangerous proximity, make any request to have the line moved, something that was apparently done without difficulty when they later requested it incidentally to their new home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light of such factors, Mr. Bendzak's counsel takes the position that the accident was an entirely foreseeable and preventable act and that it represents a clear breach of the Bohnets' duty under the legislation.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this case will turn on the question of the foreseeability of the risk of harm. It is clear to me from all of the evidence that the accident that occurred was a risk the Bohnets had not actively put their minds to. The irrigation of the field below the power lines and the movement of irrigation pipes along it seem to have been carried out without any specific concern for the possibility and danger of contact between the pipes and the lines.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Connor was certainly trained in the operation of the line, including how to move the pipes, but the specific risk of standing the pipes vertically, either in that process or for some other reason, does not appear to have been adverted to by anyone in the Bohnet family, including in Connor's instructions. I infer that this was because standing them up is unnecessary for any purpose related to the movement of pipes for irrigation, including removing rodents.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Things proceeded uneventfully until this accident, with Connor carrying out the chore requested, with his mother and father apparently having confidence that this was a safe activity if carried out in the manner that he had been instructed.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it is clear that they did not advert to this risk, the real issue is whether they should have foreseen the realistic risk of such a serious accident occurring and taken steps to prevent it, specifically, as suggested by counsel, by warning and/or supervising Tanner when he was assisting Connor or, more fundamentally, preventing the situation from arising at all by isolating the area or having the line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take the Bohnets' points that the irrigation under power lines was common in the area and that no efforts to prevent it or to require warnings were undertaken by BC Hydro. It also seems, based on the records of WorkSafeBC, to have been a relatively infrequent type of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What I consider to be the critical factors, however, are the particular circumstances under which Tanner was injured, and not the general practice as applicable to irrigation under power lines in this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Firstly, one must consider the physical setting. Accepting that the usual and proper manner of moving irrigation pipes is horizontally carrying them, and that there is never any reason to stand it vertically during that process, this was still an area fraught with potential peril. Metal pipes of a sufficient length to touch the high voltage line if stood up vertically were strewn about. All that prevented a potentially fatal contact between them were whatever best practices may have been inculcated in Connor in his instructions about moving irrigation pipes, which did not include specific training about this risk. In other words, this was a potentially perilous zone, awaiting only the easily achievable, if completely unnecessary, action of standing up an irrigation pipe to be taken for serious harm to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Second, one must consider the characteristics of those who were allowed to go into this dangerous physical setting. Although they had both turned 13, these were Grade 7 boys -- children by any reasonable description -- whose propensity for using objects in every way other than that which they are intended is an intrinsic attribute of childhood. I do not think it is actually necessary to go so far as to find the Bohnets ought to have foreseen that the boys would gopher hunt by tipping up a pipe, although that is certainly within the reasonable range of activities that they might get up to. It is, rather, that with a highly dangerous power source 40 feet or less above them, with a means of making contact ready at hand, the Bohnets depended only on Connor's remaining within the four corners of the chore itself to keep him and Tanner safe, despite the self-evident immaturity and unpredictability that are attributes of children of that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think that represents a real risk, one that a reasonable person would regard as anything but farfetched. It is an example of a possibility of serious harm, one that would occur to the mind of a reasonable person. Its relative frequency as an accident in commercial agriculture does not speak to the dangers posed by the activity being carried out by children. The specialized danger to children inherent in this situation means lack of attention by Mr. Bohnet to the Workers' Compensation poster, directed to him in his capacity as an employer, is not particularly significant either.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My conclusion is that unsupervised children left in possession of objects capable of inflicting serious harm on themselves if they engage in quite typical childish behaviour should be seen by any reasonable person as a significant risk of harm. Simply, these boys were put in a situation in which their safety depended entirely on Connor doing only that which he had been entrusted and told to do, and not behaving as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For these reasons I conclude that Mr. and Mrs. Bohnet failed in their duty to keep Tanner reasonably safe in all the circumstances and breached their duty to him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between them, I would find that they are equally at fault for the accident. Mr. Bohnet appears to have been the principal supervisor and instructor of the maintenance of the irrigation system, with its deficient attention to the electrical safety of children using it, but Mrs. Bohnet was the person who left the boys to enter the field on their own on that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would not find Tanner at fault in any respect in the accident. As was the case with Connor, his failure to consider his own safety when embarking on an impulsive but typical youthful activity was appropriate for his age, intelligence and maturity.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Unless there are other matters that would affect costs, the plaintiff will be entitled to receive his costs of this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 SCHULTES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British Columbia v. Tekavec, [2012] B.C.J. No. 1881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12-2563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1881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1348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B.C.L.R. (5th)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2764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Plaintiff, and Louis Peter Tekavec and Louis Peter Tekavec doing business as Goldcrest Apartments,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6" w:name="Keywords_35"/>
      <w:bookmarkEnd w:id="316"/>
      <w:r>
        <w:rPr>
          <w:rFonts w:ascii="arial" w:eastAsia="arial" w:hAnsi="arial" w:cs="arial"/>
          <w:b/>
          <w:color w:val="000000"/>
          <w:sz w:val="20"/>
          <w:lang w:val="en-US" w:eastAsia="en-US" w:bidi="ar-SA"/>
        </w:rPr>
        <w:t>Civil litigation — Civil procedure — Discovery — Production and inspection of documents — Evidence in other proceedings — Application by Crown for order striking Tekavec's pleadings or ordering him to produce certain materials allowed in part — Tekavec ordered to produce transcripts of his examination for discovery and notice to admit from trial of action by Jack seeking to recover damages for personal injuries from Tekavec — Issues in Crown's action seeking to recover Jack's health care costs compellingly similar — Documents were of Tekavec's own making — Tekavec entitled to present evidence to support claim he should be permitted to withdraw admission — British Columbia Supreme Court Civil Rules, Rule 7-1.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Methods of proof — Admissions — Withdrawal of admissions — Documentary evidence — Public documents — Court documents — Application by Crown for order striking Tekavec's pleadings or ordering him to produce certain materials allowed in part — Tekavec ordered to produce transcripts of his examination for discovery and notice to admit from trial of action by Jack seeking to recover damages for personal injuries from Tekavec — Issues in Crown's action seeking to recover Jack's health care costs compellingly similar — Documents were of Tekavec's own making — Tekavec entitled to present evidence to support claim he should be permitted to withdraw admission — British Columbia Supreme Court Civil Rules, Rule 7-1.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7" w:name="Case Summary_33"/>
            <w:bookmarkEnd w:id="3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Crown for an order striking out Tekavec's pleadings, or compelling him to produce certain materials. The Crown sustained costs in providing health care to Jack, injured when he fell from a balcony in a building owned by Tekavec when the balcony railing gave way. Jack had sued Tekavec and had been awarded damages, the court finding Tekavec was liable for Jack's injuries. In the present action, commenced by the Crown to recover health care costs from Tekavec, the Crown had requested that Tekavec release and disclose documents from the original action. It sought transcripts of Tekavec's examination for discovery, and the notice to admit, which was in evidence at the original trial. Tekavec resisted the disclosure request, talking the position the implied undertaking principle applied. He argued the Crown was seeking production for an ulterior motive, specifically, to avoid calling certain witnesses who Tekavec submitted were not properly cross-examined in Jack's action. Tekavec also argued he should be entitled to withdraw certain admissions he made in the first trial. Jack indicated he had no problem with any order for production.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8" w:name="Holdings of Court_31"/>
            <w:bookmarkEnd w:id="31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Striking Tekavec's pleadings was too drastic a remedy in the circumstances. He was ordered to produce the transcripts and other materials as requested by the Crown. The transcript of Tekavec's examination for discovery was producible, the implied undertaking principle having no application where the transcript was of Tekavec's own making. Even those materials in Tekavec's possession obtained from other parties were producible. An order overriding the protection of the implied undertaking principle was warranted because the principal issues in the two proceedings were compellingly similar. An order for production of evidence that was likely to be elicited in the present action would allow the matter to proceed more efficiently. If there was some basis upon which Tekavec was entitled to withdraw his previous admissions, he was entitled to adduce evidence to this effect.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9" w:name="Legislation Cited_33"/>
      <w:bookmarkEnd w:id="3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CHAPTER 27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0" w:name="Counsel_35"/>
      <w:bookmarkEnd w:id="3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P.D. Ameerali.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D.H. Christie.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1" w:name="Judgment_35"/>
      <w:bookmarkEnd w:id="321"/>
      <w:r>
        <w:pict>
          <v:line id="_x0000_s1213"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2" w:name="J.W. WILLIAMS J."/>
            <w:bookmarkEnd w:id="322"/>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Her Majesty the Queen in right of the Province of British Columbia (HMTQ) for an order that:</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of the defendant, Louis Peter Tekavec, be dismissed and this action proceed as though no Reply had been filed by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in the alternative;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Edward Alexander Jack and the defendant, Louis Peter Tekavec, are released from an implied undertaking arising in the litigation decided in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Louis Peter Tekavec, must list the discovery transcripts and any other relevant documents received from Edward Alexander Jack or created in the litigation decided in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 xml:space="preserve"> or his List of documents as appropriate relative to their content.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Edward Alexander Jack may release to the plaintiff documents or discovery transcripts received from the Louis Peter Tekavec or created during the litigation decided in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may make use of the discovery transcripts from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 xml:space="preserve"> as if the discovery evidence had been given in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either case: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the costs of this application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has brought an action in accordance with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will refer to that proceeding as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is the owner/manager of an apartment building located in Gold River, B.C. In June 2007, Edward Alexander Jack was visiting with two tenants of the apartment building. Mr. Jack leaned against the balcony railing which gave way. He fell three stories, sustained serious injuries and spent some substantial time in hospital and receiving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Jack sued Mr. Tekavec. Following trial before Savage J., Mr. Tekavec was found liable for Mr. Jack's injuries and recovered an award of damages. I will refer to that litigation as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HMTQ seeks to recover from Mr. Tekavec the costs of health care that were received by Mr. Jack as a consequence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course of the present action, the plaintiff has requested that Mr. Tekavec release and disclose certain documents from that original action: specifically, the plaintiff seeks transcripts of the examination for discovery of Mr. Tekavec and the notice to admit which was in evidence at the original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Tekavec resists the disclosure sought. He takes the position that the items at issue are subject to an implied undertaking because of their status in the previous lawsuit and that the court can only order the lifting of that condition in limited circumstances, not present in this case. He says that HMTQ was not a party to that action; he says that the issues in the present action are different than those in the original action, as are the pleadings. In his submission, those are the types of considerations that militate against the court ordering the release of such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addition, he says that there are other aspects of the matter that should cause the court to rule against production, namely that the applicant is pursuing an ulterior motive. As I understand, he contends that HMTQ seeks these materials in order to establish that Mr. Tekavec was responsible for the injuries, but wishes to avoid calling the evidence of Mr. Jack or the other two persons who were present at the time of the event, Ms. Mark and Mr. Billy, and having them subject to cross-examination. It is Mr. Tekavec's view that these witnesses were not properly cross-examined at the trial before Savage J., and if they had been, findings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would have likely resulted, and that would have been to the benefit of him (Mr. Tekavec). He has now issued third party notices to those persons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Finally, Mr. Tekavec submits that certain admissions which he was found to have made at the first trial by virtue of a notice to admit should not be allowed to stand as evidence in the present action and he takes the position that he should be permitted to withdraw those admissions. He says that HMTQ's attempt to require him to disclose that evidence by way of this application is an unfair endeavour to adduce those admissions and should accordingly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Concepts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application at bar raises two issues: the effect of the implied undertaking principle as it applies to materials generated in other litigation and the obligation to disclose the existence of such materials (where they are relevant) as part of the document discovery process in subsequent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 fundamental rule of the litigation model that information, both documentary and oral, obtained by a party through the discovery process is subject to an implied undertaking. It cannot be used by any other party (i.e. other than the originator) except for the purpose of the litigation in which it was produced. The undertaking is essentially perpetual: it survives the resolution of the litigation in which the discovery was made. The restriction can be modified only by court order or with the consent of the party with whom the material originates.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principle is authoritatively articulated in </w:t>
      </w:r>
      <w:r>
        <w:rPr>
          <w:rFonts w:ascii="arial" w:eastAsia="arial" w:hAnsi="arial" w:cs="arial"/>
          <w:i/>
          <w:color w:val="000000"/>
          <w:sz w:val="20"/>
          <w:lang w:val="en-US" w:eastAsia="en-US" w:bidi="ar-SA"/>
        </w:rPr>
        <w:t>Juman v. Doucette,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2008 SCC 8</w:t>
        </w:r>
      </w:hyperlink>
      <w:r>
        <w:rPr>
          <w:rFonts w:ascii="arial" w:eastAsia="arial" w:hAnsi="arial" w:cs="arial"/>
          <w:color w:val="000000"/>
          <w:sz w:val="20"/>
          <w:lang w:val="en-US" w:eastAsia="en-US" w:bidi="ar-SA"/>
        </w:rPr>
        <w:t>, and the underlying rationale is discussed there at some length. For the purpose of the present discussion, there is no point to delving into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Where a court order is sought to relieve against the implied undertaking, the applicant will have the onus of satisfying the court on a balance of probabilities that the interest to be advanced through the sought-after disclosure is greater than the values that underpin the rationale for the implied undertaking. Central to the analysis will be a careful consideration of any prejudice that will be caused to the party who initially provided the material at issue. Of course, it goes without saying that the material must be relevant to the issues in the action in which the disclosure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at paragraph 34, the Court set out the applicable test, the test that has been formulated in those Canadian jurisdictions which have enacted rules governing applications to alleviate the restrictions of the implied undertaking and which generally reflects the common law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interest of justice outweighs any prejudice that would result to a party who disclosed evidence, the court may order that [the implied or "deemed" undertaking] does not apply to the evidence or to information obtained from it, and may impose such terms and give such directions as are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then went on to comment upon practical considerations that will be relevant: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law provides some guidance to the exercise of the court's discretion. For example, where discovery material in one action is sought to be used in another action with the same or similar parties and the same or similar issues, the prejudice to the examinee is virtually non-existent and leave will generally be granted. See </w:t>
      </w:r>
      <w:r>
        <w:rPr>
          <w:rFonts w:ascii="arial" w:eastAsia="arial" w:hAnsi="arial" w:cs="arial"/>
          <w:i/>
          <w:color w:val="000000"/>
          <w:sz w:val="20"/>
          <w:lang w:val="en-US" w:eastAsia="en-US" w:bidi="ar-SA"/>
        </w:rPr>
        <w:t>Lac Minerals Ltd. v. New Cinch Uranium Ltd.</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(1985), 50 O.R. (2d) 260</w:t>
        </w:r>
      </w:hyperlink>
      <w:r>
        <w:rPr>
          <w:rFonts w:ascii="arial" w:eastAsia="arial" w:hAnsi="arial" w:cs="arial"/>
          <w:color w:val="000000"/>
          <w:sz w:val="20"/>
          <w:lang w:val="en-US" w:eastAsia="en-US" w:bidi="ar-SA"/>
        </w:rPr>
        <w:t xml:space="preserve"> (H.C.J.), at pp. 265-66; </w:t>
      </w:r>
      <w:r>
        <w:rPr>
          <w:rFonts w:ascii="arial" w:eastAsia="arial" w:hAnsi="arial" w:cs="arial"/>
          <w:i/>
          <w:color w:val="000000"/>
          <w:sz w:val="20"/>
          <w:lang w:val="en-US" w:eastAsia="en-US" w:bidi="ar-SA"/>
        </w:rPr>
        <w:t>Crest Homes</w:t>
      </w:r>
      <w:r>
        <w:rPr>
          <w:rFonts w:ascii="arial" w:eastAsia="arial" w:hAnsi="arial" w:cs="arial"/>
          <w:color w:val="000000"/>
          <w:sz w:val="20"/>
          <w:lang w:val="en-US" w:eastAsia="en-US" w:bidi="ar-SA"/>
        </w:rPr>
        <w:t xml:space="preserve">, at p. 1083; </w:t>
      </w:r>
      <w:r>
        <w:rPr>
          <w:rFonts w:ascii="arial" w:eastAsia="arial" w:hAnsi="arial" w:cs="arial"/>
          <w:i/>
          <w:color w:val="000000"/>
          <w:sz w:val="20"/>
          <w:lang w:val="en-US" w:eastAsia="en-US" w:bidi="ar-SA"/>
        </w:rPr>
        <w:t>Miller (Ed) Sales &amp; Rentals Ltd. v. Caterpillar Tractor Co.</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(1988), 90 A.R. 323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Harris v. Sweet</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[2005] B.C.J. No. 1520</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2005 BCSC 998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Scuzzy Creek Hydro &amp; Power Inc. v. Tercon Contractors Ltd.</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(1998), 27 C.P.C. (4th) 252</w:t>
        </w:r>
      </w:hyperlink>
      <w:r>
        <w:rPr>
          <w:rFonts w:ascii="arial" w:eastAsia="arial" w:hAnsi="arial" w:cs="arial"/>
          <w:color w:val="000000"/>
          <w:sz w:val="20"/>
          <w:lang w:val="en-US" w:eastAsia="en-US" w:bidi="ar-SA"/>
        </w:rPr>
        <w:t xml:space="preserve"> (B.C.S.C.).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other hand, courts have generally not favoured attempts to use the discovered material for an extraneous purpose, or for an action wholly unrelated to the purposes of the proceeding in which discovery was obtained in the absence of some compelling public interest. See, e.g., </w:t>
      </w:r>
      <w:r>
        <w:rPr>
          <w:rFonts w:ascii="arial" w:eastAsia="arial" w:hAnsi="arial" w:cs="arial"/>
          <w:i/>
          <w:color w:val="000000"/>
          <w:sz w:val="20"/>
          <w:lang w:val="en-US" w:eastAsia="en-US" w:bidi="ar-SA"/>
        </w:rPr>
        <w:t>Lubrizol Corp. v. Imperial Oil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(1990), 33 C.P.R. (3d) 49</w:t>
        </w:r>
      </w:hyperlink>
      <w:r>
        <w:rPr>
          <w:rFonts w:ascii="arial" w:eastAsia="arial" w:hAnsi="arial" w:cs="arial"/>
          <w:color w:val="000000"/>
          <w:sz w:val="20"/>
          <w:lang w:val="en-US" w:eastAsia="en-US" w:bidi="ar-SA"/>
        </w:rPr>
        <w:t xml:space="preserve"> (F.C.T.D.), at p. 51. In </w:t>
      </w:r>
      <w:r>
        <w:rPr>
          <w:rFonts w:ascii="arial" w:eastAsia="arial" w:hAnsi="arial" w:cs="arial"/>
          <w:i/>
          <w:color w:val="000000"/>
          <w:sz w:val="20"/>
          <w:lang w:val="en-US" w:eastAsia="en-US" w:bidi="ar-SA"/>
        </w:rPr>
        <w:t>Livent Inc. v. Drabinsky</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(2001), 53 O.R. (3d) 126</w:t>
        </w:r>
      </w:hyperlink>
      <w:r>
        <w:rPr>
          <w:rFonts w:ascii="arial" w:eastAsia="arial" w:hAnsi="arial" w:cs="arial"/>
          <w:color w:val="000000"/>
          <w:sz w:val="20"/>
          <w:lang w:val="en-US" w:eastAsia="en-US" w:bidi="ar-SA"/>
        </w:rPr>
        <w:t xml:space="preserve"> (S.C.J.), the court held that a non-party to the implied undertaking could in unusual circumstances apply to have the undertaking varied, but that relief in such cases would virtually never be given (p.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a general observation, it seems clear that the court's general approach will be that an undertaking should only be set aside in exceptional circumstances. That said, I have examined the decision in </w:t>
      </w:r>
      <w:r>
        <w:rPr>
          <w:rFonts w:ascii="arial" w:eastAsia="arial" w:hAnsi="arial" w:cs="arial"/>
          <w:i/>
          <w:color w:val="000000"/>
          <w:sz w:val="20"/>
          <w:lang w:val="en-US" w:eastAsia="en-US" w:bidi="ar-SA"/>
        </w:rPr>
        <w:t>Livent, supra</w:t>
      </w:r>
      <w:r>
        <w:rPr>
          <w:rFonts w:ascii="arial" w:eastAsia="arial" w:hAnsi="arial" w:cs="arial"/>
          <w:color w:val="000000"/>
          <w:sz w:val="20"/>
          <w:lang w:val="en-US" w:eastAsia="en-US" w:bidi="ar-SA"/>
        </w:rPr>
        <w:t>; it does not materially affect the outcome of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short summary, the test will require that the applicant demonstrate that the evidence is relevant and that any prejudice to be suffered by the examinee is clearly outweighed by the legitimate interest in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application at bar raises another issue: what are the responsibilities and obligations of a party who is involved in litigation and who has possession of materials from another action, materials which are subject to the implied undertaking and which appear to have relevance to the subsequent action? As discussed earlier, it is clear that such materials cannot be disclosed unless there has been a waiver by the party from whom the materials emanated or the court has ordered disclosure. However, there is also the matter of how the materials are to be dealt with in the context of the litigant's obligation to make discovery in accordance with the relevant rule of court, that is Rule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Chonn v. DCFS Canada Corp. dba Mercedez-Benz Credit Canada</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2009 BCSC 1474</w:t>
        </w:r>
      </w:hyperlink>
      <w:r>
        <w:rPr>
          <w:rFonts w:ascii="arial" w:eastAsia="arial" w:hAnsi="arial" w:cs="arial"/>
          <w:color w:val="000000"/>
          <w:sz w:val="20"/>
          <w:lang w:val="en-US" w:eastAsia="en-US" w:bidi="ar-SA"/>
        </w:rPr>
        <w:t>, Voith J. examined that issue in some detail. After a careful examination of the relevant authorities, he concluded that where such documents are in the possession or control of a party and are relevant, they are subject to the rule of disclosure. His conclusion is that the party in possession, unless that party has consent or leave to use the documents, "would be both required and entitled to list such documents on part three of any list of documents it generated".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see no basis to doubt the correctness of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application, the plaintiff specifically seeks the transcripts of the examination for discovery of Mr. Tekavec in the original action. As noted, Mr. Tekavec declines to produce those. The plaintiff is not seeking transcripts of the examination for discovery of Mr. Jack.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conceptually similar issue was dealt with by Ehrcke J. in </w:t>
      </w:r>
      <w:r>
        <w:rPr>
          <w:rFonts w:ascii="arial" w:eastAsia="arial" w:hAnsi="arial" w:cs="arial"/>
          <w:i/>
          <w:color w:val="000000"/>
          <w:sz w:val="20"/>
          <w:lang w:val="en-US" w:eastAsia="en-US" w:bidi="ar-SA"/>
        </w:rPr>
        <w:t>Wilson v. McCoy</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2006 BCSC 1011</w:t>
        </w:r>
      </w:hyperlink>
      <w:r>
        <w:rPr>
          <w:rFonts w:ascii="arial" w:eastAsia="arial" w:hAnsi="arial" w:cs="arial"/>
          <w:color w:val="000000"/>
          <w:sz w:val="20"/>
          <w:lang w:val="en-US" w:eastAsia="en-US" w:bidi="ar-SA"/>
        </w:rPr>
        <w:t xml:space="preserve">. Although his ruling pre-dated the decision of the Supreme Court of Canada in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the discussion and conclusion are, in my view, entirely applicable to the circumstances at bar. There, in the context of a subsequent personal injury action, the defendant sought disclosure of certain materials, namely the examination for discovery of the plaintiff, and certain wage loss documents from the previous action. The plaintiff opposed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Ehrcke J. stated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raises the issue of the scope of the implied undertaking. Counsel for the defendant submits that the implied undertaking only applies to those documents which a party obtained from an opposing party through the compulsion of the discovery process. He submits that the implied undertaking does not prevent or shield a party from producing in new litigation items that came from that party herself in the previous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Justice Ehrcke examined previous judicial authorities dealing with the issue, and concluded that there was a common theme; that the undertaking was conceived as one that binds an adversary in litigation who obtains documents from the opposing party through the compulsion of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Ultimately,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agree with counsel for the defendant that the plaintiff in the present case is not bound by an undertaking to withhold from the present defendant materials that she herself produced to the previous defendants in the previous action. Rather, the implied undertaking that binds her from the previous action is that she will not produce materials which she obtained from the defendants the previous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analysis and that conclusion to be apt in the present matter, and effectively dispositive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in the facts at bar, it is not open to Mr. Tekavec to resist disclosure of the transcript of his own examination for discovery or any other material that he created on the basis of an implied undertaking as described by the Supreme Court of Canada in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The items in question are of his own creation; they do not fall under the category of materials obtained from another party in the previous action and thus are not subject to the implied undertaking restriction. The same would apply to Mr. Jack with respect to the transcript of his own examination for discovery or other material he generated in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for material in the possession or control of Mr. Tekavec which he obtained from other parties in the course of the discovery phase of the original action, that is subject to an implied undertaking, and he is not at liberty to disclose or otherwise deliver it to anyone else, unless there is either consent from the originator of the material or an order of the court, holding that the implied undertaking does not apply in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matter at hand, it is my conclusion that the circumstances warrant an order overriding the protection of the implied undertaking. The basis for so deciding is that, while the applicant HMTQ was not a party to the original action, the principal issue in the present action is compellingly similar to the issue there: was Mr. Tekavec responsible for the injuries that were sustained by Mr. Jack? I note as well the following: Mr. Jack has apparently indicated that he has no objection to the materials being disclosed to the applicant. There would be no prejudice to Mr. Jack if the materials were to be disclosed. Finally, the same questions and topics that were canvassed with Mr. Tekavec in the examination for discovery at issue could be quite properly raised in his examination for discovery in the present action. In effect, disclosure of the materials represents a proper means of proceeding more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of course the matter of the consent that Mr. Jack has provided. In fact, that alone would be sufficient to require Mr. Tekavec to disclose the material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of HMTQ seeks an order of this Court requiring Mr. Tekavec to list on his List of Documents the discovery transcripts and any other relevant documents received from Mr. Jack in the original action. On the basis of the discussion set out here, it will follow that there is in circumstances such as these an obligation to list relevant materials which are subject to the implied undertaking. Generally, because of the special status impressed upon them by the implied undertaking and the requirement that the detail or content not be disclosed, they are to be listed as subject to privilege, that is, in Part 3 of the list. In the present circumstances, in light of the order that they are now exempt from the implied undertaking, they will be listed in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other arguments raised by Mr. Tekavec, the arguments that I described earlier, do not, in my view, alter the outcome. With respect to the admissions contained in the notice to admit, it is open to Mr. Tekavec to make submissions and to adduce evidence to persuade the court, either the trial judge or a chambers judge, that there is some relevant explanation that would warrant the admissions being ruled inadmissible or of no effect. To the extent that the evidence of the other witnesses, Mr. Jack, Ms. Mark and Mr. Billy, can be developed in a way that will be more advantageous to Mr. Tekavec, that can be accomplished in the course of the trial as it proceeds, given that those persons will now be parties because of the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Notice of Application also sought an order that the plaintiff may make use of the discovery transcripts from the original action,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as if the discovery evidence had been given in the present action. I decline to make that order. While I have ruled that the material should be disclosed to the plaintiff, the ultimate evidentiary effect that those transcripts should be assigned is a matter for the trial judge. Frankly, I cannot say that I am fully aware of all the relevant considerations that might bear upon the decision; there may be factors of which I am unaware that would cause a court to rule that some parts of the evidence from that first trial should not be admitted at the trial the present action. I am not prepared to foreclose Mr. Tekavec from making arguments which he believes would support an order for exclusion, and so I decline to make the order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Alternative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Notice of Application sought two alternative remedies - either an order that the defendant's pleadings be dismissed and the action proceed as though no Reply had been filed, or, alternatively, specific orders dealing with the implied undertaking and the obligation to list. I have dealt with the matter by way of orders relating to those specific issues. In my view, that is the more appropriate course of action. The remedy of striking a party's defence is a draconian measure and should generally be taken in extreme circumstances. It is not warranted in the facts of this matter. I believe the orders I have made provide a measured and proportionate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materials in the possession or control of Mr. Tekavec, arising from the original litigation, there is no implied undertaking applicable to those materials which originated with or emanated from Mr. Tekavec; specifically, and without limiting the generality of that holding, the transcript of the examination for discovery of Mr. Tekavec and the notice to admit, which he executed, are not subject to any implied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for the purpose of the present action, given the similarity between the original action and the present action, and other relevant considerations, there is no implied undertaking applicable to the materials in the possession or control of Mr. Tekavec which arise from or relate to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the purpose of the present action, again, given the similarity between the original action and the present action, and other relevant considerations, including his consent, there is no implied undertaking applicable to the materials in the possession or control of Mr. Jack, which arise from or relate to the original action. Mr. Jack may release to the plaintiff documents or discovery transcripts received from Mr. Tekavec or created during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Tekavec is obliged to list the items at issue in his list of documents. Where such documents are subject to an implied undertaking, they are to be listed in Part 3. In the present circumstances, and in view of the conclusions set out herein, they are to be listed in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decline to make any order as to the evidentiary effect or use that may be made of the materials in question in the present litigation. That is a matter which should be decided by the court hearing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costs, the applicant has been substantially successful in this matter. There will be an order that the respondent, Mr. Tekavec, will pay costs to the applicant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Buchan v. Rome Estate, [2011] B.C.J. No. 1693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6, 29 and May 6, 2011; written submissions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May 31, June 2 and June 8, 2011;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(of the Defendant), May 27, 2011;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(of Moss Management Inc.) May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S086190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Donna Buchan, Plaintiff, and Robert Bruce Rome as Administrator with Will annexed "de bonis non" of the Estate of Kenneth Bruce Rome, Deceased,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3" w:name="Keywords_36"/>
      <w:bookmarkEnd w:id="323"/>
      <w:r>
        <w:rPr>
          <w:rFonts w:ascii="arial" w:eastAsia="arial" w:hAnsi="arial" w:cs="arial"/>
          <w:b/>
          <w:color w:val="000000"/>
          <w:sz w:val="20"/>
          <w:lang w:val="en-US" w:eastAsia="en-US" w:bidi="ar-SA"/>
        </w:rPr>
        <w:t>Civil litigation — Civil procedure — Lis pendens (certificate of pending litigation) — Vacating of — Pleadings — Striking out pleadings or allegations — Grounds — Failure to disclose a cause of action or defence — False, frivolous, vexatious or abuse of process — Application by defendant estate to strike claim and cancel certificate of pending litigation dismissed — Plaintiff agreed to discharge mortgage for interest in property which was to be developed and sold — Although mortgage discharged, property not developed or sold and plaintiff commenced action for declaration of interest in property — Claim was disorganized, confusing and failed to set out all material facts, but plaintiff had not raised claims in contravention of court orders or claims that had already been dismissed and pleadings disclosed possible causes of action not doomed to fail — Plaintiff permitted one further opportunity to amend pleadings.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4" w:name="Case Summary_34"/>
            <w:bookmarkEnd w:id="3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estate for an order striking the plaintiff's claim and cancelling the certificate of pending litigation (the "CPL"). The plaintiff entered into a contract of purchase and sale with the deceased whereby she agreed to sell the deceased a property she owned for $1.2 million, which included the registration of a $955,000 mortgage in her favour. In 1997, the plaintiff and the deceased agreed that the deceased would consolidate the property with two adjacent properties and the plaintiff agreed to discharged the mortgage on certain terms including that the consolidated property would be developed and sold and that she would have a 50 per cent interest in the property and share equally in the net proceeds of sale of the consolidate property. The three properties were consolidated. However, the consolidated property was not developed and sold. The plaintiff commenced a claim for a declaration that she was a beneficial owner of a 50 per cent interest in the consolidated property or that the defendant held a 50 per cent interest in the consolidate property in the trust for the plaintiff on the basis of unjust enrichment or quantum meruit. After commencing the claim, the plaintiff registered the CPL against title to the property. The defendant demanded that the plaintiff amend her pleadings in accordance with the rules. When the plaintiff failed to comply, the defendant applied for and was granted an order requiring the plaintiff to amend her statement of claim. Thereafter, the plaintiff filed a notice of civil claim, which completely recast her claims against the defendant. She made various claims against the estate, but did not plead the material facts in the statement of facts, but instead included statement facts framed as declarations in the relief sought. The defendant, supported by the holder of a judgment registered against the title to the property, sought to have the claim struck on the basis that the claim disclosed no reasonable cause of action and contained pleadings that were prolix, confusing, frivolous and vexatious. In addition, the defendant sought the cancellation of the CPL on the basis that the pleadings did not make out a prima facie case for an interest in land.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5" w:name="Holdings of Court_32"/>
            <w:bookmarkEnd w:id="32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was disorganized, confusing and failed to set out all of the material facts necessary to found some of the causes of action pleaded. In addition, the pleadings were prolix, unnecessarily repetitive and, in some cases, inconsistent with each other, but not framed as alternative claims. However, as the plaintiff had not raised claims in contravention of court orders or claims that had already been dismissed, she should be permitted on further opportunity to amend her pleadings as they disclosed possible causes of action and her claims were not doomed to fail. As the plaintiff had a possible claim to an interest in land and was permitted an opportunity to redraft her pleadings, and the defendant had not shown any inconvenience or hardship resulting from the registration of the CPL, the CPL was not cancelled at this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6" w:name="Legislation Cited_34"/>
      <w:bookmarkEnd w:id="3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Enforcement Act, </w:t>
      </w:r>
      <w:r>
        <w:rPr>
          <w:rFonts w:ascii="arial" w:eastAsia="arial" w:hAnsi="arial" w:cs="arial"/>
          <w:i/>
          <w:color w:val="000000"/>
          <w:sz w:val="20"/>
          <w:lang w:val="en-US" w:eastAsia="en-US" w:bidi="ar-SA"/>
        </w:rPr>
        <w:t>RSBC 1996, CHAPTER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750" w:history="1">
        <w:r>
          <w:rPr>
            <w:rFonts w:ascii="arial" w:eastAsia="arial" w:hAnsi="arial" w:cs="arial"/>
            <w:i/>
            <w:color w:val="0077CC"/>
            <w:sz w:val="20"/>
            <w:u w:val="single"/>
            <w:shd w:val="clear" w:color="auto" w:fill="FFFFFF"/>
            <w:lang w:val="en-US" w:eastAsia="en-US" w:bidi="ar-SA"/>
          </w:rPr>
          <w:t>RSBC 1996, CHAPTER 250, s. 1</w:t>
        </w:r>
      </w:hyperlink>
      <w:r>
        <w:rPr>
          <w:rFonts w:ascii="arial" w:eastAsia="arial" w:hAnsi="arial" w:cs="arial"/>
          <w:color w:val="000000"/>
          <w:sz w:val="20"/>
          <w:lang w:val="en-US" w:eastAsia="en-US" w:bidi="ar-SA"/>
        </w:rPr>
        <w:t>, s. 256(1), s. 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3-1(2)(c), Rule 3-2(2), Rule 3-7(9), Rule 3-7(18), Rule 6-1(3), Rule 8-1(7), Rule 9-5, Rule 9-5(1)(a), Rule 24-1(11)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7" w:name="Counsel_36"/>
      <w:bookmarkEnd w:id="3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Alexander Jeletzky.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Stuart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Moss Management Inc.: Timothy J. Delaney.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8" w:name="Judgment_36"/>
      <w:bookmarkEnd w:id="328"/>
      <w:r>
        <w:pict>
          <v:line id="_x0000_s1218"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9" w:name="P.J. PEARLMAN J."/>
            <w:bookmarkEnd w:id="32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Robert Bruce Rome, as Administrator with Will annexed "</w:t>
      </w:r>
      <w:r>
        <w:rPr>
          <w:rFonts w:ascii="arial" w:eastAsia="arial" w:hAnsi="arial" w:cs="arial"/>
          <w:i/>
          <w:color w:val="000000"/>
          <w:sz w:val="20"/>
          <w:lang w:val="en-US" w:eastAsia="en-US" w:bidi="ar-SA"/>
        </w:rPr>
        <w:t>de bonis non</w:t>
      </w:r>
      <w:r>
        <w:rPr>
          <w:rFonts w:ascii="arial" w:eastAsia="arial" w:hAnsi="arial" w:cs="arial"/>
          <w:color w:val="000000"/>
          <w:sz w:val="20"/>
          <w:lang w:val="en-US" w:eastAsia="en-US" w:bidi="ar-SA"/>
        </w:rPr>
        <w:t>" of the Estate of Kenneth Bruce Rome Deceased, applies for orders that the plaintiff's claim be struck, in whole or in part, and that her Certificate of Pending Litigation ("CPL") registered at the Victoria Land Title Office under number FB207594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3, 2008, the plaintiff, after commencing this action, registered the CPL against title to lands located near Nanaimo, British Columbia, legally described as Lot 1, Block 564 and District Lot 125 Nanoose District Plan VIP 66272 (the "consolidated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Title to the consolidated property is registered in the name of the defendant in his capacity as administrator of the estate of his late father, Kenneth Bruce Rome (the "Deceased"). The consolidated property is the only remaining asset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supported by Moss Management Inc., the holder of a judgment registered against title to the consolidated property after the registration of the plaintiff's CPL, submits that the plaintiff's amended Notice of Civil Claim discloses no reasonable cause of action. In addition, the defendant argues that the amended Notice of Civil Claim contains pleadings that are prolix, confusing, frivolous, or vexatious, and should therefore be struck. The defendant submits that the plaintiff's CPL should be cancelled on the basis that her pleadings do not make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an interest in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responds by arguing that the defendant has failed to show that it is plain and obvious that her claims are doomed to fail. In particular, the plaintiff contends that she has a claim with a reasonable prospect for success that she entered into a collateral contract with the Deceased for the development of the consolidated property, which continued in force until the Deceased's widow and executrix repudiated that contract in June 2007, and the plaintiff accepted that repudiation. The plaintiff also submits that her pleadings disclose a claim that the transaction, by which she released the mortgage she had taken back from the Deceased when she sold to him one of the properties now incorporated in the consolidated property, was unconscionable and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The plaintiff says that her claims to reinstatement of that mortgage, and that the defendant holds his interest in the consolidated property subject to a constructive or resulting trust in her favour, or subject to an equitable mortgage in her favour, are claims to an interest in land sufficient to sustain the registration of the CPL against title to the consolidated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hearing of this application, Moss Management also invited the court to find that this action is an abuse of process. Moss Management urged the court to infer that the plaintiff brought this action for the ulterior purpose of hindering the enforcement of its judgment registered against the consolidated property. Counsel for Moss Management also asked the court to infer that the plaintiff commenced this action at the behest of her husband, Steven Buchan, an unsuccessful plaintiff in protracted litigation against Moss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decline to draw the inferences urged by counsel for Moss Management. On this summary application, the court does not have before it the evidence necessary to make the findings of fact and credibility that would support the inferences advanced by Moss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brief review of the history of this litigation and the evolution of the plaintiff's claims is necessary to set the context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her statement of claim filed September 2, 2008, the plaintiff pleaded:</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entered into a Contract of Purchase and Sale with Kenneth Bruce Rome (the "Deceased"), whereby the plaintiff agreed to sell to the Deceased the property located at 1260 Tuan Road East in Parksville, British Columbia described as Lot A, Block 564 Nanoose District Plan 14501 ("Lot A").</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purchase price of Lot A was $1.2 million, which included the registration of a mortgage in the plaintiff's favour in the amount of $955,000 against that property.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1997, the plaintiff and the Deceased agreed that the Deceased would consolidate Lot A with two adjacent properties to form the consolidated property.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1997, the plaintiff and the Deceased entered into another agreement whereby the plaintiff agreed to discharge the mortgage from Lot A on the following terms: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consolidation of the three properties into the consolidated property, the Deceased would apply for a development permit with a view to developing and selling the consolidated property at a profit;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have a 50 percent beneficial interest in the consolidated property and would share equally with the Deceased in the net proceeds of sale of the consolidated property;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commencement of the mortgage, the Deceased could make payments toward the mortgage at any time and no interest payments were required to be paid by the Deceased until the development permit was issued for the consolidated property;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Deceased would agree on the selling price for the consolidated property, and in the event that the plaintiff and the Deceased could not agree on the selling price, then the consolidated property would be sold at the appraised value.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1997, the three properties were consolidated to form the consolidated property. However, no development permit was issued for the consolidated property and neither the Deceased, nor his estate following his death in 2002, were able to sell the consolidated property.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in his capacity as Administrator with Will Annexed </w:t>
      </w:r>
      <w:r>
        <w:rPr>
          <w:rFonts w:ascii="arial" w:eastAsia="arial" w:hAnsi="arial" w:cs="arial"/>
          <w:i/>
          <w:color w:val="000000"/>
          <w:sz w:val="20"/>
          <w:lang w:val="en-US" w:eastAsia="en-US" w:bidi="ar-SA"/>
        </w:rPr>
        <w:t>de bonis non</w:t>
      </w:r>
      <w:r>
        <w:rPr>
          <w:rFonts w:ascii="arial" w:eastAsia="arial" w:hAnsi="arial" w:cs="arial"/>
          <w:color w:val="000000"/>
          <w:sz w:val="20"/>
          <w:lang w:val="en-US" w:eastAsia="en-US" w:bidi="ar-SA"/>
        </w:rPr>
        <w:t xml:space="preserve"> of the estate of Kenneth Bruce Rome deceased, is the current registered owner of the consolidated property.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formation of the consolidated property, the plaintiff has been the beneficial owner of a 50 percent interest in the consolidated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 holds a 50 percent interest in the consolidated property in trust for the plaintiff on the basis of unjust enrichment arising from the plaintiff's financial contribution towards the Deceased's acquisition of the consolidated property.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plaintiff claims for compensation for quantum meruit.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his statement of defence filed August 3, 2009, the defendant admitted that the plaintiff and the Deceased entered into a contract for the purchase and sale of Lot A on the terms alleged in her statement of claim. The defendant also alleges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released and discharged her mortgage on July 23, 1997.</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Deceased were parties to a joint venture agreement by which they agreed to share equally the net profit, if any, of the sale of the consolidated property after deduction of tax and payment of the Deceased's expenses.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consideration for the plaintiff's release of her mortgage was the Deceased's promise that he and the plaintiff would share equally in the profit, if any, from the sale of consolidated property.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 was made at a time when the consolidated property was adjacent to the proposed route of the Island Highway. The Deceased and the plaintiff intended that the Deceased would seek rezoning of the consolidated property and obtain development approvals to permit its commercial development.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the consolidation, the route of the Island Highway was changed and it was ultimately constructed at a significant distance from the consolidated property. The change in the siting of the Island Highway adversely affected the value and commercial viability of the consolidated property.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attempted to find a purchaser for the consolidated property but failed to do so before his death on April 13, 2002.</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Deceased's widow and executrix of his estate, Jane Ellen Rome, died in December 2007. Letters of Administration </w:t>
      </w:r>
      <w:r>
        <w:rPr>
          <w:rFonts w:ascii="arial" w:eastAsia="arial" w:hAnsi="arial" w:cs="arial"/>
          <w:i/>
          <w:color w:val="000000"/>
          <w:sz w:val="20"/>
          <w:lang w:val="en-US" w:eastAsia="en-US" w:bidi="ar-SA"/>
        </w:rPr>
        <w:t>de bonis non</w:t>
      </w:r>
      <w:r>
        <w:rPr>
          <w:rFonts w:ascii="arial" w:eastAsia="arial" w:hAnsi="arial" w:cs="arial"/>
          <w:color w:val="000000"/>
          <w:sz w:val="20"/>
          <w:lang w:val="en-US" w:eastAsia="en-US" w:bidi="ar-SA"/>
        </w:rPr>
        <w:t xml:space="preserve"> with Will Annexed were granted to the defendant on May 14, 2008. The consolidated property is the sole remaining asset of the estate of the Deceased.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consolidated property has not been sold and accordingly, any entitlement of the plaintiff to share in the net proceeds of sale pursuant to the joint venture agreement has not crystallized.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it was neither a term of the joint venture agreement, nor did the plaintiff and the Deceased agree that the plaintiff owned or was entitled to an interest in the consolidated property.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defendant says that the plaintiff's claims are barred and extinguished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In the further alternative, the defendant pleads 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registration of her CPL against title to the consolidated property on September 3, 2008, the plaintiff did little to prosecute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Until May 10, 2010, the plaintiff was represented by prior counsel, who then withdrew.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2, 2010, Moss Management Inc., a judgment creditor of the Deceased, registered a Certificate of Judgment in the amount of $165,082.81 against the consolidated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July 8, 2010, the defendant demanded that the plaintiff amend her pleadings in accordance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When the plaintiff failed to comply with that demand within the 21-day period provided by Rule 24-1(11)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defendant applied for an order requiring the plaintiff to amend her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present counsel, Mr. Jeletzky, was retained in September 2010, before the hearing of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21, 2010, the Honourable Mr. Justice Leask ordered that the plaintiff amend her statement of claim to accord with the Supreme</w:t>
      </w:r>
      <w:r>
        <w:rPr>
          <w:rFonts w:ascii="arial" w:eastAsia="arial" w:hAnsi="arial" w:cs="arial"/>
          <w:i/>
          <w:color w:val="000000"/>
          <w:sz w:val="20"/>
          <w:lang w:val="en-US" w:eastAsia="en-US" w:bidi="ar-SA"/>
        </w:rPr>
        <w:t xml:space="preserve"> Court Civil Rules</w:t>
      </w:r>
      <w:r>
        <w:rPr>
          <w:rFonts w:ascii="arial" w:eastAsia="arial" w:hAnsi="arial" w:cs="arial"/>
          <w:color w:val="000000"/>
          <w:sz w:val="20"/>
          <w:lang w:val="en-US" w:eastAsia="en-US" w:bidi="ar-SA"/>
        </w:rPr>
        <w:t xml:space="preserve"> by no later than November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filed her Notice of Civil Claim on November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her Notice of Civil Claim, the plaintiff completely recast her claims against the defendant. Although the plaintiff was previously described in her Statement of Claim as businesswoman, in her Notice of Civil Claim she was described as an English instructor with no previous experience in real estate development. In her Statement of Claim, the plaintiff alleged that it was a term of her July 1997 agreement to discharge the mortgage that she would have a 50 percent beneficial interest in the consolidated property and would share equally with the Deceased in the net proceeds of sale of that property. In her Notice of Civil Claim, the plaintiff alleged that she was induced by misrepresentations of the Deceased to release the mortgage and that her agreement to do so was made without consideration and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for unconscionability. The plaintiff also advanced a claim that the Deceased's representations and her reliance upon them gave rise to a collateral contract, although there is no pleading in the statement of facts of the material terms of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Instead, in Part 2 of the Notice of Civil Claim, which sets out the relief sought, the plaintiff included a request for a finding or declaration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Buchan relied on the defendant developer's statements, representations, and promises, and that her reliance on those promises statements, and representations constituted a collateral contract between the defendant developer and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Part 2 of the Notice of the Civil Claim contained numerous other requests for findings or declarations of fact, including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developer's statements, representations, and promises, and Donna Buchan's reliance on them do not constitute any joint venture or other agreement, [hereinafter sometimes referred to as "alleged agreement" for convenience only] and that there is no alleged agreement between the defendant developer, and his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inequality in the position of the defendant developer and Donna Buchan, arising out of her ignorance, innocence and inexperience and his extensive experience in real estate development resulted in a grossly unfair bargaining position between the defendant developer and Donna Buchan which created a presumption of unconscionable transaction which the defendant developer was obliged to dispel, and which he has not dispelled;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Buchan's release of mortgage EJ112234 to the benefit of the defendant developer arose from the grossly unfair bargaining position between the defendant developer and herself, and the unconscionable transaction which that gross disparity created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gross disparity in the positions of Donna Buchan and defendant developer left her in his power, and that the release of the said mortgage EJ112234 was void ab initio</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Buchan's release of mortgage EJ112234 in favour of the defendant developer</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grossly unfair bargain and an unconscionable transaction which arose from the inequality between them, and from her ignorance, innocence and inexperience and his experience in real estate development; or</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arose from the fiduciary duty and the vulnerability created by her reliance on his statements, representations, and promises and her ignorance, innocence and inexperience in real estate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that the release of her said mortgage EJ112234 was void ab initio.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included these extracts from Part 2 of the plaintiff's Notice of Civil Claim filed on November 12, 2010 to illustrate the difficulty then confronted by the defendant in responding to this pleading. The Notice of Civil Claim was disorganized. Allegations of fact that ought to have been included in the statement of facts were instead framed as declarations included in the Relief Sought by the plaintiff. The pleadings were prolix and unnecessarily repetitive. Paragraphs d and e of the Relief Sought, which I have reproduced above, were at worst inconsistent, and at best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7, 2010, the defendant responded to the delivery of the Notice of Civil Claim by filing his application for orders striking that claim and cancelling the plaintiff's CPL.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matter did not come on for hearing until April 6, 2011. On that date, counsel for the plaintiff objected to Moss Management making submissions on the defendant's application. Moss Management had previously initiated proceedings under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xml:space="preserve"> for an order that the defendant show cause why the consolidated property should not be sold to satisfy its judgment. Those proceedings were adjourned pending the hearing of the defendant's application for cancellation of the CPL.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6, 2011, I ruled that Moss Management Inc. as "a person who may be affected by the order sought" within the meaning of Rule 8-1(7) was entitled to be heard on this application, and adjourned the hearing to April 29, 2011 to permit time for counsel for Moss Management to deliver his materials and for Mr. Jeletzky to file and deliver any responsive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heard submissions on April 29, 2011, and on May 6, 2011 ordered the plaintiff to amend her Notice of Civil Claim to conform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by May 20, 2011. Having determined that the plaintiff should have the opportunity to amend her pleadings, I deferred ruling on the application to cancel the CPL until after the plaintiff had amended her Notice of Civil Claim. I granted leave to the defendant and Moss Management to make further submissions in writing in response to the amendments, and on the application to cancel the CPL, and for the plaintiff to reply to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filed her amended Notice of Civil Claim on May 20, 2011, and I have received written submissions from all counsel. The defendant and Moss Management urge the court not only to order the cancellation of the CPL, but also to strike the amended Notice of Civil Claim. They submit that the plaintiff has not redrafted her pleadings to conform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and should not be afforded another opportunity to do so. In the alternative, the defendant seeks a further order that the plaintiff amend her Notice of Civil Claim, and that the defendant need not file a Response until such time as the court directs.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application to strike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applies to strike the plaintiff's claim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relevant provisions of the Rule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evidence</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test on a motion to strike pleadings as disclosing no reasonable cause of action is that it must be plain and obvious, assuming the facts pleaded to be true, that the pleading discloses no reasonable cause of action. Another way of putting the test is that the claim has no reasonable prospect of success. Where there is a reasonable prospect of success, the matter should be allowed to proceed to trial: </w:t>
      </w:r>
      <w:r>
        <w:rPr>
          <w:rFonts w:ascii="arial" w:eastAsia="arial" w:hAnsi="arial" w:cs="arial"/>
          <w:i/>
          <w:color w:val="000000"/>
          <w:sz w:val="20"/>
          <w:lang w:val="en-US" w:eastAsia="en-US" w:bidi="ar-SA"/>
        </w:rPr>
        <w:t>R. v. Imperial Tobacco Canada Limited</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 Canada Ltd.</w:t>
      </w:r>
      <w:r>
        <w:rPr>
          <w:rFonts w:ascii="arial" w:eastAsia="arial" w:hAnsi="arial" w:cs="arial"/>
          <w:color w:val="000000"/>
          <w:sz w:val="20"/>
          <w:lang w:val="en-US" w:eastAsia="en-US" w:bidi="ar-SA"/>
        </w:rPr>
        <w:t>, the court reviewed both the purpose and the application of the test for striking pleadings as disclosing no reasonable cause of action. In the course of doing so, the court emphasized that: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to strike out claims that have no reasonable prospect of success promotes efficiency in the conduct of litigation and the correct results by enabling the litigants and the court to focus on serious claims (at paras. 19 and 20);</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motion to strike must be used with care. The court must ask whether assuming the facts pleaded are true, there is a reasonable prospect that the claim will succeed; must take a generous approach; and must err on the side of permitting a novel but arguable claim to proceed to trial (at para. 21);</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incumbent on the claimant to clearly plead the facts upon which it relies in making its claim. A claimant is not entitled to rely on the possibility that new facts may turn up as the case progresses. The court must evaluate the possibility of success based upon the facts pleaded (at para. 22);</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pleaded are taken as true. Whether the evidence substantiates the pleaded facts, now or at some future date, is irrelevant to the motion to strike. The judge on the motion to strike cannot consider what evidence adduced in the future might or might not show. To require the judge to do so would be to gut the motion to strike of its logic and ultimately render it useless." (at para. 23);</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the question is whether in the context of the law and the litigation process, the claim has no reasonable chance of succeeding.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3-2(2) provides that a Notice of Civil Claim must do the following:</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purpose of this Rule is to let the defendant know the case it has to meet and to concisely and clearly identify for the court the causes of action and the material facts which support each cause of action and the relief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those principles in mind, I turn to consider the plaintiff's amended Notice of Civil Claim, a copy of which is attached as Schedule A to these Reasons for the convenience of the reader.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failed to comply with Rule 6-1(3) and has not identified the amendments made to her Notice of Civil Claim. On comparing the original pleading with the amended Notice of Civil Claim, it is apparent that the plaintiff has made no changes to the statement of facts. The plaintiff's amendments are confined to Part 2 which sets out the relief sought, and Part 3, which, under Rule 3-1(2)(c) is intended to set out a concise summary of the legal basis for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Part 3 of the amended Notice of Civil Claim, counsel for the plaintiff has set out the better part of four single-spaced pages of case citations, extracts from various authorities, and argument, including a submission on why the plaintiff should be relieved from compliance with Rule 3-1(2)(c). The plaintiff's statement of the legal bases for the relief sought is prolix, lacks clarity, and is anything but concise. The plaintiff has failed to comply with Rule 3-1(2)(c).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Part 1, counsel for the plaintiff has not amended the statement of facts despite the court's admonition on May 6, 2011 that the pleadings as they then stood were prolix, contained unnecessary pleadings of evidence rather than material facts, and were disorganized and confusing. The court also referred counsel to the prohibition in Rule 3-7(9) against pleading conclusions of law unless the material facts supporting those conclusions are pleaded, and the requirement of Rule 3-7(18) that a party pleading misrepresentation, fraud, breach of trust, wilful default or undue influence must state full particulars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paragraph 7 of the statement of facts, the plaintiff pleads that between October 1995 and July 23, 1997, the Deceased made "various promises and representations" to her. She then provides particulars of some but not all of those representations. The plaintiff has not identified which, if any, of the alleged representations induced her to sell her property in October 1995, and which representations induced her to discharge her mortgage in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paragraph 6 of the relief sought, the plaintiff claims damages for compensation for "actionable misstatements". It is by no means clear from the pleadings whether the plaintiff is alleging fraudulent or negligent misrepresentation. If, as I understand from Mr. Jeletzky's written submissions, the plaintiff is claiming negligent misrepresentation, her pleadings are deficient. There is no pleading of a duty of care based on a special relationship between the Deceased and the plaintiff, or that the Deceased acted negligently in making any of the representations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paragraph 15 of the statement of facts, the plaintiff pleads that "the defendant developer procrastinated interminably and induced Donna Buchan to delay by numerous and varied promises and representations" and that the plaintiff relied on "his various promises statements, and representations to her detriment". The plaintiff provides no particulars of the alleged promises and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paragraph 16, the plaintiff pleads that "the defendant developer's representations aforesaid were not true". Without particulars of those representations, it is impossible for the defendant to know the case he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Similarly, at paragraph 20, the plaintiff pleads that the Deceased's widow and executrix, Jane Rome, made "various representations and unsatisfactory explanations" about why she did not proceed with the development of the consolidated property. It is unclear whether the plaintiff is alleging that those representations were untrue, and no particulars are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paragraphs 7 and 9 b. of the relief sought in the amended Notice of Civil Claim, the plaintiff seeks orders and declarations that her release of mortgage EJ112234 was an unconscionable transaction and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(B.C.C.A.), McIntyre J.A., as he then was, stated the test for setting aside a bargain as unconscionable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authorities, this rule emerges. Where a claim is made that a bargain is unconscionable, it must be shown for success that there was inequality in the position of the parties due to the ignorance, need or distress of the weaker, which would leave him in the power of the stronger, coupled with proof of substantial unfairness in the bargain. When this has been shown a presumption of fraud is raised, and the stronger must show, in order to preserve his bargain, that it was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Nowhere in her amended Notice of Civil Claim has the plaintiff pleaded the material facts necessary to support a claim that her unequal bargaining position left her in the power of the Deceased, and that her agreement to the release the mortgage was substantially unfair. The declarations sought by the plaintiff in subparagraphs g. through j. of the relief sought in the original Notice of Civil Claim, produced at paragraph 21 of these Reasons, referred to some of those facts. However, there are no equivalent pleadings in either Part 1 or Part 2 of the amended Notice of Civil Claim. Where the plaintiff has been afforded the opportunity to amend her Notice of Civil Claim, the omission from Part 1 of a concise statement of the facts necessary to found a claim of unconscionability is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short, the statement of facts remains confusing. It fails to set out all of the material facts necessary to found causes of action for negligent misrepresentation, breach of an alleged collateral contract, or for a declaration that the release of the mortgage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as an unconscionable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Part 2 of the amended Notice of Civil Claim contains pleadings which are inconsistent with each other and which are not framed as alternative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paragraph 1 of the relief sought, the plaintiff alleges that her reliance on the Deceased's statements and representations and her release of the mortgage constituted a collateral contract between the Deceased and herself. The plaintiff does not plead the terms of that collateral contract. At paragraph 2, the plaintiff alleges that the Deceased kept the collateral contract in existence by his continued promises and representations until the fall of 2001, and that his executrix Jane Rome kept the collateral contract in existence until the spring of 2007. Again, the plaintiff fails to plead any particulars of those promises and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paragraph 5, the plaintiff seeks a declaration that the Deceased and his estate breached the collateral contract, and claims damages or compensation for breach of the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paragraph 4, the plaintiff seeks a declaration or finding that the Deceased's statements, representations and promises and the plaintiff's reliance on them "do not constitute a joint venture or any other agreement, and that any agreement alleged to exist by the defendant developer is void for uncertainty or vagueness". By this paragraph, the plaintiff asks the court to find that the statements and promises of the Deceased and her reliance upon those statements, which she alleged in paragraph 1 gave rise to a collateral contract, did not constitute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At paragraphs 7, 8 and 9 of Part 2, the plaintiff seeks declarations that she released her mortgage for no consideration beyond the Deceased's" broken promises and representations", and that the release of the mortgage was an unconscionable transaction that should be set aside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Thus, the plaintiff alleges a collateral contract and claims damages for its breach at paragraphs 1, 2 and 5 of her amended Notice of Civil Claim, but then denies the existence of any agreement by paragraphs 4, 7,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both her original and amended Notice of Civil Claim, the plaintiff alleged that her collateral contract with the Deceased was affirmed by representations made by the Deceased or his widow to her at various times from 1997 through 2007. However, the plaintiff also asserts either that she made no agreement with the Deceased in 1997 or that agreement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either for no consideration or for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 and Moss Management Inc. argue that that claim is bound to fail because it is subject to the six-year limitation period provided in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They say that the plaintiff had six years from July 1997, when she agreed to discharge her mortgage, to bring claims based on no consideration or unconscionability, and that her claims are now statute barred. Further, the defendant and Moss Management Inc. contend that by alleging her agreement to discharge the mortgage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the plaintiff can no longer maintain that she made a binding agreement in July 1997 that was confirmed by the defendant and continued to exist through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Counsel for Moss Management Inc. argues that if the plaintiff's agreement to discharge her mortgage should be set aside for failure of consideration or on the ground that it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then it is no longer open to the plaintiff to claim that Jane Rome's failed attempt to sell the consolidated property in 2007 constituted a repudiation of that agreement which the plaintiff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limitation defence arises from the defendant's pleadings. Here, the plaintiff has pleaded, albeit with inadequate particulars, that the Deceased and later Jane Rome confirmed their intention to proceed with the development of the consolidated property. On an application under Rule 9-5(1)(a), the plaintiff's allegations of fact are assumed to be true. Accordingly, in this case I conclude that it would be inappropriate to strike the plaintiff's pleadings based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 </w:t>
      </w:r>
      <w:r>
        <w:rPr>
          <w:rFonts w:ascii="arial" w:eastAsia="arial" w:hAnsi="arial" w:cs="arial"/>
          <w:i/>
          <w:color w:val="000000"/>
          <w:sz w:val="20"/>
          <w:lang w:val="en-US" w:eastAsia="en-US" w:bidi="ar-SA"/>
        </w:rPr>
        <w:t>Morriss v. British Columbia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2001 BCCA 344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 relying upon </w:t>
      </w:r>
      <w:r>
        <w:rPr>
          <w:rFonts w:ascii="arial" w:eastAsia="arial" w:hAnsi="arial" w:cs="arial"/>
          <w:i/>
          <w:color w:val="000000"/>
          <w:sz w:val="20"/>
          <w:lang w:val="en-US" w:eastAsia="en-US" w:bidi="ar-SA"/>
        </w:rPr>
        <w:t>The Owners, Strata Plan LMS3259 v. Sze Hang Holdings Inc.</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 submits that the plaintiff's pleadings are so prolix and confusing that it is difficult, if not impossible, to understand the case to be met and that accordingly, the amended Notice of Civil Claim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the court stated in </w:t>
      </w:r>
      <w:r>
        <w:rPr>
          <w:rFonts w:ascii="arial" w:eastAsia="arial" w:hAnsi="arial" w:cs="arial"/>
          <w:i/>
          <w:color w:val="000000"/>
          <w:sz w:val="20"/>
          <w:lang w:val="en-US" w:eastAsia="en-US" w:bidi="ar-SA"/>
        </w:rPr>
        <w:t>The Owners, Strata Plan LMS3259</w:t>
      </w:r>
      <w:r>
        <w:rPr>
          <w:rFonts w:ascii="arial" w:eastAsia="arial" w:hAnsi="arial" w:cs="arial"/>
          <w:color w:val="000000"/>
          <w:sz w:val="20"/>
          <w:lang w:val="en-US" w:eastAsia="en-US" w:bidi="ar-SA"/>
        </w:rPr>
        <w:t xml:space="preserve"> at paras. 40 and 41, generally, if a pleading is inadequately drafted, a party will be given the opportunity to redraft it. Where it is plain and obvious that the pleading, even if redrafted, is bound to fail because it is without legal foundation, a party will not be given the opportunity to redraft. Further, the court may deny a party permission to redraft where granting that opportunity would constitute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LMS3259</w:t>
      </w:r>
      <w:r>
        <w:rPr>
          <w:rFonts w:ascii="arial" w:eastAsia="arial" w:hAnsi="arial" w:cs="arial"/>
          <w:color w:val="000000"/>
          <w:sz w:val="20"/>
          <w:lang w:val="en-US" w:eastAsia="en-US" w:bidi="ar-SA"/>
        </w:rPr>
        <w:t>, the court found that granting the defendants' permission to redraft their pleadings would constitute an abuse of process. There, the defendants had received four opportunities over eight years to draft proper pleadings. The court noted that because the defendants were self-represented, they had been given more opportunities to redraft their pleadings properly than would normally be the case. Further, permitting the defendants to redraft would be an abuse of process because the defendants had raised defences and counterclaims that contravened previous court orders, and which they knew had already been dismissed in related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Here, the plaintiff's pleadings are prolix and confused, rendering it difficult for the defendant to understand the case to be met. Since September 2010, the plaintiff and her current counsel have had opportunities to properly plead her claims. The order of Mr. Justice Leask pronounced September 21, 2010 provided the plaintiff with seven weeks to draft and file a Notice of Civil Claim that conformed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plaintiff and her counsel were on notice from December 7, 2010 that the defendant intended to apply to strike the Notice of Civil Claim. They took no steps to amend that pleading before the hearing of this application. On May 6, 2010, the court provided the plaintiff with a further opportunity to amend the Notice of Civil Claim. Despite these opportunities, and despite the fact that the plaintiff is represented by counsel, she has not yet produced adequate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While this case is close to the line, the circumstances here are less egregious than those considered by Madam Justice Sinclair Prowse in </w:t>
      </w:r>
      <w:r>
        <w:rPr>
          <w:rFonts w:ascii="arial" w:eastAsia="arial" w:hAnsi="arial" w:cs="arial"/>
          <w:i/>
          <w:color w:val="000000"/>
          <w:sz w:val="20"/>
          <w:lang w:val="en-US" w:eastAsia="en-US" w:bidi="ar-SA"/>
        </w:rPr>
        <w:t>The Owners Strata Plan LMS3259</w:t>
      </w:r>
      <w:r>
        <w:rPr>
          <w:rFonts w:ascii="arial" w:eastAsia="arial" w:hAnsi="arial" w:cs="arial"/>
          <w:color w:val="000000"/>
          <w:sz w:val="20"/>
          <w:lang w:val="en-US" w:eastAsia="en-US" w:bidi="ar-SA"/>
        </w:rPr>
        <w:t>. The plaintiff has not raised claims in contravention of court orders, or that have already been dismissed. At this stage, I am not persuaded that permitting the plaintiff one further opportunity to amend her pleadings would be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turn next to consider whether a further opportunity to redraft the pleadings should be denied on the basis that all of the plaintiff's claims are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plaintiff and the Deceased made a binding contract for the development of the consolidated property on July 23, 1997, the plaintiff has a reasonable cause of action that Jane Rome's purported sale of the consolidated property in 2007 constituted a repudiation and breach of that agreement. The plaintiff's remedy for breach of contract or for a claim for negligent misrepresentation will be damages rather than a declaration that she has an interest in the consolidated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only claim of the plaintiff to an interest in land which has any prospect of success flows from her allegation that her agreement to release the mortgage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for unconscionability. If the agreement is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pursuant to s. 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the plaintiff has an arguable claim to an interest in land less than the fee simple in the consolidated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"charge"</w:t>
      </w:r>
      <w:r>
        <w:rPr>
          <w:rFonts w:ascii="arial" w:eastAsia="arial" w:hAnsi="arial" w:cs="arial"/>
          <w:color w:val="000000"/>
          <w:sz w:val="20"/>
          <w:lang w:val="en-US" w:eastAsia="en-US" w:bidi="ar-SA"/>
        </w:rPr>
        <w:t xml:space="preserve"> means an estate or interest in land less than the fee simple and includes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encumbrance;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"encumbrance"</w:t>
      </w:r>
      <w:r>
        <w:rPr>
          <w:rFonts w:ascii="arial" w:eastAsia="arial" w:hAnsi="arial" w:cs="arial"/>
          <w:color w:val="000000"/>
          <w:sz w:val="20"/>
          <w:lang w:val="en-US" w:eastAsia="en-US" w:bidi="ar-SA"/>
        </w:rPr>
        <w:t xml:space="preserve"> includes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judgment, mortgage, lien, Crown debt or other claim to or on land created or given for any purpose, whether by the act of the parties or any Act or law, and whether voluntary or involuntary,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Lament v. Constantini</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(1985), 22 D.L.R. (4th) 151</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67 B.C.L.R. 328</w:t>
        </w:r>
      </w:hyperlink>
      <w:r>
        <w:rPr>
          <w:rFonts w:ascii="arial" w:eastAsia="arial" w:hAnsi="arial" w:cs="arial"/>
          <w:color w:val="000000"/>
          <w:sz w:val="20"/>
          <w:lang w:val="en-US" w:eastAsia="en-US" w:bidi="ar-SA"/>
        </w:rPr>
        <w:t xml:space="preserve"> (S.C.) (para. 17), the court held that an equitable mortgage was an interest in land sufficient to support a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inadequately pleaded, the plaintiff's amended Notice of Civil Claim does disclose a possible cause of action for an interest in the consolidated property based on the alleged unconscionability of the transaction by which the plaintiff released her mortgage from one of the three lots subsequently consolidated into the consolidated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may have a difficult task in proving that transaction was substantially unfair to her. She will also be met by a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 However, at this stage, I am not able to say that this claim is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Turning to the plaintiff's other claims, in my view the plaintiff's claim that there was no consideration for the July 23, 1997 agreement is bound to fail. There was consideration in the form of the Deceased's promise or representation that the plaintiff would receive 50 percent of the net proceeds of sale of the consolidated property after the deduction of tax and the Deceased's just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Similarly, the plaintiff's claim that the July 23, 1997 agreement was "brought to an end by ... fundamental breach of the said alleged agreement by the defendant developer's inaction, procrastination, and misrepresentations" has no prospect of success. The doctrine of fundamental breach excused an innocent party from the further performance of a contract and made the defendant liable for the consequences of the breach, despite the existence of an exclusion clause, in cases where the breach went to the root of the contract and denied the innocent party of substantially the whole of the contract's benefit. This case has nothing to do with an exclusion clause. Further, the doctrine of fundamental breach was laid to rest by the Supreme Court of Canada in </w:t>
      </w:r>
      <w:r>
        <w:rPr>
          <w:rFonts w:ascii="arial" w:eastAsia="arial" w:hAnsi="arial" w:cs="arial"/>
          <w:i/>
          <w:color w:val="000000"/>
          <w:sz w:val="20"/>
          <w:lang w:val="en-US" w:eastAsia="en-US" w:bidi="ar-SA"/>
        </w:rPr>
        <w:t>Tercon Contractors Ltd. v. British Columbia (Transportation of Highways)</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For the plaintiff's claim of unjust enrichment to succeed, she must establish enrichment, a corresponding deprivation, and the absence of any juristic reason -- such as a contract -- for the enrichment: </w:t>
      </w:r>
      <w:r>
        <w:rPr>
          <w:rFonts w:ascii="arial" w:eastAsia="arial" w:hAnsi="arial" w:cs="arial"/>
          <w:i/>
          <w:color w:val="000000"/>
          <w:sz w:val="20"/>
          <w:lang w:val="en-US" w:eastAsia="en-US" w:bidi="ar-SA"/>
        </w:rPr>
        <w:t>Garland v. Consumers' Gas</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38. Unless the agreement of July 23, 1997 is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its existence would preclude a complete cause of action for unjust enrichment. Here, the plaintiff has advanced a claim for unjust enrichment, and for a remedy in constructive trust, as an alternative claim. At this stage, I cannot say that alternative pleading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Defendant's Application to Strike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pleadings are far from adequate. They contain material inconsistencies. The plaintiff has had 12 months to put her pleadings in order and has failed to do so. Despite the deficiencies in her pleadings and her solicitor's failure to remedy those deficiencies, ultimately, I am unable to say that the plaintiff's claim that her release of her mortgage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for unconscionability has no reasonable prospect for success, or that a claim for damages for negligent misrepresentation, properly pleaded, is doomed to fail. Nor am I able to say that an alternative claim for damages for breach of contract would be sure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Weighing all of these considerations, I have concluded that the plaintiff should have one last opportunity to amend her Notice of Civil Claim to conform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plaintiff will have 21 days from the date of these Reasons for Judgment to do so. The defendant need not file his Response to Civil Claim until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and Moss Management Inc. are at liberty to reapply following delivery of the plaintiff's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application for cancellation of CPL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applies for the cancellation of the CPL on the ground that the plaintiff's Notice of Civil Claim does not make out an arguable claim for interest in land entitling the plaintiff to register a CPL against the consolidated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defendant brings this application pursuant to sections 256(1) and 257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the relevant provisions of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(1) A person who is the registered owner of or claims to be entitled to an estate or interest in land against which a certificate of pending litigation has been registered may, on setting out in an affidavit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registration of the certificate of pending litigation,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hardship and inconvenience are experienced or are likely to be experienced by the registration,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grounds for those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 for an order that the registration of the certificate be cancelled.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whose indefeasible title or charge is registered subject to a certificate of pending litigation under section 217(2)(a) or (c)(ii) may, on setting out in an affidavit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pleading or petition by which the proceeding was commenced or notice of application attached to the certificate contains no allegation that the owner is not a purchaser in good faith and for valuable consideration,</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owner applied to register the owner's indefeasible title or charge before the certificate was received by the registrar,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dates and times of receipt, application and registration of the owner's application and the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 for an order that the registration of the certificate be cancelled.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under this section must be made to the court in which the proceeding was commenced and must be brought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application in that proceeding, if the applicant is a party to the proceeding, 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petition, if the applicant is not a party.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(1) On the hearing of the application referred to in section 256(1), the court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order the cancellation of the registration of the certificate of pending litigation either in whole or in part, on</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satisfied that an order requiring security to be given is proper in the circumstances and that damages will provide adequate relief to the party in whose name the certificate of pending litigation has been registered,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giving to the party the security so ordered in an amount satisfactory to the court, or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refuse to order the cancellation of the registration, and in that case may order the party</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enter into an undertaking to abide by any order that the court may make as to damages properly payable to the owner as a result of the registration of the certificate of pending litigation,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give security in an amount satisfactory to the court and conditioned on the fulfilment of the undertaking and compliance with further terms and conditions, if any, the court may consider proper.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of the undertaking must be settled by the registrar of the court.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setting the amount of the security to be given, the court may take into consideration the probability of the party's success in the action in respect of which the certificate of pending litigation was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Goepel J. stated in </w:t>
      </w:r>
      <w:r>
        <w:rPr>
          <w:rFonts w:ascii="arial" w:eastAsia="arial" w:hAnsi="arial" w:cs="arial"/>
          <w:i/>
          <w:color w:val="000000"/>
          <w:sz w:val="20"/>
          <w:lang w:val="en-US" w:eastAsia="en-US" w:bidi="ar-SA"/>
        </w:rPr>
        <w:t>Enigma Investments Corp. v. Henderson Land Holdings (Canada) Ltd.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(2007), 78 B.C.L.R. (4th) 120</w:t>
        </w:r>
      </w:hyperlink>
      <w:r>
        <w:rPr>
          <w:rFonts w:ascii="arial" w:eastAsia="arial" w:hAnsi="arial" w:cs="arial"/>
          <w:color w:val="000000"/>
          <w:sz w:val="20"/>
          <w:lang w:val="en-US" w:eastAsia="en-US" w:bidi="ar-SA"/>
        </w:rPr>
        <w:t>, when a CPL is filed "the issue is not whether the plaintiffs can prove an interest in land; the issue is whether they are claiming such an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Quigley v. Robison</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2009 BCSC 1296</w:t>
        </w:r>
      </w:hyperlink>
      <w:r>
        <w:rPr>
          <w:rFonts w:ascii="arial" w:eastAsia="arial" w:hAnsi="arial" w:cs="arial"/>
          <w:color w:val="000000"/>
          <w:sz w:val="20"/>
          <w:lang w:val="en-US" w:eastAsia="en-US" w:bidi="ar-SA"/>
        </w:rPr>
        <w:t xml:space="preserve"> at para. 27, Pitfield J. considered the judgment in </w:t>
      </w:r>
      <w:r>
        <w:rPr>
          <w:rFonts w:ascii="arial" w:eastAsia="arial" w:hAnsi="arial" w:cs="arial"/>
          <w:i/>
          <w:color w:val="000000"/>
          <w:sz w:val="20"/>
          <w:lang w:val="en-US" w:eastAsia="en-US" w:bidi="ar-SA"/>
        </w:rPr>
        <w:t>Enigma Investments Corp.</w:t>
      </w:r>
      <w:r>
        <w:rPr>
          <w:rFonts w:ascii="arial" w:eastAsia="arial" w:hAnsi="arial" w:cs="arial"/>
          <w:color w:val="000000"/>
          <w:sz w:val="20"/>
          <w:lang w:val="en-US" w:eastAsia="en-US" w:bidi="ar-SA"/>
        </w:rPr>
        <w:t xml:space="preserve"> to mean that when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an interest in land appears from the pleadings, a CPL may be registered and the court should not embark upon a consideration of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On the hearing of an application for cancellation of a CPL, the court may make a preliminary assessment of the merits of the plaintiff's claim: </w:t>
      </w:r>
      <w:r>
        <w:rPr>
          <w:rFonts w:ascii="arial" w:eastAsia="arial" w:hAnsi="arial" w:cs="arial"/>
          <w:i/>
          <w:color w:val="000000"/>
          <w:sz w:val="20"/>
          <w:lang w:val="en-US" w:eastAsia="en-US" w:bidi="ar-SA"/>
        </w:rPr>
        <w:t>Park &amp; Tilford Canada Inc. v. Festival Markets Inc.</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(1986), 6 B.C.L.R. (2d) 160</w:t>
        </w:r>
      </w:hyperlink>
      <w:r>
        <w:rPr>
          <w:rFonts w:ascii="arial" w:eastAsia="arial" w:hAnsi="arial" w:cs="arial"/>
          <w:color w:val="000000"/>
          <w:sz w:val="20"/>
          <w:lang w:val="en-US" w:eastAsia="en-US" w:bidi="ar-SA"/>
        </w:rPr>
        <w:t xml:space="preserve"> (S.C.)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Kamil v. Transtide Industries Ltd.</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(1980), 23 B.C.L.R. 344</w:t>
        </w:r>
      </w:hyperlink>
      <w:r>
        <w:rPr>
          <w:rFonts w:ascii="arial" w:eastAsia="arial" w:hAnsi="arial" w:cs="arial"/>
          <w:color w:val="000000"/>
          <w:sz w:val="20"/>
          <w:lang w:val="en-US" w:eastAsia="en-US" w:bidi="ar-SA"/>
        </w:rPr>
        <w:t xml:space="preserve">, McEachern C.J.B.C. ordered the cancellation of a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xml:space="preserve"> after finding that the plaintiff had no serious case to be tried respecting his claim to an interest in the defendant's land. At paras. 19 and 22, the Chief Justice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have already held that the Plaintiff has no serious case to try respecting his claim to obtain an assignment of the Agreement for Sale. It follows, in my view, that Transtide should be free to carry out its arrangements with the capital regional district as considerable hardship and inconvenience will otherwise be experienced, and damages are an adequate remedy for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It has been argued that the Plaintiff should have his entitlement to exercise his alleged option determined at a trial. In my view it was never the intention of the legislature that the nuisance value of a lis pendens should override the legitimate exercise of the rights of land owners, especially in circumstances such as exist here where the Agreement for Sale may have disappeared by merger, and the increasing option price makes it highly probable that the plaintiff would have exercised his option before now if he ever intended to do so. I think it far more likely that the plaintiff has concluded that he should not, or cannot, exercise his option, and he is seeking merely to maximize the nuisance value of the lis pendens.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determination of whether Ms. Buchan has arguable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an interest in land turns on a review of her pleadings and a preliminary assessment of the merits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my review of her pleadings, I have concluded that the plaintiff has a possible claim to an interest in land arising from the alleged unconscionability of the agreement by which she released her mortgage. I have permitted the plaintiff one further opportunity to redraft her Notice of Civil Claim to properly plead that claim. Any preliminary assessment of the merits of her case should in fairness be conducted with reference to the further amended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has not shown that he is experiencing hardship and inconvenience by the registration of the CPL, or that he is likely to experience such hardship and inconvenience in the near future. Indeed, the only evidence of hardship adduced by the defendant on this application consisted of two affidavits sworn by Mr. Rome in 2009 relating to a conditional offer to purchase the consolidated property which has long since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these circumstances, I decline to order the cancellation of the CPL from title to the consolidated property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event of a change of circumstances, or should they elect to do so following delivery of the plaintiff's further amended Notice of Civil Claim, the defendant and Moss Management Inc. are at liberty to reapply for cancellation of the CPL.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failure to properly plead her claim has put the defendant and Moss Management Inc. to inordinate time and expense. The hearing of this application and its resolution has also occupied a disproportionate amount of the court's time. Plaintiff's counsel delivered two volumes of authorities containing 40 cases and filed written submissions which, together with attachments exceeded 100 pages. The review of that material required considerable time, although much of it was of limited assistance in addressing the issues arising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Accordingly, the defendant and Moss Management Inc. will have the costs of this application at Scale B, payable by the plaintiff forthwith after the assessment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Filed pursuant to the leave granted by Leask J. September 21,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Amended pursuant to the order granted by Pearlman J. May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Filed September 2nd, 2008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S086190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Registry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Donna Buchan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2614"/>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Raser Bruce Rome, as administrator with will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annexed "de bonis non" of the tack of Bruce Rompe,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22-3 of the Supreme Court Civil Rules apples to all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action has been started by the plaintiff(s)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respond to this action, you or your lawyer must</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claims described below, and</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reponse to civil claim described below,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patries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anywhere in Canada, within 21 days after the date on which a copy of the filed notice of civil claim was served on you,</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in the United States of America, within 35 days after the date on which a copy of the filed notice of civil claim was served on you,</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elsewhere, within 49 days after the date on which a copy of the filed note of civil claim was served on you, or</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1: STATEMENT OF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mothered paragraphs, set out a concise statement of the material facts giving rise to the plaintiff's(s') claim.]</w:t>
      </w:r>
    </w:p>
    <w:p>
      <w:pPr>
        <w:numPr>
          <w:numId w:val="4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Donna Buchan is an English instructor and resides at 1544 Tunstall Boulevard, Bowen Island. Donna Buchan earned degrees in Linguistics and Educational Administration and was at Leaning Assistance Coordinator at Capileno College until 1989. In 1990, she worked as a Researcher for the Head of Educational Psychology and Special Educational U.B.C. From 1991 to 1993, she worked as a Counsellor and English instructor at Malaspina University College (now Vancouver Island University). She had no previous experience in real estate development, and her experience with real estate was limited to purchase of one family home.</w:t>
      </w:r>
    </w:p>
    <w:p>
      <w:pPr>
        <w:numPr>
          <w:numId w:val="4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Donn Buchan acquired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"A", DL 540, plan 14501 hereinafter sometimes referred to as lot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from her parents about 1992, and that property was in their family for a long time before that.</w:t>
      </w:r>
      <w:r>
        <w:rPr>
          <w:rFonts w:ascii="arial" w:eastAsia="arial" w:hAnsi="arial" w:cs="arial"/>
          <w:sz w:val="20"/>
          <w:lang w:val="en-US" w:eastAsia="en-US" w:bidi="ar-SA"/>
        </w:rPr>
        <w:cr/>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Bruce Rome ["defendant developer"] was an experienced businessman and land developer and had a special interest in developing lot "A", DL S40, plan 14501, and two adjacent lots of land</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 and his family had been family friends with Donna Buchan and her family for many years prior to 1995.</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October 1995 Donna Buchan sold lot A to the defendant developer for the toll price of $1.179 Million. Donna Buchan accepted the difference between $1.179 Million and $955,000. In various benefits agreed upon between her and the defendant developer, and accepted a mortgage back for $955.000. with interest at 8.75% computed semi-annually not in advance from its date of registration, about October 31, 1995, for the balance of purchase price. This mortgage was registered in the Vancouver Island Land Title Office ender number E2112234, hereinafter sometimes refused to as "mortgage E2112234"</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 EJ1112234 had the standard statutory mortgage terms provided for by British Colombia which included that in the event that the mortgagor merged any property with the mortgaged property the mortgage charge would enlarge and the property merged with the mortgaged property would become subject to the mortgage.</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October 1995 and July 23, 1997 The defendant developer made various promises and representations to Donna Buchan. Those representations included, but were not restricted to:</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 sterling reputation for integrity and success in real estate development and could be relied upon to live up to and exceed the letter of his word in real estate development,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already presented to and had had passed by Parksville Municipal Council past third reading a comprehensive plan to consolidate, rezone, redevelop and market for profit lot "A", DL 540, plan 14501 and its contiguous lots, which were known as "His Development".</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the Parksville Municipal Council pass the His Syndicate passed by 4th and final reading was no more than a formality or a "done deal"</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presented a the necessary paperwork and plan, to Parksville Municipal Council and they had approved them</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services, meaning roads, sewers, electrical and like utilities had been planned and approved and many were already in place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Syndicate developmenr would be underway, and the first, of perhaps 5 construction phases would be underway in one, or two years at the absolute maximum</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commercial value of his Syndicate development would be of the order of $2.7 Million. This was confirmed by an appraisal from Cunningham Rivant Appraisals, a true copy of which is in the possession of the defendant developer estate and their alleged purchaser Westsea Properties Ltd.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plans developments and permits, and other work in progress of his Syndicate were taken over by the defendant developer</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everything that had to be in place for a successful 4th reading before Parksville Municipal Council was available and in place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other conditions or matters or issues that had to be dealt with before his proposed Alta Sierra Development would proceed.</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By his promises and representations the defendant developer induced Donna Buchan to believe that a joint venture agreement to develop lot I aforesaid would: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Would be a done deal and would proceed forthwith</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everyrhing that had to be in place for a successful 4th rearing before Parksville Municipal Council was available and in place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Solicitor Evans &amp; company would give a Solicitor's undertaking which would guarantee Donna Buchan's investment and her immediate return on her participation and investment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proposed Alto Sierra Development was such secure for Donna Buchan that independent legal or investment advice on his proposed investment was monetarily and she could proceed without any concerns</w:t>
      </w:r>
    </w:p>
    <w:p>
      <w:pPr>
        <w:numPr>
          <w:numId w:val="4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Buchan had a special interest in the consolidated property for it had been in her family for a lengthy period and she had intentions to develop it as a retirement development and take an interest in that herself</w:t>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 did not quality or in any any indicate that his proposed Alta Siena Development had to be financed and his Development project financing would nor become available unless the financial market conditions were suitable for his Development, and for the purchase of units in the proposed Alta Sierra Development, and unless the market conditions were correct for such financings his proposed Alta Sierra Development could not proceed.</w:t>
      </w:r>
    </w:p>
    <w:p>
      <w:pPr>
        <w:numPr>
          <w:numId w:val="4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July 1997 The defendant developer presented Donna Buchan with a revised or final plan to consolidate, rezone and develop lot "A", DL 540, plan 14501. and its adjacent lots, ["contigious lots" or "consolidated property" or "Alta Sierra Development"] and to resell them for a profit</w:t>
      </w:r>
    </w:p>
    <w:p>
      <w:pPr>
        <w:numPr>
          <w:numId w:val="6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Buchan relied on:</w:t>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developer's promises and representations aforesaid and</w:t>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Solicitor's written undertaking that she would be paid our of the proposed Alta Sierra Development and about July 23, 1997 conveyed her interest in mortgage EJ 112234, to The defendant developer. She received no consideration for this conveyance, hereinafter sometimes referred to as "release of mortgage EJ 112234" except the promises and representation aforesaid for the immediate development of his Development proposal described aforesaid</w:t>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 took steps which resulted in the merger of lot "A", DL 540, plan 14501 with other properties which be owned or controlled, and resulted in a consolidated: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023-960-230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1, Block 564 and District Lot 125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Nanoose District Plan V1P66272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sometimes referred to as "lot 1"</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Sudan had an interest in lot 1 which was:</w:t>
      </w:r>
    </w:p>
    <w:p>
      <w:pPr>
        <w:numPr>
          <w:numId w:val="6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transferee's interest in real estate which was conveyed for no consideration, or in alternative for alleged consideration which totally failed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transferees interest in a real estate interest</w:t>
      </w:r>
    </w:p>
    <w:p>
      <w:pPr>
        <w:numPr>
          <w:numId w:val="6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beneficial interest pursuant to equitable doctrines of unjust enrichment, fiduciary duty, unconscionable transaction</w:t>
      </w:r>
    </w:p>
    <w:p>
      <w:pPr>
        <w:numPr>
          <w:numId w:val="7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 procrastinated interminably and induced Donna Buchan to delay by numerous and varied promises and representations. Donna Buchan relied on his various promises statements, and representations to her detriment.</w:t>
      </w:r>
    </w:p>
    <w:p>
      <w:pPr>
        <w:numPr>
          <w:numId w:val="7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developer's representations aforesaid were not true, the proposed and promised Alta Sierra Development project did not proceed, and he did not accomplish anything of the nature that he represented to Donna Buchan.</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 affirmed his commitment to his promises and representations and to proceed with his Development project, on various occasions, including without restricting the generality of the foregoing, about fall 2001.</w:t>
      </w:r>
    </w:p>
    <w:p>
      <w:pPr>
        <w:numPr>
          <w:numId w:val="7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 died about April 2002.</w:t>
      </w:r>
    </w:p>
    <w:p>
      <w:pPr>
        <w:numPr>
          <w:numId w:val="7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developer's widow Jane Rome obtained letter probate and became executrix of his estate.</w:t>
      </w:r>
    </w:p>
    <w:p>
      <w:pPr>
        <w:numPr>
          <w:numId w:val="7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Jane Rome aforesaid did nothing constructive or in any way satisfactory with or for his Development project made various representations and unsatisfactory explanation why she did not proceed and the defendant developer's Development project proceeded no further. Mostly Jane Rome indicated that her children would assume the burden of the defendant developer's development and keep Donna Buchan informed.</w:t>
      </w:r>
    </w:p>
    <w:p>
      <w:pPr>
        <w:numPr>
          <w:numId w:val="7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June 6, 2007 Jane Rome aforesaid purported to sell Lot 1 to a company, Westsea Properties Ltd, whose principal was one Hugh Maddin, without notice to, consultation with or the torrent of Donna Buchan.</w:t>
      </w:r>
    </w:p>
    <w:p>
      <w:pPr>
        <w:numPr>
          <w:numId w:val="7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Hugh Maddin and Westsea Properties Ltd were aware of The defendant developer's proposed Alta Stem Development project for lot 1, of his efforts to advance his Development, and his inability to attract appropriate financing, and The defendant developer's promises and representations to Donna Buchan and of her unregistered interest in lot 1 aforesaid.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Jane Rome died about 1998 and Robert The defendant developer, her son and of the deceased The defendant developer, is continuing to deny Donna Buchan's interest in lot 1 aforesaid, and attempting to market lot 1 without notice to, consent of or, consultation with Donna Buchan.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 holds a 50 percent interest in the Consolidated Property in trust for the Plaintiff on the basis of unjust enrichment. As result of the Plaintiffs financial contribution towards the Deceased's acquisition of the Consolidated Property, the Defendant has been unjustly enriched to the detriment of the Plaintiff, without juristic reason.</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Plaintiff claims relief against the Defendant on the basis of quantum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any party sues or is sued in a represenrative capacity. Identify the party and describe the representative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2: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[Using numbered paragraphs, set out the relief sought and indicate against which defendant(s) that relief is sought. Relief may be sought in the alternative.]</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or declaration that Donna Buchan's reliance on the defendant developer's statements, representations, and practises, and her release of mortgage 63112234 constituted a collareral contort between the defendant developer and herself;</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or declaration that defendant developer Bruce Rome kept the collateral contract in existence by his continued promises and representations until the fall months of 2001, and his executrix Jane Rome kept that collateral contract in existence until spring 2007 thereafter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the defendant's consolidation of lot "A", DL 540, plan 14501 with PID: 023-960-230 Lot 1, Block 564 and Distract Lot 125 Nanoose District Plan V1P66272 and another parcel of land operated to extend the plaintiff's mortgage registered under no EJ 112234 against lot "A", DL S40, plan 14501 aforesaid to coincide with the boundaries of the new parcel described herein as the consolidated property pursuant to the operation of section 100 of the Land title Act [RSBC 1996] CHAPTER 250 and the practice pursuant to those parts of the said act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or declaration or finding that the defendant developer's statements, representations, and promises, and Donna Buchan's reliance on them do not constitute a joint venture or any other agreement, and that any agreement alleged to exist by the defendant developer is void for uncertainty or vagueness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or declaration that the defendant developer and his estate breached the collateral contract, and for damages or compensation for the defendant developer's breach of collateral contract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or compensation for the defendant developer's actionable misstatements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and declaration that plaintiffs release of mortgage EJ 112234 for no consideration beyond defendant developer's broken promises and representations was an unconscionable transaction and should be set aside ab initio</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and declaration that plaintiffs release of mortgage EJ 112234 for no consideration beyond defendant developer's broken promises and representation created a resulting trust and that mortgage EJ 112234 was not released in equity, and that in equity mortgage EJ 112234 remains an unregistered charge against the consolidated property, and that the discharge of mortgage EJ 112234, executed about July 23, 1997 and registered thereafter was void and of no force and effect, and that the mortgage EJ 112234 aforesaid remained a valid and embattling unregistered mortgage, and that defendant developer holds the consolidated property, also known as: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023-960-230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I, Block 564 and District Lot 125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Nanoose District Plan VIP66272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mortgage EJ 112234 aforesaid is favour of Donna Buchan</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agreement alleged to have been made July 23, 1997:</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result of the defendant developer's practises and representations which were never kept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was an unconscionable transaction and void ab initio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be set aside ab initio</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and declaration that the defendant developer stood in a fiduciary position to the plaintiff, and that he breached the fiduciary duties to the plaintiff</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defendant has been unjustly enriched by the combination of his refusal or inability to perform the promises and representation that induced the plaintiff to release ha morrgage EJ 112234, and by her release of mortgage EJ 112234 aforesaid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the defendant estate's purported sale of the consolidated property to Westsea Properties Ltd about June 6, 2007 was a repudiation or renunciation of the agreement alleged to have been made July 23, 1997</w:t>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plaintiff's obligations, if any, pursuant to the agreement alleged to have been made July 23, 1997 were brought to an end by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defendant's purported sale of the consolidated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property to Westsea Properties Ltd about June 6, 2007</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or disability of a key person, namely the developer Bruce Rome, deceased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fundamental breach of the said alleged agreement by the defendant developer's inaction, procrastination, and misrepresenrations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frustration of the collateral contrail by the defendant developer's inaction, procrastination, and misrepresentation</w:t>
      </w:r>
    </w:p>
    <w:p>
      <w:pPr>
        <w:numPr>
          <w:numId w:val="8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pending litigation over lands and premises known as: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023-960-230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1, Block 564 and District Lot 125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Nanoose District Plan VIP66272</w:t>
      </w:r>
    </w:p>
    <w:p>
      <w:pPr>
        <w:numPr>
          <w:numId w:val="9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judgment in favour of the Plaintiff for compensation on a quantum mentit basis, plus interest;</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or remedy or relief as to This Honourable Court may seem meet and just, or which might restore the plaintiff the position she would been in but for the wrongs committed by the defendant developer</w:t>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w:t>
      </w:r>
    </w:p>
    <w:p>
      <w:pPr>
        <w:numPr>
          <w:numId w:val="9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3: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[Using numbered paragraphs, set out a concise summary of the legal basis on which the plaintiff(s) intend(s) to rely in support of the relief sought and specify any rule or other enactment relied on. The legal bases for the relief sought may be set out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relies upon the legal and equitable doctrines of this Honourable Court enunciated in the jurisprudence Queen v Cognes, Harry v. Kreutziger, Cansom v Boughton, Knipp v Tanabe Ross, Xingu v Widmer Ventures, unjust enrichment, Harraway v Harraway, Barmy Kuhn, Latent v Constantini, Royal Bank v Ironmongers, Aviawest v Memory Lane, Hunt v Carey Canada, Lombardo's Restaurant v. Lombardo, Chen v Inland Logging, Enigma Investments v Henderson, and lines of cases following those and related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seeks relief from the strict application of the requirement to comply with part 3- legal basis of form 1, Notice of Civil Claim on the grounds that in this instance strict compliance seems to be inconsistent with the law as enunciated by the Supreme Court of Canada in Hunt, aforesaid, specifically:</w:t>
      </w:r>
      <w:r>
        <w:rPr>
          <w:rFonts w:ascii="arial" w:eastAsia="arial" w:hAnsi="arial" w:cs="arial"/>
          <w:sz w:val="20"/>
          <w:lang w:val="en-US" w:eastAsia="en-US" w:bidi="ar-SA"/>
        </w:rPr>
        <w:cr/>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arguments as to law and fact are intricate and complex and should be dealt with a trial after all the evidence is adduced at this stage of the proceedings it is impossible to reach the conclusion that there is no cause of action in fact or law. (See Minnes v. Minxes reflex, (1962), 39 W.W.R. 112 at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with the decision of Garson J., (as she then was), in Forliti (Guardian ad Litem) v. Woolley, </w:t>
      </w:r>
      <w:hyperlink r:id="rId761" w:history="1">
        <w:r>
          <w:rPr>
            <w:rFonts w:ascii="arial" w:eastAsia="arial" w:hAnsi="arial" w:cs="arial"/>
            <w:i/>
            <w:color w:val="0077CC"/>
            <w:sz w:val="20"/>
            <w:u w:val="single"/>
            <w:shd w:val="clear" w:color="auto" w:fill="FFFFFF"/>
            <w:lang w:val="en-US" w:eastAsia="en-US" w:bidi="ar-SA"/>
          </w:rPr>
          <w:t>2003 BCSC 1082</w:t>
        </w:r>
      </w:hyperlink>
      <w:r>
        <w:rPr>
          <w:rFonts w:ascii="arial" w:eastAsia="arial" w:hAnsi="arial" w:cs="arial"/>
          <w:color w:val="000000"/>
          <w:sz w:val="20"/>
          <w:lang w:val="en-US" w:eastAsia="en-US" w:bidi="ar-SA"/>
        </w:rPr>
        <w:t xml:space="preserve"> (CanLII), where Garson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general principles with respect to amendments were set out by McLachlin J. (as she then was) in Victoria Grey Metro Tria Company v. Fort Gray Trust Company 1982 CanLII 227 (B.C.S.C.). </w:t>
      </w:r>
      <w:hyperlink r:id="rId318"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pages 46-47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addressing the proposed pleadings, I refer to the principles which govern the granting of amendments to pleadings. The basic rule, set out expressly in the former rules and no doubt still applicable, is that such amendments should be permitted as at necessary to determine the real question in issue between the parties ... However, the court will not allow useless amendments ... it may be noted that it is only in the clearest eases that a pleading will be struck out as disclosing no reasonable claim; where there is doubt on either the facts or law, the matter should be allowed to proceed for determination at trial ... If there is any doubt, it should be resolved in favor of permitting the pleadings to stand ... While these cases deal with striking out claims already pleaded, consistency demands that the same considerations apply to the question of amendment to permit new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requirement of compliance with the strict letter of form 1 would likely contradict the principles aforesaid and impose a serious hardship upon the plaintiff, as well as require overly voluminous references to all possible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seeks relief from strict compliance with the form 1 on the ground that this is or appears to a case of first instance and the plaintiff is unaware of any decisions of This Honourable Court which interpret the requirements of form 1 with the authorities cited aforesaid, and resolve the inconsistencies between the aforesaid.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legal basis for the relief include but are not necessarily limited to following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1 Chitty on Contracts, 23d said at section 585 than a collateral contract is an assurance given in the course of negotiation may therefore give rise to a contractual obligation, provided that an intention to be bound can be shown. And further that the Court of Appeal "held that the assurance constituted a contract collateral to the lease, on which the defendant was liable. Donna Buchan's release of her mortgage EJ 112234 constitutes ample consideration to support a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2 It is trite law that one party's representation that a contract will be completed coupled with a request for more time, when accepted by the other party to the agreement constitutes a valid amendment to the initial agreement, in this case the collateral contract that there would be a real estate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3 section 100(5) of the Land Title Act provides:</w:t>
      </w:r>
      <w:r>
        <w:rPr>
          <w:rFonts w:ascii="arial" w:eastAsia="arial" w:hAnsi="arial" w:cs="arial"/>
          <w:sz w:val="20"/>
          <w:lang w:val="en-US" w:eastAsia="en-US" w:bidi="ar-SA"/>
        </w:rPr>
        <w:cr/>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consolidation of surveyed parcels, a consent referred to in subsection (4)(a) on the application and given by the holder of a mortgage warned by the owner of the fee simple operates, on the deposit of the plan, to extend the montage registered against the title to the surveyed parcel so as to coincide with the boundaries of the new parcel as shown on the reference or explanatory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land Title Office practice associated with the aforesaid provides that a mortgage registered against one of several merged parcels extends to the order lots when the parcels are 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4 Chitty on Contracts 23d, provide at section 83 that "It is a well established rule that the parties must make their own contract, and this means that they must agree to its terms with sufficient certainty. If the terms are unsettled or indefinite there will be no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5 Chitty on Contracts, 234 said at section 585 that breach of a collateral contact was sufficient to make a defendant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6 In Queen v Cogan Per McLachlin J. said: The pre-contractual representation was different in scope and effect from the contractual obligation. The appellant relied on that representation in deciding to enter into the contract. It turned out to have been negligently made and false. It follows that the appellant is entitled to damages for the loss suffered as a result of that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7 In Harry v Kreutizger the Court of Appeal said: [26] In my opinion, questions as to whether use of power was unconscionable, an advantage was unfair or very unfair, a consideration was grossly inadequate, or bargaining power was grievously impaired, to select words from both statements of principle, the Morrison case and the Bundy case, are really aspects of one single question. That single question is whether the transaction, seen as a whole, is sufficiently divergent from community standards of commercial morality that it should be rescinded.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8 Chitty on Cantracts 23d, a paragraph 1690 says, inter alia when one is considering the law of failure of consideration and of the quasi-contactual right to recover money on that ground it is generally speaking not the promise which is refered to as the consideration, but the performance of the promise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Royal Bank of Canada v. Ironmonger, </w:t>
      </w:r>
      <w:hyperlink r:id="rId762" w:history="1">
        <w:r>
          <w:rPr>
            <w:rFonts w:ascii="arial" w:eastAsia="arial" w:hAnsi="arial" w:cs="arial"/>
            <w:i/>
            <w:color w:val="0077CC"/>
            <w:sz w:val="20"/>
            <w:u w:val="single"/>
            <w:shd w:val="clear" w:color="auto" w:fill="FFFFFF"/>
            <w:lang w:val="en-US" w:eastAsia="en-US" w:bidi="ar-SA"/>
          </w:rPr>
          <w:t>1999 CanLII 5173</w:t>
        </w:r>
      </w:hyperlink>
      <w:r>
        <w:rPr>
          <w:rFonts w:ascii="arial" w:eastAsia="arial" w:hAnsi="arial" w:cs="arial"/>
          <w:color w:val="000000"/>
          <w:sz w:val="20"/>
          <w:lang w:val="en-US" w:eastAsia="en-US" w:bidi="ar-SA"/>
        </w:rPr>
        <w:t xml:space="preserve"> (B.C.S.C.) Melnick J.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Royal Bank of Canada (Royal Bank) petitions the Court to declare that a discharge of mortgage registered on the title of certain property be declared void and of no force and effect and that the mortgage thereby discharged is a valid and subsisting mortgage charging the property in priority to another mortgage subsequently registered by another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 therefore declare that Mortgage XG14118 is a valid and subsisting montage. Discharge of Mortgage XJ11434 registered in the Nelson Land Title Office on May 12, 1995 to effect the discharge of Mortgage X014818 is void and of no force or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decision is authority that the This Honourable Court that jurisdiction to grant the remedy sought as parties consent does not grant a curt jurisdiction where none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 9 In Harry v. Kreutziger, </w:t>
      </w:r>
      <w:hyperlink r:id="rId752" w:history="1">
        <w:r>
          <w:rPr>
            <w:rFonts w:ascii="arial" w:eastAsia="arial" w:hAnsi="arial" w:cs="arial"/>
            <w:i/>
            <w:color w:val="0077CC"/>
            <w:sz w:val="20"/>
            <w:u w:val="single"/>
            <w:shd w:val="clear" w:color="auto" w:fill="FFFFFF"/>
            <w:lang w:val="en-US" w:eastAsia="en-US" w:bidi="ar-SA"/>
          </w:rPr>
          <w:t>1978 CanLII 393</w:t>
        </w:r>
      </w:hyperlink>
      <w:r>
        <w:rPr>
          <w:rFonts w:ascii="arial" w:eastAsia="arial" w:hAnsi="arial" w:cs="arial"/>
          <w:color w:val="000000"/>
          <w:sz w:val="20"/>
          <w:lang w:val="en-US" w:eastAsia="en-US" w:bidi="ar-SA"/>
        </w:rPr>
        <w:t xml:space="preserve"> the Court of Appeal said, inter alia, 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From these authorities, this rule emerges. Where a claim is made that a bargain is unconscionable, it must be shown for success that there was inequality in the position of the parties due to the ignorance, need or distress of the weaker, which would leave him in the power of the stronger, coupled with proof of substantial unfairness in the bargain.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this has been shown a presumption of fraud is raised, and the stronger must show, in order to preserve his bargain, that it was fair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tingle question of whether the transaction, seen as a whole, is sufficiently divergent from community standards of commercial morality that it should be rescinded must be answered by an examination of the decided cases and a consideration, from those cases, of the fact patterns that require that the bargain be rescinded and those that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10 The authors of Ellis on Fiduciary Duties in Canada said, at page 13-4.2 that "parties who are negotiating towards a joint venture may be in a fiduciary position despite the absence of such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authors of Ellis on Fiduciary Duties in Canada said, at page 12-4.1 that "the concept of vulnerability is still an essential and central pan of deterntining if a fiduciary relationship exists between the two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Canson Enterprises Ltd. v. Boughton it Co, </w:t>
      </w:r>
      <w:hyperlink r:id="rId763"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McLachlin J said, inter alia, The trust-like nature of the fiduciary obligation manifests itself in characteristics whim distinguish it from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from breach of contact. Thus Janice Wilson in Frame v. Smith, approved by Justices Sopinka and La Forest in Lac Minerals Ltd v. International Carona Resources Ltd, ... attributed the following charactersitics to a fiduciary obligation: (1) the fiduciary has scope for the exercise of some discretion or power; (2) the fiduciary can unilaterally exercise that power or discretion so as to affect the beneficiary's legal or practical interests: (3) the beneficiary is peculiarly vulnerable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 11 In Harraway v. Harraway, </w:t>
      </w:r>
      <w:hyperlink r:id="rId764" w:history="1">
        <w:r>
          <w:rPr>
            <w:rFonts w:ascii="arial" w:eastAsia="arial" w:hAnsi="arial" w:cs="arial"/>
            <w:i/>
            <w:color w:val="0077CC"/>
            <w:sz w:val="20"/>
            <w:u w:val="single"/>
            <w:shd w:val="clear" w:color="auto" w:fill="FFFFFF"/>
            <w:lang w:val="en-US" w:eastAsia="en-US" w:bidi="ar-SA"/>
          </w:rPr>
          <w:t>2009 BCCA 561</w:t>
        </w:r>
      </w:hyperlink>
      <w:r>
        <w:rPr>
          <w:rFonts w:ascii="arial" w:eastAsia="arial" w:hAnsi="arial" w:cs="arial"/>
          <w:color w:val="000000"/>
          <w:sz w:val="20"/>
          <w:lang w:val="en-US" w:eastAsia="en-US" w:bidi="ar-SA"/>
        </w:rPr>
        <w:t xml:space="preserve"> (CanLII)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order for a constructive trust to arise, Ms. Fournier must establish that the Harraways were unjustly enriched, and that the most appropriate remedy for the unjust enrichment is a constructive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Unjust enrichment has three elements: see Garland v. Consumers' Gas Co., </w:t>
      </w:r>
      <w:hyperlink r:id="rId756"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(CanLII) at para. 30 [Garland]:</w:t>
      </w:r>
    </w:p>
    <w:p>
      <w:pPr>
        <w:numPr>
          <w:numId w:val="9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9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9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12 Chitty On Contracts, 23d, says at section 339, says:</w:t>
      </w:r>
      <w:r>
        <w:rPr>
          <w:rFonts w:ascii="arial" w:eastAsia="arial" w:hAnsi="arial" w:cs="arial"/>
          <w:sz w:val="20"/>
          <w:lang w:val="en-US" w:eastAsia="en-US" w:bidi="ar-SA"/>
        </w:rPr>
        <w:cr/>
      </w:r>
    </w:p>
    <w:p>
      <w:pPr>
        <w:numPr>
          <w:numId w:val="9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RENUNCIATION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1339 Renunciation before performance. If, before the time arrives at which a party is bound to perform a contract, he expresses an intention to break it, or acts in such a way as to lead a reasonable person to the conclusion that be does not intend to fulfill his part, 3" this of itself entitles the other party to take one of two courses. He may treat the renunciation as discharging him from further performance and sue for damages forthwith, or he may wait till the time for performance arrives and then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13 Chitty On Corrtracts, 23d, says at section 1400, says: A personal contract is discharged by the death of either party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Yeager v. R.J. Hastings Agencies Ltd., </w:t>
      </w:r>
      <w:hyperlink r:id="rId765" w:history="1">
        <w:r>
          <w:rPr>
            <w:rFonts w:ascii="arial" w:eastAsia="arial" w:hAnsi="arial" w:cs="arial"/>
            <w:i/>
            <w:color w:val="0077CC"/>
            <w:sz w:val="20"/>
            <w:u w:val="single"/>
            <w:shd w:val="clear" w:color="auto" w:fill="FFFFFF"/>
            <w:lang w:val="en-US" w:eastAsia="en-US" w:bidi="ar-SA"/>
          </w:rPr>
          <w:t>1984 CanLII 533</w:t>
        </w:r>
      </w:hyperlink>
      <w:r>
        <w:rPr>
          <w:rFonts w:ascii="arial" w:eastAsia="arial" w:hAnsi="arial" w:cs="arial"/>
          <w:color w:val="000000"/>
          <w:sz w:val="20"/>
          <w:lang w:val="en-US" w:eastAsia="en-US" w:bidi="ar-SA"/>
        </w:rPr>
        <w:t xml:space="preserve"> Wood J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Dartmouth Ferry Comm. v. Marks </w:t>
      </w:r>
      <w:hyperlink r:id="rId766" w:history="1">
        <w:r>
          <w:rPr>
            <w:rFonts w:ascii="arial" w:eastAsia="arial" w:hAnsi="arial" w:cs="arial"/>
            <w:i/>
            <w:color w:val="0077CC"/>
            <w:sz w:val="20"/>
            <w:u w:val="single"/>
            <w:shd w:val="clear" w:color="auto" w:fill="FFFFFF"/>
            <w:lang w:val="en-US" w:eastAsia="en-US" w:bidi="ar-SA"/>
          </w:rPr>
          <w:t>(1904), 34 S.C.R. 366</w:t>
        </w:r>
      </w:hyperlink>
      <w:r>
        <w:rPr>
          <w:rFonts w:ascii="arial" w:eastAsia="arial" w:hAnsi="arial" w:cs="arial"/>
          <w:color w:val="000000"/>
          <w:sz w:val="20"/>
          <w:lang w:val="en-US" w:eastAsia="en-US" w:bidi="ar-SA"/>
        </w:rPr>
        <w:t>, the issue before the court was the right of the estate of a deceased employee to collect wages from his former employer for the period during which he was absent from walk due to at illness which was originally thought to be temporary but from which he, in fact, eventually died. Davies J., speaking for the majority of the court, said at p. 374: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truth is now admitted and is beyond controversy that on and after the 15th of December, when Captain Marks ceased working, he was permanently disabled from doing his work he had contracted to do. In law, this disablement is termed the act of God. It not only, in my opinion, justified the Commission in formally determining the contract, if they had chosen to take that course, but by rendering it impossible that he could ever afterwards discharge his duties under his contract, the perntanent disablement determined and ended the contract. The consideration which moved the Commission to promise wages was gone. The mutuality necessary for longer continance (sic) of the contract ceased. Captain Marks could not be sued by the Commission for non-performance by him of his promise to some them in the capacity of captain of one of their steamers. He could plead to any such action, disablement or incapacity by the act of God. The same result would have followed if be had become insane or had lost the physical use of his limbs. The fact of the disablement arising from occult internal trouble cannot make any difference. There is no analogy between such permanent disablement and monetary sickness. The law permits the latter on the ground of common humanity to be offered as an excuse for not discharging duty temporarily and suffers the disabled party to recover wages for the time he is temporarily away from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Plaintiff's(s') address for service: [Set out the street address of the address for service. One or both of a fax number and an e-mail address may be given as additional addresses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 Alexander Jeletzky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Barrister and Solicitor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804-750 West Pender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V6C 2T7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Place of trial: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address of the registry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800 Smithe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2E1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Dated at Vancouver, B.C., November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Alexander Jeletzky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Signature of Plaintif 's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NOTICE OF CIVIL CLAIM is filed by Alexander Jeletzky, Solicitor for the plaintiff herein, whose place of business and address for delivery is 804-750 West Pender Street, Vancouver, B.C. Telephone 687-1037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7-1(1) of the Supreme Court Civil Rudes states:</w:t>
      </w:r>
      <w:r>
        <w:rPr>
          <w:rFonts w:ascii="arial" w:eastAsia="arial" w:hAnsi="arial" w:cs="arial"/>
          <w:sz w:val="20"/>
          <w:lang w:val="en-US" w:eastAsia="en-US" w:bidi="ar-SA"/>
        </w:rPr>
        <w:cr/>
      </w:r>
    </w:p>
    <w:p>
      <w:pPr>
        <w:numPr>
          <w:numId w:val="9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Canadian Forest Products Ltd. v. B.C. Rail Ltd., [2003] B.C.J. No. 809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9 - 11, 16 - 20, 23 - 27,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15 - 18, and 21 - 25,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C995171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809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1156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 Admiralty action in REM against the Ship Star Dover and in personam Between Canadian Forest Products Ltd., plaintiff, and B.C. Rail Ltd., British Columbia Railway Company, BCR Properties Ltd., Squamish Terminals Ltd. Dover Inc., Star Shipping A/S, and the owners and all others interested in the ship "Star Dover",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0" w:name="Keywords_37"/>
      <w:bookmarkEnd w:id="330"/>
      <w:r>
        <w:rPr>
          <w:rFonts w:ascii="arial" w:eastAsia="arial" w:hAnsi="arial" w:cs="arial"/>
          <w:b/>
          <w:color w:val="000000"/>
          <w:sz w:val="20"/>
          <w:lang w:val="en-US" w:eastAsia="en-US" w:bidi="ar-SA"/>
        </w:rPr>
        <w:t>Sale of goods — Conditions and warranties — Latent defects — That render goods unfit for use — Assumption of risk — Bailment — Liability of bailee — Bailment for benefit of bailor and bailee — Evidence and burden of proof on bailee — Railways — Operation — Carriage of goods — Limitation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1" w:name="Case Summary_35"/>
            <w:bookmarkEnd w:id="3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Canadian Forest Products against BCRail, Squamish Terminals, and Star Shipping for damages for breach of contract. Canadian Forest produced paper and shipped it by BCRail to Squamish Terminals where it was loaded onto Star Shipping's ships for delivery to Canadian Forest Product's customer. BCRail was contractually obligated to supply clean boxcars to Canadian Forest. Canadian Forest insisted on using wood-interior boxcars for transporting its paper, swept boxcars which BCRail supplied, and could reject boxcars which were contaminated. Use of wood-interior boxcars for transporting paper raised inherent risks of splinter contamination, of which Canadian Forest was aware. A customer of Canadian Forest rejected a shipment of paper because of contamination by wood splinters. BCRail had received the paper in good order. Canadian Forest sued BCRail, Squamish Terminals, and Star Shipping. Squamish Terminals and Star Shipping supplied evidence that their handling of the paper presented little or no opportunity for splinter contamination. Canadian Forest argued that a presumption should be made that contamination occurred while the paper was in Star Shipping's hands because it was delivered to BCRail in good order and Star Shipping was the last in the successive chain of bailees. Canadian Forest submitted that BCRail had breached the contract by supplying contaminated boxcars. BCRail, Squamish Terminals, and Star Shipping argued that the presumption had been rebutted. BCRail argued that Canadian Forest had waived its contractual rights and was estopped from bringing an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2" w:name="Holdings of Court_33"/>
            <w:bookmarkEnd w:id="33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Despite the evidence that the paper had entered the chain of delivery in good order and left in bad order, the presumption against Star Shipping had been rebutted by the evidence of little or no possibility of contamination by it or Squamish Terminals. Although the evidence showed that contamination occurred while the paper was in BCRail's hands, it was not liable because Canadian Forest waived any claims arising from contaminated boxcars by cleaning the cars. Canadian Forest was estopped from claiming for splintering of wood-interior boxcars because of its insistence on using them despite knowing the risks of splintering.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3" w:name="Legislation Cited_35"/>
      <w:bookmarkEnd w:id="3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Hague-Visby Rules, Article IV, (2)(q).</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4" w:name="Counsel_37"/>
      <w:bookmarkEnd w:id="3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G. Schmidt and Gregory G. Blue, for the plaintiff. Larry R. Jackie, for the defendants, B.C. Rail Ltd., British Columbia Railway Company and BCR Properties Ltd. Shelley Chapelski, for the defendant, Squamish Terminals Ltd. H. Peter Swanson and Pauline Gardikiotis, for the defendants, Dover Inc., Star Shipping A/S, and The Owners and All Others Interested in the Ship "Star Dover".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5" w:name="Judgment_37"/>
      <w:bookmarkEnd w:id="335"/>
      <w:r>
        <w:pict>
          <v:line id="_x0000_s1223"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6" w:name="RAPLH J."/>
            <w:bookmarkEnd w:id="336"/>
            <w:r>
              <w:rPr>
                <w:rFonts w:ascii="arial" w:eastAsia="arial" w:hAnsi="arial" w:cs="arial"/>
                <w:b/>
                <w:color w:val="000000"/>
                <w:sz w:val="30"/>
                <w:lang w:val="en-US" w:eastAsia="en-US" w:bidi="ar-SA"/>
              </w:rPr>
              <w:t>RAPLH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late evening hours of November 29, 1997, the ship "Star Dover" landed at Greenock, Scotland. In hold #9 of the vessel were 864 units of kraft pulp which had been loaded on to the ship at Squamish Terminals on October 18, 1997. Prior to October 18 the pulp had been manufactured at Canadian Forest Products Ltd.'s ("Canfor") Intercontinental Mill in Prince George and sent by B.C. Rail's rail and truck to Squamish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From Greenock one-half of the pulp, bearing Mark E3845, was destined to travel by truck a further short distance to the Caledonian Paper PLC ("Caledonian") mill at Irvine, Scotland, where it would be consumed in the production of light weight coated paper eventually to find its way into European magazines. The other half, bearing Mark E3846, was to be stored in Greenock pending an anticipated future order by Caledonian.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Upon its arrival in Greenock, however, the pulp was contaminated with wood splinters in what is said by the plaintiff to be substantial quantities. The presence of splinters on pulp presents a significant risk to the production of light weight coated paper and Caledonian rejected the cargo before its delivery to Irvine from Greenock.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action, Canfor seeks to recover its losses resulting from Caledonian's rejection of the shipment. The source of the splinters is a critical factual question in deciding the claims of the plaintiff against the defendants in this action. For that reason it is necessary in what follows to review in some detail the chain of production, loading and delivery of the pulp from Prince George to Greenock.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B.C. Rail Ltd, British Columbia Railway Company and BCR Properties Ltd. are British Columbia corporations. The parties have agreed that, if there is any liability attributed to these companies, it is the liability of B.C. Rail Ltd. and not of the other two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Dover Inc. was at all material times the registered owner of the Star Dover. I will refer to the Star Dover, Dover Inc., Star Shipping A/S, the Owners and all others interested in the ship as "the shipping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Canfor is a major supplier of kraft pulp to Caledonian. Calendonian is a relatively large company and in 1997 employed over 400 people at its mill. The two companies entered into a supply contract in 1992. In the contract, Canfor acknowledged that it was aware that the pulp was to be used in paper making which employs a "blade coating process" and that cleanliness of the pulp was very important to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Canfor was aware that in particular the presence of wood splinters presented a risk that, if they made it through the manufacturing screening process to the blade coating stage of production, could cause both imperfections and breaks in the paper. Caledonian's evidence at trial was that when such problems occur imperfections may make the paper unusable and breaks will cause production to stop. They estimate that the loss from production stoppage is 6000 pounds per hour when the blade coating process is down and 100,000 pounds if production is stopped for a whole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pulp manufacture begins with wood chips being cooked in a digester at the Prince George mill. After undergoing further processing, the pulp is passed through a press and then driers. It proceeds by conveyor to be cut into sheets which are compressed into bales. The bales are subsequently wrapped by machine, wired to hold the wrappers in place, and assembled into 8-bale units which are also wired together. The units are removed from the conveyor by forklift and either loaded directly into railcars inside the warehouse ("hot-loading") or set on the polished concrete warehouse floor to await loading into railcars or truck trailers. There is evidence that some wood pallets and dunnage are used from time to time within the warehouse but kept in particular areas. The concrete floor is swept by machine approximately twice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railcars and trucks used for transport are supplied by B.C. Rail. Canfor employees using forklifts carry out the loading of the units into railcars or trucks. The forklifts have two waxed tines, each approximately four feet long. It was the evidence of Canfor employees who testified in the trial that railcars and trucks are swept before being loaded. In the case of railcars the evidence is that if the car can be swept out in 10 to 15 minutes the forklift operator will do so. If clean-up will take longer the railcar may be rejected by Canfor and B.C. Rail must remove it. About 90% of railcars are swept out by Canfor personnel before being loaded. Few cars are rejected. In the case of trucks, the truck drivers are asked to sweep them out if the vehicles are not already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Witnesses who work in the warehouse gave evidence of the loading of railcars and trucks by forklift. There is no structured system in place to inspect the pulp prior to loading although the warehouse workers will set aside pulp which they observe to be damaged. It was their evidence that scraping of the forklift tines on the railcar floors and the striking of the railcar walls with the tines is rare. In placing a unit on the floor of a railcar there is occasionally some bumping of a unit up against a wall to ensure a tight fit of the unit in its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Canfor and B.C. Rail were parties to three agreements. The first was a letter contract BCOL-C-901 effective January 1, 1996. It provided for volume of use commitments and pricing and contemplated a separate service agreement. The second and third agreements were Service Agreement #1013 effective January 1, 1996, and an Amendment No. 1 to Service Agreement #1013 effective from and after January 1, 1997. Both service agreements under the heading "Car Conditioning" state "See Car Conditioning Quality Service Standard QS6208-7 (BC Rail Mechanical Dept.)".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Car Conditioning Quality Service Standard relates to the provision of box cars for a number of Canfor's purposes including the transport of pulp. Included as "Standard Requirements" to be maintained by B.C. Rail are requirements to remove all dunnage, banding and other debris from inside box cars and to sweep clean all floors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serious concern in transporting pulp by rail is the high degree of condensation which emanates from pulp hot-loaded into railcars and the damage it can cause to the pulp. There is more than one type of interior construction of the railcars used to transport pulp. Some cars have wooden floors with wooden sides; some have wooden floors with aluminum guide rails on the sides; some have steel floors and sides. It was the view of the transportation officials at Canfor that less condensation resulted when railcars with wood floors and walls were used than when cars with steel interiors were used. This view was supported by an engineering report prepared for Canfor and B.C. Rail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Within the pulp industry, however, there is a recognized risk of wood splinter contamination from the use of railcars with wooden floors and sides. Many companies therefore prefer to use steel lined cars. It was the evidence of witnesses called by B.C. Rail that all of its pulp customers except Canfor switched from the use of wood-lined railcars to steel in the early 1990s and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the early 1990s through to 1997, Canfor carried on discussions with B.C. Rail to seek an alternative railcar to transport pulp. In the absence of such vehicles, however, Canfor expressed to B.C. Rail a preference for wood over steel. B.C. Rail therefore made available to Canfor a fleet of railcars most of which had wooden floors and some of which also had wooden sides. Some of the railcars supplied to Canfor, however, had steel interiors. Of the 12 railcars used to convey pulp from Prince George to Squamish Terminals for loading on the Star Dover in October 1997, 8 had wooden floors, 1 also had wooden sides and 11 had wood "filler", a wood inlay around the perimeter of the interior of the railcar. Of the 30 trailers used, 12 may have had wood floors although in general the newer trailers have aluminum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Between October 10 and 15, 1997, the cargo was loaded by Canfor employees into railcars and intermodal trailers. B.C. Rail delivered the cargo to Squamish Terminals where it was discharged from the railcars and trailers by Squamish Terminal employees. Squamish Terminals contracted with Canfor to discharge the cargo, to warehouse it, and to deliver the cargo to shipside.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Squamish Terminals employees used a forklift equipped with a flat metal blade known as a "surfboard" to unload the cargo. The surfboard is slipped underneath the pulp units which are lifted out of the railcars and trailers and placed on the ramp from which unloading is taking place. The cargo is then moved from the ramp three units at a time by clamp truck and stacked in storage areas in the Terminal's warehouse facility. The floor of the warehouse at Squamish Terminals is polished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crew who unload rail cars and trucks at Squamish Terminals includes a "checker". Part of the checker's function is to complete a "Rail Car Unloading Check Sheet" containing information on the source and number of units being unloaded and on "exceptions". Exceptions to the condition of the cargo are noted for each railcar and trailer in a range of categories. For the cargo arriving for the Star Dover the checkers noted that 194 of the 864 units had torn wrappers, 97 had "dirty" wrappers and 337 had "dirty" bottoms. 256 of the units with dirty bottoms came from the railcar shipments.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 ship was available for loading, Squamish Terminals employees loaded the pulp units onto steel-decked trailers which were delivered alongside the ship. A trailer carries 18 units of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Once the cargo is delivered to shipside its loading becomes the responsibility of the ship's owner. To supervise the loading of the Star Dover, Star Shipping hired an experienced "supercargo". Stevedores were hired to attend to the loading of the pulp, including the operation of the ship's gantry cranes. The Star Dover is constructed of steel and neither its 9 holds nor its hatch cover is wood lined. It was the supercargo's evidence that the hold to be loaded at Squamish Terminals was clean and ready to take cargo. The pulp was loaded into hold #9, 14 units at a time. There were no wood products stowed in hold #9 with the cargo and no wooden dunnage was used in hold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Some pulp destined for Antwerp was first loaded into hold #9 followed by the loading of the Caledonian cargo. Some further pulp also destined for Greenock was subsequently loaded at Lynnterm in Vancouver beside the highest tier of Caledonian pulp in hold #9. A "Shipper's Cargo Declaration/Mate's Receipt" signed by a ship's officer stated that a substantially higher number of "bottoms dirty" on the Caledonian pulp than was indicated on the check sheets completed at the time of unloading the railcars and trucks. The evidence indicates, however, that no separate count of the condition of the cargo was carried out in loading the vessel and the information on the mate's receipt was based upon the railcar unloading check sheets. An official of Squamish Terminals described the discrepancy between the check sheets and the mate's receipt as a clerical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taking on cargo in its other holds at additional British Columbia terminals and two United States ports, the Star Dover sailed to its first discharge port of Greenock.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ship docked at Clydeport in Greenock in the late evening of November 29, 1997. Clydeport has been handling raw materials coming in for Caledonian and finished paper going out since 1992. Clydeport had built a new warehouse to satisfy Caledonian's needs and Caledonian's business forms a significant portion of its business. The operations manager of Clydeport testified that Caledonian placed great emphasis on the need for pulp to be clean and on the risks of wood and plastic materials getting into the paper manufacturing process. The dockworkers at Clydeport were very much aware of this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this point in the decision it is necessary to note that on September 23, 1997, the ship Star Drottanger arrived at Clydeport and unloaded 1,408 units of kraft pulp from Canfor's Intercontinental mill in Prince George. Some of the units were subsequently delivered to the Caledonian mill where splinters of wood were found on some of those units. On learning of this, Clydeport's operations manager wrote to Caledonian's warehouse supervisor on November 3, 1997, advising him that all of the port operators had been instructed to be "extra vigilant regarding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splinters continued to be found on the Star Drottanger pulp delivered to the Caledonian mill, the remaining pulp was sent back to Clydeport. The returned pulp, along with the remainder of the shipment, was subjected to extensive high-pressure air cleaning between November 11 and December 3, 1997. The cleaning was more extensive than the usual air cleaning carried out on all arriving pulp shipments. For example, units were pressed open so that the air cleaning could penetrate between bales. After the special cleaning of the pulp, it was re-delivered to the Caledonian mill between December 10 and 19,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source of the Star Drottanger contamination was attributed at the time to the presence of fir poles in one of the two holds where the pulp had been stowed. This explanation was later found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noteworthy that the Star Dover had sailed from British Columbia before the splinters were found on the Star Drottanger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Upon opening Star Dover's hold #9 on its arrival at Greenock on November 29, 1997, the dock workers found wood contamination on the pulp and called the operations manager, Mr. Peter Sommerville. Mr. Sommerville attended the ship and went down into the hold to observe the contamination and collect some samples after the first tier of cargo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cargo was unloaded from the ship and placed in the Clydeport warehouse. On December 2, 1997, Caledonian's warehouse supervisor, Mr. David Bowen, examined the cargo at Clydeport and sent a "Non Conforming Product" report to Caledonian's purchasing manager, Mr. Douglas McArthur. Mr. Bowen reported the presence of "copious amounts of wood" on the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John Hamilton is a marine surveyor resident in Edinburgh. On December 5, 1997 he examined the Star Dover pulp in the warehouse at Clydeport and took a number of photographs including some which he considered as depicting the worst contamination. He estimated the extent of the contamination by walking across the stow and between the units. In his survey report dated January 27, 1998, he stated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random examination of the accessible material in store, we discovered approximately 50% of the bales inspected to be affected by contamination by way of small splinters of timber on the outer wrappers of the bales, to varying extent. In addition, we noted that approximately 25% of the wrappers were torn and dirty, however examination of the contents of these bales failed to reveal internal contamination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Sommerville and Mr. Bowen agreed that Mr. Hamilton's photographs were consistent with their observations of the condition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Subsequent to Mr. Hamilton's December 5, 1997, inspection, Clydeport's high-pressure air cleaning process was carried out on the Star Dover cargo by Clydeport personnel. On January 27, 1998, Mr. Hamilton re-inspected the cargo. In what he described as "random examination of the wrappers of 100 bales of material" Mr. Hamilton found no form of timber contamination either on the surface or within the folds of the wrappers. He estimated that, of the bales inspected, approximately 20% had torn wrappers and these bales revealed no timber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Notwithstanding the cleaning process which had been carried out, Mr. McArthur rejected delivery of the 432 units of pulp bearing Mark E3845 which had been sold to Caledonian by Canfor and refused to purchase the other 432 units bearing Mark E3846. Mr. McArthur testified that Caledonian rejected delivery because the origin of the contamination had not been identified and was randomly scattered throughout the shipment. He distinguished this decision from the decision made on the Star Drottanger cargo on the basis that there was, at the time, an identified cause of the Star Drottanger contamination and no explanation for the Star Dover contamination. It was his opinion that the risk of a loss of 100,000 pounds per day from a plant breakdown was unreasonable for his company to take. He denied that a reduction in the market price of pulp, since the time of the Canfor purchase, was a factor in his decision to reject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Expert evidence on the manufacture of coated papers using a blade coating process was called by the plaintiff and defendants. Dr. Malcolm Smith opined that, "Any attempt to use, even slightly, contaminated pulp in the very demanding blade coating operation would have involved a serious risk of production losses either through manufacture of unsaleable paper and/or paper web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Glen R. Woods concluded that the pulp had been adequately cleaned. He stated that based on the material supplied to him the Caledonian screening system was adequately designed to remove contaminants and that any minor slivers that may or may not be visible upon reinspection would not result in any loss of production or loss of product due to quality reasons. Based on those assumptions it was his opinion that he would not have rejected the disputed shipment of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Canfor supplied Caledonian with replacement pulp a short time after the Star Dover pulp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rejected Star Dover pulp was resold by Canfor. The parties have agreed that if the plaintiff is entitled to judgment in full or in part, the quantum of any loss is to be calculated at U.S. $190.81 per air dried metric ton (ADMT) plus interest if awarded. The entire cargo weighed 1493.64 ADMT.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Canfor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the position of Canfor that Caledonian's rejection of the pulp was justified. Canfor says that it is therefore the proper plaintiff on both the portion of the pulp sold to Caledonian (Mark E3845) and also the unsold portion (Mark E3846.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Canfor then says that the in personam defendants were successive bailees of the pulp cargo and that where there is a successive chain of bailees and the owner of the goods proves delivery in good order to the first bailee and receipt in bad order at the end of the chain, there is a presumption that the damage occurred while the last bailee had custody of the goods. In Canfor's submission it has proven delivery of the pulp to B.C. Rail in good order and the shipping defendants have not shown that the contamination did not occur as a result of their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event that the shipping defendants are found to have rebutted the presumption, Canfor submits that Squamish Terminals has not done so. Similarly, if Squamish Terminals is found to have rebutted the presumption of its fault, Canfor says that B.C. Rail has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Canfor also claims that B.C. Rail was in breach of contract based upon its implied duty as a carrier to supply proper transport and based upon the express terms of Service Agreement Amendment 1 with Canfor. Additionally, Canfor says that B.C. Rail was negligent in supplying railcars in an unsuitable condition for carrying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shipping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the position of the shipping defendants that they are not liable. First, they deny the contamination. They say that there was no wood used in hold #9, there was no opportunity during loading for wood splinters to be introduced to the cargo and there was no subsequent opportunity for wood splinters to end up between the tiers of the cargo. In addition they say that they were not negligent in loading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there was wood splinter contamination, they say that the splinters were caused by the use of the wood-lined railcars and trailers that were expressly ordered by the plaintiff and loaded by the plaintiff's employees. They submit that, in any event, there is insufficient evidence to establish that the cargo was splinter-free when it was put in the railcars and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shipping defendants go on to say that Canfor did not have title to the goods and cannot, therefore, sustain a claim for substantial damages. In their submission, title to one-half of the pulp (Mark E3845) had passed to Caledonian. Title to the half not yet purchased by Caledonian (Mark E3846) had passed to Canfor Europe, a European company, as evidenced by the bill of lading having been endorsed to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response to the plaintiff's submission that the bills of lading were clean, the shipping defendants say that a clean bill of lading is only a statement of "apparent order and condition" and plaintiff has not shown that the damage complained of would have been apparent on loading to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Squamish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Squamish Terminals says that there is insufficient evidence to support a finding that the rejection of the cargo by Caledonian and Canfor's acceptance of that rejection were reasonable. In summary, it is Squamish Terminals' position that Canfor's decision to accept Caledonian's rejection of the pulp was done for commercial reasons to preserve its relationship with Caledonian and that the cost of that commercial decision should not be borne by Squamish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submits that it cannot be said that the extent and volume of splinters on the Star Dover cargo were any greater than was found on the Star Drottanger cargo. The Star Drottanger cargo was accepted by Caledonian after special cleaning of the pulp had been carried out and the Star Dover pulp should also have been accepted after special cleaning. In addition, Squamish Terminals points to a shipment of Canfor pulp aboard the Star Davanger in September 1999 which was contaminated by splinters upon its arrival in Greenock. In that instance Caledonian Paper agreed to accept the full consignment of pulp on the condition that each unit of pulp would be individually inspected and cleaned prior to its dispatch to the Caledonian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Squamish Terminals says that, furthermore, Mr. Bowen of Caledonian Paper never went to view the Star Dover cargo after it was cleaned and the evidence of Mr. Hamilton indicates that after cleaning he could find no evidence of splinters. Mr. Sommerville testified that the Star Dover cargo was cleaned to the same extent as the Star Drottanger cargo which Caledonian had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Squamish Terminals also says that further evidence of the unreasonableness of Canfor's acceptance of Caledonian's rejection of the whole of the shipment is found in the "limitation of damages" provision of the general terms and conditions of its supply agreement with Caledonian. Under those provisions it was open to Caledonian to reject part of the cargo bearing Mark E3845. It was not necessary to reject the whole cargo and Canfor was not obliged to accept a total rejection. In addition, Squamish Terminals submits that there is no evidence before the court that at least 75% of Mark E3846 was not in prime condition for sale to Caledonian.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its handling of the cargo, Squamish Terminals says that it handled the cargo in accord with the standards of the industry. It submits that there are limits on its opportunity to inspect the cargo and that when it received the cargo it noted the "apparent" order and condition of the cargo. It says that it was the plaintiff who created the condition of the cargo at the commencement of the chain of carriage and the plaintiff is estopped from claiming the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B.C.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the position of B.C. Rail that Canfor has failed to prove damage to its cargo on a balance of probabilities. If there was splinter contamination before cleaning, it says that it was of such a minor nature that it did not render the pulp unsuitable for its ultimate purpose. It points to what it says is considerable evidence that there was no wood splinter contamination after the pulp was cleaned at Clydeport.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B.C. Rail goes on to say that Canfor is estopped on two grounds from claiming damages against B.C. Rail and the other defendants. The first ground is that Canfor demanded wood lining in railcars knowing that this created a risk of wood splinter contamination to the pulp. The second is that Canfor had total control over inspecting railcars, deciding whether they would be used, cleaned, or rejected, and in loading the railcars in the absence of any B.C. Rail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has framed the issues as: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Caledonian's rejection of the pulp justified?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Canfor have the right to sue in respect of the damage to the pulp?</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of the defendants is liable for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issues are more appropriately framed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pulp delivered to Caledonian Paper in damaged condition?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Canfor's acceptance of Caledonian's rejection of the shipment justified?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Canfor have the right to sue in respect of the damage to the pulp?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pulp was damaged, is any of the defendants liable for any of that damage?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defendants is liable, what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pulp delivered to Caledonian Paper in damaged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Considerable evidence supports the importance of the need for clean pulp to be supplied to Caledonian. It was a requirement of the contract between Canfor and Caledonian. It was a need known not only to Canfor but also to B.C. Rail, Squamish Terminals and Star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Bowen, Mr. McArthur and Mr. Sommerville testified that there was extensive splinter contamination on the Star Dover cargo. Mr. Hamilton estimated that 50% of the bales inspected by him were affected by splinter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Contrasted with this evidence is the evidence of witnesses who observed the pulp at Squamish Terminals and during its loading onto the Star Dover and did not observe the presence of splinters on the pulp. They did note the presence of torn wrappers, "dirty" wrappers and "dirty" bottoms upon unloading the pulp from the railcars but this was not an unusual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Part of the evidence of the witnesses at Squamish Terminals, was that their observations of the cargo were obscured by the manner in which the cargo was bundled together in multiple units. In addition they testified that there were safety concerns which required terminal employees and stevedores to stand back from the cargo while it was being loaded and unloaded, a further factor limiting their opportunity to observe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argued by B.C. Rail that this was a routine shipment and that the observations of splinters on the arrival of the pulp in Scotland were the result of a heightened sensitivity following the Star Drottanger shipment and not an exceptional condition of the cargo. B.C. Rail argues that Caledonian's rejection of the cargo was motivated by an intention on its part to send a strong message to their supplier, Canfor.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given consideration to the photographs of the cargo taken by Mr. Hamilton. The degree of splinter contamination indicated by the photographs is somewhat troubling as, in my opinion, it cannot be said that the contamination displayed is as striking as that described by Messrs. Sommerville, Bowen and McArthur yet they agreed that the contamination displayed in the photographs was consistent with their observations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degree of contamination described by Mr. Bowen and Mr. McArthur must, in my opinion, be tempered by their perspective that almost any splinter contamination represents a threat to the paper manufacturing process. This perspective is acutely demonstrated in the evidence of Dr. Smith, the expert called by Canfor, who stated that a handful of sawdust sprinkled throughout the pulp sheets of this cargo could be enough to cause a shutdown of the blade-coating process. The observations of Mr. Sommerville must also be tempered by his heightened awareness and that of the Clydeport personnel following the Star Drottanger experience. I find, however, that the cargo was delivered to Greenock in a condition that was contaminated to the degree described by Mr. Hamilton and depicted in his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also accept the evidence that indicates that the pulp, immediately prior to its loading into B.C. Rail vehicles, was not contaminated with the splinters found on the cargo upon its arrival in Greenock. It is my conclusion that on balance the evidence supports a finding that the pulp bearing Marks E3845 and E3846 was in a damaged condition on arrival in Greenock.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Canfor's acceptance of Caledonian's rejection of the shipment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the position of each of the defendants that Caledonian's rejection of the pulp was not justified and that, as a result, Canfor's acceptance of that rejection cannot give rise to a claim by Canfor against the defendants. The defendants argue that the cargo was not damaged and, if it was, it was not sufficiently damaged that Caledonian was entitled to reject the whole of the cargo. They also argue that Canfor's contract with Caledonian did not require Canfor to accept the rejection.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Canfor's position that clause 13(a) of the General Terms and Conditions of its contract with Caledonian provided for the buyer's right of rejection "for proven defective quality". It says further that Caledonian had made known to Canfor the importance of clean pulp to its blade coating process and that it relied on Canfor to supply suitable pulp. Canfor submits, therefore, that pursuant to s. 18(a) of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it was an implied condition of Canfor's contract with Caledonian that the goods supplied would be fit for the buyer's purpose. The delivery of contaminated pulp placed it in the position of delivering pulp which was not reasonably fit for the buyer's purpose. For this reason, it is Canfor's submission that Caledonian was entitled to reject the cargo as an implied condition had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Canfor goes on to say that the degree of contamination destroyed the workable character of the pulp for Caledonian's process in that it presented an unreasonable risk of production disruptions or of an unmarketable product. Canfor says that the contract was not severable and Caledonian could not accept part of the goods and reject the rest (see Rosenthal and Sons Ltd. v. Esmail, [1965] 1 W.L.R. 1177 (H.L.)). In Canfor's submisson, to require Caledonian to reject part of the cargo was, in any event, impractical in that there was no ready means of segregating the uncontaminated cargo from the contaminated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opinion, the evidence supports a conclusion that the degree of contamination of the pulp bearing Marks E3845 and E3846 was such that it was not reasonably fit for the buyer's purpose. Inasmuch as Caledonian was therefore entitled under its contract with Canfor to reject the shipment, Canfor's acceptance of the rejection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Canfor have the right to sue in respect of the damage to the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basis of Canfor's entitlement to bring this action must be examined separately for Marks E3845 and E3846.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not disputed that title to the parcel bearing Mark E3845 passed to Caledonian when the cargo was lifted on board the Star Dover. Canfor says, however, that title revested in Canfor once it accepted Caledonian's rejection of the cargo. The shipping defendants submit that this position is not borne out by the evidence or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Canfor says that the contract of sale preserved Caledonian's right to reject for proven defective quality. In its submission rejection of goods by the buyer and acceptance by the seller operates to revest property in the goods in the seller. This submission is supported by the decision in J.L. Lyons and Company Limited v. May and Bakers Limited, [1923] 1 K.B. 685.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Kwei Tek Chao v. British Traders and Shippers Ltd., [1954] 2 Q.B. 459 also recognizes a distinction between the right to accept documents and the right to reject goods and that goods revest in the seller if upon examination they are found not to be in accordance with the contract. W. Tetley, Marine Cargo Claims, 3d. ed. (Toronto: Butterworths, 1988), also recognizes that revesting also gives the shipper a right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my opinion that title to the Mark E3845 cargo revested in Canfor and that it is entitled to bring this action in relation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to Mark E3846, it was anticipated that it would be sold to Caledonian at some time after its shipment to Greenock. The Liner Bill of Lading described the consignee as "To Order of Shipper". The "Notify Party" section set out "Canfor Forest Products S.A." in Brussels. Evidence of an employee of Canfor was that Canfor Forest Products Ltd. endorsed the original bill of lading in blank and couriered it to Canfor Forest Products S.A. in Brussels for later release to Caledonian by that office upon Caledonian's office. It is Canfor's evidence that it did not intend to pass title to its Brussels'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shipping defendants submit that the act of endorsing the bill of lading effectively transferred title in mark E3846 to Canfor Forest Products 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issue is treated in Scrutton on Charterparties and Bills of Lading, 20th ed. (London: Sweet &amp; Maxwell, 1996), which recognizes that title or property may not pass in a number of situations. One of those situations is set out at p. 198:</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circumstances show that no property was intended to pass, as in the case of an indorsement to an agent to enable him to sell, or to stop in transitu.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Even if the bill could be said to be endorsed in favour of Canfor Forest Products S.A. rather than in blank, I am satisfied that Canfor did not intend to pass title to that company and that Canfor remains the party entitled to bring action in relation to Mark E3846.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pulp was damaged, are any of the defendants liable for any of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 case such as this where there are three distinct parties who had responsibility for the cargo at different times there arises the issue of which parties bear what burdens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Voest-Alpine Canada Corp. v. Pan Ocean Shipping Co. (the "Sammi Crystal") </w:t>
      </w:r>
      <w:hyperlink r:id="rId774" w:history="1">
        <w:r>
          <w:rPr>
            <w:rFonts w:ascii="arial" w:eastAsia="arial" w:hAnsi="arial" w:cs="arial"/>
            <w:i/>
            <w:color w:val="0077CC"/>
            <w:sz w:val="20"/>
            <w:u w:val="single"/>
            <w:shd w:val="clear" w:color="auto" w:fill="FFFFFF"/>
            <w:lang w:val="en-US" w:eastAsia="en-US" w:bidi="ar-SA"/>
          </w:rPr>
          <w:t>(1991), 55 B.C.L.R. (2d) 357</w:t>
        </w:r>
      </w:hyperlink>
      <w:r>
        <w:rPr>
          <w:rFonts w:ascii="arial" w:eastAsia="arial" w:hAnsi="arial" w:cs="arial"/>
          <w:color w:val="000000"/>
          <w:sz w:val="20"/>
          <w:lang w:val="en-US" w:eastAsia="en-US" w:bidi="ar-SA"/>
        </w:rPr>
        <w:t xml:space="preserve"> (S.C.), Maczko J. considered a claim against a number of defendants for damage to pieces of pipe shipped from Korea, handled and stored on the dock at New Westminster and later transported by truck to Calgary. At p. 362 Maczko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governing principle should be that where there is a successive chain of bailees and the owner of the goods has proven delivery of the goods to the first bailee in good order and the receipt of those goods in bad order at the end of the chain of successive carriers, there is a presumption that the loss occurred during the time the last custodian had control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Because of the nature of the evidence in that case Maczko J. concluded that the plaintiff had not met its initial obligation of proving damage to pipe which had been delivered to the first bailee in good order. As a result it was not necessary to apply the balance of the "governing principle" to the potential liability of the defendants. The decision was appealed but no issue was raised as to the correctness of the principle stated above and the Court of Appeal was not asked to examine the question ( </w:t>
      </w:r>
      <w:hyperlink r:id="rId775" w:history="1">
        <w:r>
          <w:rPr>
            <w:rFonts w:ascii="arial" w:eastAsia="arial" w:hAnsi="arial" w:cs="arial"/>
            <w:i/>
            <w:color w:val="0077CC"/>
            <w:sz w:val="20"/>
            <w:u w:val="single"/>
            <w:shd w:val="clear" w:color="auto" w:fill="FFFFFF"/>
            <w:lang w:val="en-US" w:eastAsia="en-US" w:bidi="ar-SA"/>
          </w:rPr>
          <w:t>(1993), 79 B.C.L.R. (2d) 379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principle was considered and applied by Lowry J. in Imperial Granite Supply Ltd. v. The Ship "Sea Pearl" (16 April 1999), C955431 (B.C.S.C.). Lowry J. expressed concern that application of the principle could "in some instances be at odds with the clear balance of probabilities". It was argued before Lowry J. that the presumption should be read as relating only to the apparent order and condition of the goods in question and if the damage was not apparent the principle should not be applied. Lowry J. found that the damage at issue was apparent and applied the presumption. At para. 18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broader application of the presumption in differing circumstances need not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shipping defendants say that Canfor has failed to prove delivery of the goods to B.C. Rail in good order and that the presumption cannot, therefore, apply. In addition, they say that the splinter contamination was not apparent and, thus, the cargo was therefore in apparent good order and condition. Canfor says that it has proven both requirements and the shipping defendants have not proven that the contamination was the result of "any other cause arising without the actual fault and privity of the carrier" as required under Article IV(2)(q) of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opinion Canfor has proven on a balance of probabilities that at the point of being lifted into the rail cars, the pulp at issue was in good order. The evidence of the pulp production procedure and the manner in which the pulp is either hot-loaded directly into rail cars or trucks or stored on regularly swept concrete floors prior to loading indicates that there is little opportunity for splinters to become deposited on the pulp at that stage. While there is some evidence of the presence of wooden dunnage or pallets in the Canfor warehouse I do not regard it as a convincing source of the contamination which was later found on the pulp here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the whole of the evidence before me I find that the preponderance of evidence supports the following findings of fact relating to the cause of the splinter contamination: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nature and condition of the wooden interior of many of the railcars, the evidence of heavy pulp with a high moisture content being placed by forklift on wooden floors and travelling several hundred miles by rail and being unloaded with dirty bottoms and torn wrappers on arrival at Squamish Terminals, and the recognized risk of wood splinter contamination to pulp from being transported in rail cars with wooden interiors lead to a finding that the splinter contamination was caused by the conditions of transport of the pulp by rail from Prince George to Squamish Terminals;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unloading, storing and delivery to shipside of the pulp at Squamish Terminals presented little or no opportunity for splinters to be deposited on the cargo and was not a source of contamination of the pulp and did not contribute to its damage; I accept the evidence of Squamish Terminals that the discrepancy between the information recorded on the Checker's receipts and the Mate's receipt is the result of a clerical error and not evidence of a worsened condition of the pulp between the time of its unloading from railcars and its loading to the ship;</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of loading of the Star Dover, the condition of the hold in which the pulp was stowed and the manner in which it was stowed from the time of loading to its delivery in Greenock presented little or no opportunity for splinters to be deposited on the cargo and was not a source of contamination of the pulp and did not contribute to its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basis of these findings of fact and on the whole of the evidence, I am satisfied that, if the presumption set out in "the Sammi Crystal" applies to the circumstances of this case, the shipping defendants and Squamish Terminals have each rebutted it insofar as it applies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B.C. Rail has not rebutted the presumption but, as described earlier in this decision, claims that Canfor is estopped from claiming damages against B.C. Rail and that B.C. Rail was neither in breach of its contract with Canfor nor was it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estoppel defence is based upon the position that Canfor demanded wood lining in railcars knowing that this created a risk of wood splinter contamination to the pulp. In addition B.C. Rail asserts that Canfor had total control over inspecting railcars, deciding whether they would be used, cleaned, or rejected, and in loading the railcars in the absence of any B.C. Rail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Canfor says that wood-lined railcars were used for valid reasons and historically there had been no problem with splinters except with the Star Drottanger and Star Dover shipments. It says that, in addition, B.C. Rail was negligent and in breach of contract in failing to provide Canfor with clean railcars. Canfor also submits that no estoppel arises from the fact that it loaded the cars and trailers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Lafarge Cement of North America Ltd. v. Canadian National Railway Co. </w:t>
      </w:r>
      <w:hyperlink r:id="rId776" w:history="1">
        <w:r>
          <w:rPr>
            <w:rFonts w:ascii="arial" w:eastAsia="arial" w:hAnsi="arial" w:cs="arial"/>
            <w:i/>
            <w:color w:val="0077CC"/>
            <w:sz w:val="20"/>
            <w:u w:val="single"/>
            <w:shd w:val="clear" w:color="auto" w:fill="FFFFFF"/>
            <w:lang w:val="en-US" w:eastAsia="en-US" w:bidi="ar-SA"/>
          </w:rPr>
          <w:t>(1962), 34 D.L.R. (2d) 154</w:t>
        </w:r>
      </w:hyperlink>
      <w:r>
        <w:rPr>
          <w:rFonts w:ascii="arial" w:eastAsia="arial" w:hAnsi="arial" w:cs="arial"/>
          <w:color w:val="000000"/>
          <w:sz w:val="20"/>
          <w:lang w:val="en-US" w:eastAsia="en-US" w:bidi="ar-SA"/>
        </w:rPr>
        <w:t xml:space="preserve"> (B.C.S.C.), the railway supplied a car contaminated with sodium sulphate to a cement manufacturer. The cement manufacturer loaded the car with bulk cement which became contaminated with the sodium sulphate and was ultimately used in concrete which proved to be defective as a result. The court held that the defendant was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defendant had argued that the defendant was under no obligation to provide the plaintiff with a "clean" car. Munroe J. refrained from expressing an opinion on that submission but stated at p. 160-161: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is distinguishable, I think, from a case, for example, where a carrier delivers a railway car to transport lumber and the car merely requires sweeping out of dirt or debris before loading. This is a case of a carrier providing a railway car on whose floor or walls there was a chemical substance which, unless removed before loading, would inevitably damage the goods to be shipped therein, without giving to the shipper any notice or warning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Mannix Ltd. v. N.M. Paterson &amp; Sons Ltd., </w:t>
      </w:r>
      <w:hyperlink r:id="rId777" w:history="1">
        <w:r>
          <w:rPr>
            <w:rFonts w:ascii="arial" w:eastAsia="arial" w:hAnsi="arial" w:cs="arial"/>
            <w:i/>
            <w:color w:val="0077CC"/>
            <w:sz w:val="20"/>
            <w:u w:val="single"/>
            <w:shd w:val="clear" w:color="auto" w:fill="FFFFFF"/>
            <w:lang w:val="en-US" w:eastAsia="en-US" w:bidi="ar-SA"/>
          </w:rPr>
          <w:t>[1966] S.C.R. 180</w:t>
        </w:r>
      </w:hyperlink>
      <w:r>
        <w:rPr>
          <w:rFonts w:ascii="arial" w:eastAsia="arial" w:hAnsi="arial" w:cs="arial"/>
          <w:color w:val="000000"/>
          <w:sz w:val="20"/>
          <w:lang w:val="en-US" w:eastAsia="en-US" w:bidi="ar-SA"/>
        </w:rPr>
        <w:t>, employees of the shipper assisted in loading and stowing heavy equipment which made up part of the cargo. Some of the heavy equipment broke loose during a storm and was lost overboard. The defendant argued that, because the plaintiff participated in loading the equipment, the plaintiff was estopped from making its claim against the defendant. The Supreme Court of Canada held against the defendant but in doing so referred to Upper Egypt Produce Exporters and other v. Santamana (1923), 14 Ll.L Rep. 159 (Adm. Div.). In discussing that decision Ritchie J. stated at p.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shipper of the cargo was in a much better position to know of the likelihood of it being damaged by this method of stowage than the ship owner or the master and it appears to me to be logical that in such a case a shipper who knows or ought to know the special characteristics of his own cargo and who approves of it being stowed in a manner which is obviously likely to expose it to damage cannot later hold the ship owner responsible for the damage which ensues.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Turning to Canfor's argument that B.C. Rail was in breach of a contractual obligation to clean the railcars before delivering them to Canfor, it is necessary to consider the agreements in place between the two companies. Reference to "Car Conditioning" is set out in Service Agreement #1013 (Amendment 1) effective January 1, 1997. The agreement states "See Car Conditioning Quality Service Standard, (QS6208-7(BC Rail Mechanical Dept.)".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Quality Service Standard contains a "Policy Statement" which includes a requirement that "BC Rail employees performing car conditioning related activities shall adhere to the BC Rail Car Conditioning Quality Service Standard". There follows a number of "Standard Requirements". Standard 3.1.0 refers to Box Cars and includes 3.1.8 "Sweep clean all floors as required". Section 6.0 deals with "Non-conformances" and requires a Nonconformance Report to be initiated for non-conformances. It also contemplates a customer "Hot Line" for customers to report non-conformances.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Canfor says that the Quality Service Standard has contractual force and that B.C. Rail breached the contract in not meeting the standard of cleaning all box car floors prior to their delivery to Canfor. B.C. Rail denies that the standards create contractual obligations and submits that in any event Canfor undertook its own sweeping of railcars where it was needed. The evidence of a Canfor employee was that Canfor employees swept 90% of railcars prior to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examination of the Car Conditioning Quality Service Standard, it is my opinion that it is aspirational in nature and sets out a standard that B.C. Rail must strive to meet rather than a contractual obligation binding upon B.C. Rail. In any event, the standard contemplated that there would be non-conformances and provides a remedy in the form of a hot line procedure to be used when B.C. Rail failed to conform to the standard. I conclude that the presence of a condition which fails to meet the car conditioning standard does not in itself constitute a breach of contract which gives rise to a claim for damages against B.C.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If this conclusion is incorrect, the fact that Canfor employees regularly swept an estimated 90% of the railcars prior to loading raises two additional points. The first is whether such practice amounts to a waiver by Canfor of its right to rely on the strict terms of its contract with B.C. Rail. The second is whether it can be concluded that B.C. Rail's failure to clean cars was a cause of the contamination or whether the contamination was a risk inherent in the use of wood-lined rail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Saskatchewan River Bungalows Ltd. v. Maritime Life Assurance Co. </w:t>
      </w:r>
      <w:hyperlink r:id="rId778" w:history="1">
        <w:r>
          <w:rPr>
            <w:rFonts w:ascii="arial" w:eastAsia="arial" w:hAnsi="arial" w:cs="arial"/>
            <w:i/>
            <w:color w:val="0077CC"/>
            <w:sz w:val="20"/>
            <w:u w:val="single"/>
            <w:shd w:val="clear" w:color="auto" w:fill="FFFFFF"/>
            <w:lang w:val="en-US" w:eastAsia="en-US" w:bidi="ar-SA"/>
          </w:rPr>
          <w:t>(1994), 115 D.L.R. (4th) 478</w:t>
        </w:r>
      </w:hyperlink>
      <w:r>
        <w:rPr>
          <w:rFonts w:ascii="arial" w:eastAsia="arial" w:hAnsi="arial" w:cs="arial"/>
          <w:color w:val="000000"/>
          <w:sz w:val="20"/>
          <w:lang w:val="en-US" w:eastAsia="en-US" w:bidi="ar-SA"/>
        </w:rPr>
        <w:t xml:space="preserve"> (S.C.C.), the court considered whether an insurer had waived its right to compel timely payment in accordance with the terms of the policy. At p. 484, Major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occurs when one party to a contract or to proceedings takes steps which amount to foregoing reliance on some known right or defect in the performance of the other party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court stated that waiver will only be found if the party waiving had full knowledge of its rights and an intention to abandon them. In the present case the evidence indicates that Canfor's employees were aware that the company was entitled to reject a B.C. Rail car if it was dirty. The practice of the employees was that if they could clean the car themselves in approximately 15 minutes or less they would not reject cars. This is no doubt a practical approach to dealing with the demands upon Canfor to ship its product in a timely manner. In my view, therefore, even if B.C. Rail's car cleaning standard can be said to have contractual force, Canfor's decision to undertake its own cleaning of railcars constitutes a waiver of any failure by B.C. Rail to clean its railcars to the standard set out in the Car Conditioning Quality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have concluded that in shipping its pulp by rail Canfor was faced with the evils of extreme condensation and wood contamination. Although it was almost a Hobson's choice, Canfor chose wood over steel for its rail transport and accepted the known risk of wood contamination. There is no other evidence of failure by B.C. Rail to take appropriate care. In my view Canfor is therefore estopped from recovering its loss against B.C.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result Canfor's action must be dismissed as against all defendants. If the parties are unable to agree on entitlement to costs they may make written submissions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Casses v. Canadian Broadcasting Corp., [2016] B.C.J. No. 1087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written submissions filed by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Douglas Backer (in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No. S098449) and Krystal Lee Cook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Action No. S098738) and Robin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Lee Patricia Odiorne (in Action No. S099002),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18, 2016;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filed by the CBC Defendants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Elizabeth Watkins (in Action No.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S098449), February 19, 2016;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filed by in each Action by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March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May 27,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S115272, S098449, S098738, S099002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Fernando Casses and Dr. Fernando Casses Inc., Plaintiffs, and Canadian Broadcasting Corporation, Kathy Tomlinson, Enza Uda, Chris Doe, Wayne Williams, Chris Poe, Brett Hyde, Charlie Cho and Kim Loe, Defendants And between Fernando Casses and Dr. Fernando Casses Inc., Plaintiffs, and Douglas Backer, Caroline Mitchell and Elizabeth Watkins, Defendants, and Kathy Tomlinson and The Canadian Broadcasting Corporation, Third Parties And between Fernando Casses and Dr. Fernando Casses Inc., Plaintiffs, and Krystal Lee Cook, Defendant, and Kathy Tomlinson and The Canadian Broadcasting Corporation, Third Parties And between Fernando Casses and Dr. Fernando Casses Inc., Plaintiffs, and Robin Lee Patricia Odiorne, Defendant, and Kathy Tomlinson and The Canadian Broadcasting Corporation,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7" w:name="Keywords_38"/>
      <w:bookmarkEnd w:id="337"/>
      <w:r>
        <w:rPr>
          <w:rFonts w:ascii="arial" w:eastAsia="arial" w:hAnsi="arial" w:cs="arial"/>
          <w:b/>
          <w:color w:val="000000"/>
          <w:sz w:val="20"/>
          <w:lang w:val="en-US" w:eastAsia="en-US" w:bidi="ar-SA"/>
        </w:rPr>
        <w:t>Civil litigation — Civil procedure — Costs — Assessment or fixing of costs — Considerations — Particular orders — Special orders — For reprehensible or inefficient conduct — Offers to settle — Determination of costs — Individual defendants were awarded costs assessed as special costs up to dates of offers to settle and double costs assessed as special costs thereafter — Plaintiff brought four defamation actions relating to CBC TV reports — First three actions were against individuals — Plaintiff's conduct in relation to individual defendants was reprehensible — Plaintiff adopted litigation strategy of three actions to put economic pressure on individual defendants — Plaintiff alleged serious misconduct against individual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Costs — Award of costs — Determination of costs — Individual defendants were awarded costs assessed as special costs up to dates of offers to settle and double costs assessed as special costs thereafter — Plaintiff brought four defamation actions relating to CBC TV reports — First three actions were against individuals — Plaintiff's conduct in relation to individual defendants was reprehensible — Plaintiff adopted litigation strategy of three actions to put economic pressure on individual defendants — Plaintiff alleged serious misconduct against individual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8" w:name="Case Summary_36"/>
            <w:bookmarkEnd w:id="3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The plaintiff brought four defamation actions relating to CBC TV reports. The first three actions were against individuals, who brought the CBC into the litigation by way of third party notices. The fourth action, against the CBC, was brought two years after the reports. The plaintiff's application to strike the CBC's pleaded meanings was dismissed, as was his appeal, after which he pleaded extreme meanings. He produced documents late. All defendants made offers to settle, which he did not respond to. The claims were dismissed.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9" w:name="Holdings of Court_34"/>
            <w:bookmarkEnd w:id="339"/>
            <w:r>
              <w:rPr>
                <w:rFonts w:ascii="arial" w:eastAsia="arial" w:hAnsi="arial" w:cs="arial"/>
                <w:color w:val="000000"/>
                <w:sz w:val="20"/>
                <w:lang w:val="en-US" w:eastAsia="en-US" w:bidi="ar-SA"/>
              </w:rPr>
              <w:t>HELD: The CBC was awarded costs assessed on Scale C; the individual defendants were awarded costs assessed as special costs up to the dates of their offers to settle and double costs assessed as special costs thereafter.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conduct in relation to the CBC came close to the border of reprehensible conduct. The plaintiff alleged serious misconduct against the CBC, used very strong language in closing submissions, engaged in aggressive litigation tactics and pursued positions that were almost certainly doomed to fail. However, the CBC, as a large media organization, was no stranger to libel litigation and had the resources to defend such claims. The plaintiff's conduct in relation to the individual defendants was reprehensible. The plaintiff adopted and pursued the litigation strategy of three actions to put economic pressure on the individual defendants, who were in a financially inferior position. It was obvious that the CBC was the natural defendant, yet it was left to the individual defendants to bring it into the actions. The plaintiff's litigation strategy made resolution of the issues much more difficult. It required a judgment from the Court of Appeal. Pleading extreme meanings added to the difficulty. The plaintiff alleged serious misconduct against the individual defendants. The matters were of more than ordinary difficulty. The trial was long and the litigation was extremely hard-fought. The plaintiff's strategies added to the complexity. The CBC's offer to waive costs in exchange for a dismissal was not one that the plaintiff should have reasonably accepted. It offered nothing in relation to the claims. The plaintiff should have accepted the individual defendants' offers. They offered amounts to settle the claims and would have achieved a better result for the plaintiff than the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0" w:name="Legislation Cited_36"/>
      <w:bookmarkEnd w:id="3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9-1, Rule 9-1(4), Rule 9-1(5), Rule 9-1(5)(b), Rule 9-1(6), Rule 9-1(6)(b), Rule 9-1(6)(d), Appendix B, s.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1" w:name="Counsel_38"/>
      <w:bookmarkEnd w:id="3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Roger D.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Canadian Broadcasting Corporation, Kathy Tomlinson, Enza Uda, Wayne Williams, Brett Hyde and Charlie Cho (in Action No. S115272), and for the Third Parties Canadian Broadcasting Corporation and Kathy Tomlinson: Daniel W. Burnett, Q.C. and Z. Ansley.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Douglas Backer (in Action No. S098449) and Krystal Lee Cook (in Action No. S098738): R. Nigel Beckmann and M. Santalucia.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Elizabeth Watkins (in Action No. S098449): B. Morley.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Robin Lee Patricia Odiorne (in Action No. S099002): J. West.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2" w:name="Judgment_38"/>
      <w:bookmarkEnd w:id="342"/>
      <w:r>
        <w:pict>
          <v:line id="_x0000_s1228"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costs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scale of costs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offers to settle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 Judgment on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November 24, 2015, I issued Reasons for Judgment in these four defamation actions. My Reasons for Judgment are indexed at </w:t>
      </w:r>
      <w:hyperlink r:id="rId786" w:history="1">
        <w:r>
          <w:rPr>
            <w:rFonts w:ascii="arial" w:eastAsia="arial" w:hAnsi="arial" w:cs="arial"/>
            <w:i/>
            <w:color w:val="0077CC"/>
            <w:sz w:val="20"/>
            <w:u w:val="single"/>
            <w:shd w:val="clear" w:color="auto" w:fill="FFFFFF"/>
            <w:lang w:val="en-US" w:eastAsia="en-US" w:bidi="ar-SA"/>
          </w:rPr>
          <w:t>2015 BCSC 2150</w:t>
        </w:r>
      </w:hyperlink>
      <w:r>
        <w:rPr>
          <w:rFonts w:ascii="arial" w:eastAsia="arial" w:hAnsi="arial" w:cs="arial"/>
          <w:color w:val="000000"/>
          <w:sz w:val="20"/>
          <w:lang w:val="en-US" w:eastAsia="en-US" w:bidi="ar-SA"/>
        </w:rPr>
        <w:t>. I dismissed the plaintiffs' claims in all four actions. The plaintiffs have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now received written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the defendants, as the successful parties in each of the actions, are entitled to costs. The issues in dispute concern: (a) whether the court should order special costs or increased (Scale C) costs in any of the actions; and (b) what effect (if any) should be given to offers to settle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use the same defined terms here as in my Reasons for Judgment from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CBC Defendants and the Individual Defendants say that special costs are justified in each of the four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the CBC Defendants and the Individual Defendants say that the plaintiffs' litigation tactics made resolution of the issues in the Actions far more difficult and expensive than necessary, and amounted to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Dr. Casses' litigation tactics included commencing the separate actions against the Individual Defendants. The CBC Defendants and the Individual Defendants say this was done with the hope of keeping the scope of each Individual Action artificially narrow, and it forced the Individual Defendants to bring the CBC and Ms. Tomlinson into the litigation by way of third party notices. When the CBC Defendants filed their responses to civil claim (in both the Individual Actions and the CBC Action), Dr. Casses then applied to strike out the CBC's pleaded meanings. The court dismissed Dr. Casses' applications (see </w:t>
      </w:r>
      <w:r>
        <w:rPr>
          <w:rFonts w:ascii="arial" w:eastAsia="arial" w:hAnsi="arial" w:cs="arial"/>
          <w:b/>
          <w:i/>
          <w:color w:val="000000"/>
          <w:sz w:val="20"/>
          <w:lang w:val="en-US" w:eastAsia="en-US" w:bidi="ar-SA"/>
        </w:rPr>
        <w:t>Casses v. Backer</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2012 BCSC 17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Casses v. Canadian Broadcasting Corp.</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2012 BCSC 18</w:t>
        </w:r>
      </w:hyperlink>
      <w:r>
        <w:rPr>
          <w:rFonts w:ascii="arial" w:eastAsia="arial" w:hAnsi="arial" w:cs="arial"/>
          <w:color w:val="000000"/>
          <w:sz w:val="20"/>
          <w:lang w:val="en-US" w:eastAsia="en-US" w:bidi="ar-SA"/>
        </w:rPr>
        <w:t xml:space="preserve">), but Dr. Casses appealed. His appeals were dismissed, with the Court of Appeal finding he had employed the rejected "blue-pencil" approach: </w:t>
      </w:r>
      <w:r>
        <w:rPr>
          <w:rFonts w:ascii="arial" w:eastAsia="arial" w:hAnsi="arial" w:cs="arial"/>
          <w:b/>
          <w:i/>
          <w:color w:val="000000"/>
          <w:sz w:val="20"/>
          <w:lang w:val="en-US" w:eastAsia="en-US" w:bidi="ar-SA"/>
        </w:rPr>
        <w:t>Casses v. Canadian Broadcasting Corporation</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2013 BCCA 200</w:t>
        </w:r>
      </w:hyperlink>
      <w:r>
        <w:rPr>
          <w:rFonts w:ascii="arial" w:eastAsia="arial" w:hAnsi="arial" w:cs="arial"/>
          <w:color w:val="000000"/>
          <w:sz w:val="20"/>
          <w:lang w:val="en-US" w:eastAsia="en-US" w:bidi="ar-SA"/>
        </w:rPr>
        <w:t>,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CBC Defendants say that, when the appeals were dismissed, Dr. Casses then switched tactics to plead extreme meanings in the hope that they could not be justified, and sought to avoid fighting the cases based on the words actually used. The CBC Defendants say that the plaintiffs took other steps (including late production of documents just before Dr. Casses' examination for discovery, and delivery of ten expert reports) that necessarily led to the adjournment of the original trial date that had been set for March 2014. Then, only two months before the October 2014 trial date, the plaintiffs brought applications for delivery of extensive particulars and for leave to examine Mr. Daniel Henry (CBC in-house legal counsel) as a second representative for the CBC. The application for particulars was mostly dismissed. The application to examine Mr. Henry, which, in the submission of the CBC Defendants, was obviously absurd, was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say further that by filing the separate actions initially against the Individual Defendants only, and ignoring the obvious defendants (the CBC and Ms. Tomlinson), the plaintiffs' conduct amounted to economic intimidation and an attempt to use legal proceedings to muzzle free speech. Such conduct in relation to the Individual Defendants in particular is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Individual Defendants also say that the plaintiffs alleged serious misconduct against each of them, in support of claims for aggravated and punitive damages, and special costs. For example, the plaintiffs alleged in each of the Individual Actions that the Individual Defendant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guilty of reprehensible, insulting, high-handed, spiteful, malicious and oppressive conduct and such conduct by the defendant justifies the court in imposing a substantial penalty of exemplary damages on the defendant plus an award of special costs in favour of the plaintiffs, in addition to an award of general damages for injury to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Individual Defendants argue that such allegations were also part of Dr. Casses' litigation tactics, designed to punish each of them and silence their criticisms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made similar allegations against the CBC Defendants in support of the plaintiffs' claims for aggravated and punitive damages, and special costs, against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Watkins and Mr. Backer were alleged to have conspired together to publish the RateMDs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say that the plaintiffs' unjustified pursuit, through to closing submissions, of aggravated and punitive damages, and their persistence in claims that the defendants engaged in egregious and malicious conduct, none of which was proved, also amounts to reprehensible conduct. On this point, the defendants cite </w:t>
      </w:r>
      <w:r>
        <w:rPr>
          <w:rFonts w:ascii="arial" w:eastAsia="arial" w:hAnsi="arial" w:cs="arial"/>
          <w:b/>
          <w:i/>
          <w:color w:val="000000"/>
          <w:sz w:val="20"/>
          <w:lang w:val="en-US" w:eastAsia="en-US" w:bidi="ar-SA"/>
        </w:rPr>
        <w:t>Taseko Mines Limited v. Western Canada Wilderness Committee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2016 BCSC 109</w:t>
        </w:r>
      </w:hyperlink>
      <w:r>
        <w:rPr>
          <w:rFonts w:ascii="arial" w:eastAsia="arial" w:hAnsi="arial" w:cs="arial"/>
          <w:color w:val="000000"/>
          <w:sz w:val="20"/>
          <w:lang w:val="en-US" w:eastAsia="en-US" w:bidi="ar-SA"/>
        </w:rPr>
        <w:t>, in particular the discussion at paras. 186 and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other hand, the plaintiffs say that, on the authorities, the court must exercise restraint in awarding special costs, and the party seeking special costs must demonstrate exceptional circumstances to justify such an order. The plaintiffs say their conduct cannot justify an order for special costs in any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basic principles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single standard for the awarding of special costs is that the conduct in question properly be categorized as "reprehensible." The word "reprehensible" has a wide meaning. It encompasses scandalous or outrageous conduct, but it also encompasses milder forms of misconduct deserving of reproof or rebuke. See </w:t>
      </w:r>
      <w:r>
        <w:rPr>
          <w:rFonts w:ascii="arial" w:eastAsia="arial" w:hAnsi="arial" w:cs="arial"/>
          <w:b/>
          <w:i/>
          <w:color w:val="000000"/>
          <w:sz w:val="20"/>
          <w:lang w:val="en-US" w:eastAsia="en-US" w:bidi="ar-SA"/>
        </w:rPr>
        <w:t>Behan v. Park</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2014 BCSC 1982</w:t>
        </w:r>
      </w:hyperlink>
      <w:r>
        <w:rPr>
          <w:rFonts w:ascii="arial" w:eastAsia="arial" w:hAnsi="arial" w:cs="arial"/>
          <w:color w:val="000000"/>
          <w:sz w:val="20"/>
          <w:lang w:val="en-US" w:eastAsia="en-US" w:bidi="ar-SA"/>
        </w:rPr>
        <w:t xml:space="preserve">, at para. 28 and </w:t>
      </w:r>
      <w:r>
        <w:rPr>
          <w:rFonts w:ascii="arial" w:eastAsia="arial" w:hAnsi="arial" w:cs="arial"/>
          <w:b/>
          <w:i/>
          <w:color w:val="000000"/>
          <w:sz w:val="20"/>
          <w:lang w:val="en-US" w:eastAsia="en-US" w:bidi="ar-SA"/>
        </w:rPr>
        <w:t>Wilson v. Switlo</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2016 BCSC 130</w:t>
        </w:r>
      </w:hyperlink>
      <w:r>
        <w:rPr>
          <w:rFonts w:ascii="arial" w:eastAsia="arial" w:hAnsi="arial" w:cs="arial"/>
          <w:color w:val="000000"/>
          <w:sz w:val="20"/>
          <w:lang w:val="en-US" w:eastAsia="en-US" w:bidi="ar-SA"/>
        </w:rPr>
        <w:t xml:space="preserve">, at paras. 24 and 25. See also </w:t>
      </w:r>
      <w:r>
        <w:rPr>
          <w:rFonts w:ascii="arial" w:eastAsia="arial" w:hAnsi="arial" w:cs="arial"/>
          <w:b/>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(cited in both </w:t>
      </w:r>
      <w:r>
        <w:rPr>
          <w:rFonts w:ascii="arial" w:eastAsia="arial" w:hAnsi="arial" w:cs="arial"/>
          <w:b/>
          <w:i/>
          <w:color w:val="000000"/>
          <w:sz w:val="20"/>
          <w:lang w:val="en-US" w:eastAsia="en-US" w:bidi="ar-SA"/>
        </w:rPr>
        <w:t>Behan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among other cases), where Madam Justice Gropper very helpfully reviews a number of authorities and summarizes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Special costs may be awarded where a party made the resolution of an issue far more difficult than it should have been, or where a party who is in a financially superior position to the other brings proceedings, not with the reasonable expectation of a favourable outcome, but in the absence of merit in order to impose a financial burden on the opposing party. See </w:t>
      </w:r>
      <w:r>
        <w:rPr>
          <w:rFonts w:ascii="arial" w:eastAsia="arial" w:hAnsi="arial" w:cs="arial"/>
          <w:b/>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party who alleges serious misconduct against another in a civil lawsuit must be prepared to prove such allegations or reap the consequences in the form of an order for special costs: see </w:t>
      </w:r>
      <w:r>
        <w:rPr>
          <w:rFonts w:ascii="arial" w:eastAsia="arial" w:hAnsi="arial" w:cs="arial"/>
          <w:b/>
          <w:i/>
          <w:color w:val="000000"/>
          <w:sz w:val="20"/>
          <w:lang w:val="en-US" w:eastAsia="en-US" w:bidi="ar-SA"/>
        </w:rPr>
        <w:t>Taseko Mines</w:t>
      </w:r>
      <w:r>
        <w:rPr>
          <w:rFonts w:ascii="arial" w:eastAsia="arial" w:hAnsi="arial" w:cs="arial"/>
          <w:color w:val="000000"/>
          <w:sz w:val="20"/>
          <w:lang w:val="en-US" w:eastAsia="en-US" w:bidi="ar-SA"/>
        </w:rPr>
        <w:t xml:space="preserve">, at para. 187 (citing </w:t>
      </w:r>
      <w:r>
        <w:rPr>
          <w:rFonts w:ascii="arial" w:eastAsia="arial" w:hAnsi="arial" w:cs="arial"/>
          <w:b/>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at paras. 78 and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first address special costs in relation to the CBC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alleged serious misconduct against the CBC Defendants, and Ms. Tomlinson in particular. They persisted in those claims through to closing submissions, where (as I noted in my Reasons for Judgment, at para. 7) they asserted among other things that the TV Reports "may represent the most savage attack on the reputation of a professional person by the news media of this province in living memory." In closing, Mr. McConchie described what Ms. Tomlinson had done as "deliberate lies, reckless invention, malignant distortion, calculated ambiguity, superficial and lazy research, and callous indifference to the public's interest in fair, balanced and accurate reporting," which, in his submission, "made a potent recipe for devastating injury to reputation." This is very strong language indeed. The plaintiffs argued that they were entitled to a very significant award for punitive damages (in the hundreds of thousands of dollars) against the CBC Defendants, in addition to aggravated damages. The plaintiffs engaged in aggressive litigation tactics in relation to the CBC Defendants, and pursued positions (for example, the application to examine Mr. Henry for discovery as a second representative) that were almost certainly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opinion, the plaintiffs' conduct in relation to the CBC Defendants comes close to the border of reprehensible conduct. However, the CBC, as a large media organization, is no stranger to libel litigation and has the resources to defend such claims. Special costs require exceptional circumstances, and the court must exercise restraint in making such an award. I have not been persuaded that, in relation to the CBC Defendants, the circumstances justify an award of special costs against the plaintiffs. The vindication for the CBC Defendants is found in my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however, reached a different conclusion in relation to the Individual Defendants. In my opinion, the plaintiffs' conduct in relation to each of them qualifies as reprehensible, and justifies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litigation strategy of commencing three separate legal proceedings (against each of Ms. Cook and Ms. Odiorne, and suing Mr. Backer and Ms. Watkins together) qualifies as an exceptional circumstance. In my opinion, that strategy was adopted and pursued deliberately by Dr. Casses, who was undoubtedly in a financially superior position, to put economic pressure on the Individual Defendants, and, in my opinion, was reprehensible. It must have been completely obvious to everyone that the CBC was the natural defendant in relation to the TV Reports and the Web Story. Yet, it was left to the Individual Defendants to bring the CBC into the Individual Actions. Dr. Casses did not sue the CBC until August 2011, almost two years after the events in issue. The plaintiffs' strategy also made resolution of the issues much more difficult. It required a judgment from the Court of Appeal before Dr. Casses was forced to abandon his original "blue pencil" approach. The plaintiffs' extreme pleaded meanings added to the difficulty. The plaintiffs alleged serious misconduct against the Individual Defendants. At trial, Ms. Cook became a particular target for Dr. Casses' scorn. She was vilified in closing submissions, as was Mr. Backer. In respect of Ms. Odiorne, at trial, Dr. Casses took the highly unusual step of distancing himself from his own words in his own operative report, in an attempt to minimize the consequences of his actions to his patient. I found that none of the serious misconduct alleged by the plaintiffs in respect of Ms. Cook, Ms. Odiorne, Mr. Backer and Ms. Watkins was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opinion, the circumstances of the Individual Defendants, and the manner in which the plaintiffs pursued their claims against them in the Individual Actions, are exceptional, and special costs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therefore order that the plaintiffs pay:</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Cook's costs to be assessed as special costs;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Odiorne's costs to be assessed as special costs;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Backer's costs to be assessed as special costs;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Watkins' costs to be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sought an order that Ms. Cook and Mr. Backer should be awarded only one set of costs for trial and preparation for trial, on the grounds that they were represented by the same counsel. I will leave that matter for the Registrar on the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appeals are pending, I order that an Individual Defendant will not be required to have her or his costs assessed until after all appeals have been finally disposed of. If an Individual Defendant wishes to have her or his costs assessed before that, the Individual Defendant has liberty to arrange the assessment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event that I declined to order special costs, the CBC Defendants and Ms. Odiorne sought costs at Scale C. The plaintiffs made no submissions on the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2 of Appendix B of the </w:t>
      </w:r>
      <w:r>
        <w:rPr>
          <w:rFonts w:ascii="arial" w:eastAsia="arial" w:hAnsi="arial" w:cs="arial"/>
          <w:b/>
          <w:i/>
          <w:color w:val="000000"/>
          <w:sz w:val="20"/>
          <w:lang w:val="en-US" w:eastAsia="en-US" w:bidi="ar-SA"/>
        </w:rPr>
        <w:t>Supreme Court Civil Rules</w:t>
      </w:r>
      <w:r>
        <w:rPr>
          <w:rFonts w:ascii="arial" w:eastAsia="arial" w:hAnsi="arial" w:cs="arial"/>
          <w:color w:val="000000"/>
          <w:sz w:val="20"/>
          <w:lang w:val="en-US" w:eastAsia="en-US" w:bidi="ar-SA"/>
        </w:rPr>
        <w:t xml:space="preserve">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Scale of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(1) If a court has made an order for costs, it may fix the scale, from Scale A to Scale C in subsection (2), under which the costs will be assessed, and may order that one or more steps in the proceeding be assessed under a different scale from that fixed for other steps.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Relevant factors in relation to whether costs at Scale C are justified can include: the length of the trial; the complexity of the issues involved; the number and complexity of pre-trial applications; whether or not the action was hard-fought, with little or nothing being conceded along the way; the number and length of examinations for discovery; the number and complexity of experts' reports; and the extent of the effort required in the collection and proof of facts. See </w:t>
      </w:r>
      <w:r>
        <w:rPr>
          <w:rFonts w:ascii="arial" w:eastAsia="arial" w:hAnsi="arial" w:cs="arial"/>
          <w:b/>
          <w:i/>
          <w:color w:val="000000"/>
          <w:sz w:val="20"/>
          <w:lang w:val="en-US" w:eastAsia="en-US" w:bidi="ar-SA"/>
        </w:rPr>
        <w:t>Frame v. Rai</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2013 BCSC 686</w:t>
        </w:r>
      </w:hyperlink>
      <w:r>
        <w:rPr>
          <w:rFonts w:ascii="arial" w:eastAsia="arial" w:hAnsi="arial" w:cs="arial"/>
          <w:color w:val="000000"/>
          <w:sz w:val="20"/>
          <w:lang w:val="en-US" w:eastAsia="en-US" w:bidi="ar-SA"/>
        </w:rPr>
        <w:t xml:space="preserve">, at para. 31 and </w:t>
      </w:r>
      <w:r>
        <w:rPr>
          <w:rFonts w:ascii="arial" w:eastAsia="arial" w:hAnsi="arial" w:cs="arial"/>
          <w:b/>
          <w:i/>
          <w:color w:val="000000"/>
          <w:sz w:val="20"/>
          <w:lang w:val="en-US" w:eastAsia="en-US" w:bidi="ar-SA"/>
        </w:rPr>
        <w:t>Westsea</w:t>
      </w:r>
      <w:r>
        <w:rPr>
          <w:rFonts w:ascii="arial" w:eastAsia="arial" w:hAnsi="arial" w:cs="arial"/>
          <w:color w:val="000000"/>
          <w:sz w:val="20"/>
          <w:lang w:val="en-US" w:eastAsia="en-US" w:bidi="ar-SA"/>
        </w:rPr>
        <w:t>,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opinion, the matters were of more than ordinary difficulty, and costs at Scale C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note the following matters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trial was a long one, and the litigation was extremely hard-fought. The CBC Defendants took the lead on the defence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pleadings in the trial record ran to about 200 pages. The amended notice of civil claim in the CBC Action was over 50 pages. In closing submissions, counsel for the plaintiffs presented the court with more than 150 authorities, and hundreds of pages of written submissions (including a lengthy chronology). Oral closing submissions occupied a week. The strategy adopted by Dr. Casses of suing the Individual Defendants separately in the Individual Actions, and waiting until just before the second anniversary of the broadcasts to file the action against the CBC Defendants, added very considerably to the complexity and difficulty of the litigation. The strategy resulted in multiple days of interlocutory arguments on pleadings issues, and, when the applications were dismissed, Dr. Casses pressed on to the Court of Appeal. After his appeals were dismissed, Dr. Casses' new strategy of pleading extreme meanings also contributed significantly to the complexity and difficulty of the litigation. There were numerous other interlocutory applications, in addition to the applications to strike pleadings. Dr. Casses' position was that the CBC Defendants were required to prove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succeed on their pleaded defences, which added a further layer of complexity to the litigation. There was late document production by Dr. Casses, and the effort required in the collection and proof of facts was very substantial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therefore order that costs in the CBC Action be assessed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Had I not been persuaded that special costs are justified in the Individual Actions, I would have ordered that costs in those actions also be assessed at Scale C. The Individual Defendants were drawn into what was very complex and difficult litigation, and a long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3, 2013, Mr. Bennett (counsel for the CBC Defendants) sent a letter to Mr. McConchie containing an offer to settle made on behalf of all of the defendants in all of the actions,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writing with the authority of our clients as well as all defendants in all four actions set forth above (the "Actions"). This letter sets out a collective offer to settle pursuant to Rule 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the Actions [each named] offer to settle by waiving costs in exchange for the filling and entry of consent dismissal orders of the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the Actions reserve the right to bring this offer to the attention of the court for consideration in relation to costs after the court has pronounced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will refer to this offer to settle as the "Global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addition, separate offers to settle were made by Ms. Cook, Mr. Backer and Ms. Watkins.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letter dated September 19, 2014, counsel for Ms. Cook made an offer to counsel for the plaintiffs, offering to pay $11,000 plus reasonable costs and disbursements in exchange for a notice of discontinuance and a release. There was no expiry date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letter dated September 12, 2014, counsel for Mr. Backer made an offer to settle to counsel for the plaintiffs, offering to pay the plaintiffs $6,000 plus reasonable costs and disbursements in exchange for a notice of discontinuance and a release. There was no expiry date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letter dated September 23, 2014, counsel for Ms. Watkins made an offer to settle to counsel for the plaintiffs, offering to pay $5,000 in settlement of the plaintiffs' claims against her. That offer was open for acceptance until Noon on September 26, 2014. By letter dated October 24, 2014, counsel for Ms. Watkins made a further offer to counsel for the plaintiffs, offering to pay $10,000 in full and final settlement of the plaintiffs' claims against her. The offer was open for acceptance until 5 p.m. on October 26, 2014 (the evening before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did not respond to any of the offers to settle, nor did they deliver any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basic principles relating to offers to settle are well-known.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may consider an offer to settle when exercising the court's discretion in relation to costs: see Rule 9-1(4). The available options are set out in Rule 9-1(5). Rule 9-1(5)(b) provides that the court may "award double costs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Rule 9-1(6) provides: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 underlying purpose of the rule is to encourage settlement by rewarding the party who makes a reasonable offer and penalizing the party who declines to accept such an offer: see </w:t>
      </w:r>
      <w:r>
        <w:rPr>
          <w:rFonts w:ascii="arial" w:eastAsia="arial" w:hAnsi="arial" w:cs="arial"/>
          <w:b/>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2014 BCCA 26</w:t>
        </w:r>
      </w:hyperlink>
      <w:r>
        <w:rPr>
          <w:rFonts w:ascii="arial" w:eastAsia="arial" w:hAnsi="arial" w:cs="arial"/>
          <w:color w:val="000000"/>
          <w:sz w:val="20"/>
          <w:lang w:val="en-US" w:eastAsia="en-US" w:bidi="ar-SA"/>
        </w:rPr>
        <w:t xml:space="preserve">, at para. 82. Whether the offer to settle was one that ought reasonably to have been accepted is not determined with reference to the judgment that was ultimately pronounced: see </w:t>
      </w:r>
      <w:r>
        <w:rPr>
          <w:rFonts w:ascii="arial" w:eastAsia="arial" w:hAnsi="arial" w:cs="arial"/>
          <w:b/>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 However, even if an offer was one that it was reasonable not to accept, that is not the end of the analysis: see </w:t>
      </w:r>
      <w:r>
        <w:rPr>
          <w:rFonts w:ascii="arial" w:eastAsia="arial" w:hAnsi="arial" w:cs="arial"/>
          <w:b/>
          <w:i/>
          <w:color w:val="000000"/>
          <w:sz w:val="20"/>
          <w:lang w:val="en-US" w:eastAsia="en-US" w:bidi="ar-SA"/>
        </w:rPr>
        <w:t>British Columbia v. Salt Spring Ventures Incorporated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2015 BCCA 343</w:t>
        </w:r>
      </w:hyperlink>
      <w:r>
        <w:rPr>
          <w:rFonts w:ascii="arial" w:eastAsia="arial" w:hAnsi="arial" w:cs="arial"/>
          <w:color w:val="000000"/>
          <w:sz w:val="20"/>
          <w:lang w:val="en-US" w:eastAsia="en-US" w:bidi="ar-SA"/>
        </w:rPr>
        <w:t xml:space="preserve">, at para. 20 and </w:t>
      </w:r>
      <w:r>
        <w:rPr>
          <w:rFonts w:ascii="arial" w:eastAsia="arial" w:hAnsi="arial" w:cs="arial"/>
          <w:b/>
          <w:i/>
          <w:color w:val="000000"/>
          <w:sz w:val="20"/>
          <w:lang w:val="en-US" w:eastAsia="en-US" w:bidi="ar-SA"/>
        </w:rPr>
        <w:t>Ward v. Klaus</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2012 BCSC 99</w:t>
        </w:r>
      </w:hyperlink>
      <w:r>
        <w:rPr>
          <w:rFonts w:ascii="arial" w:eastAsia="arial" w:hAnsi="arial" w:cs="arial"/>
          <w:color w:val="000000"/>
          <w:sz w:val="20"/>
          <w:lang w:val="en-US" w:eastAsia="en-US" w:bidi="ar-SA"/>
        </w:rPr>
        <w:t>,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With respect to double costs, in </w:t>
      </w:r>
      <w:r>
        <w:rPr>
          <w:rFonts w:ascii="arial" w:eastAsia="arial" w:hAnsi="arial" w:cs="arial"/>
          <w:b/>
          <w:i/>
          <w:color w:val="000000"/>
          <w:sz w:val="20"/>
          <w:lang w:val="en-US" w:eastAsia="en-US" w:bidi="ar-SA"/>
        </w:rPr>
        <w:t>Hartshorne</w:t>
      </w:r>
      <w:r>
        <w:rPr>
          <w:rFonts w:ascii="arial" w:eastAsia="arial" w:hAnsi="arial" w:cs="arial"/>
          <w:color w:val="000000"/>
          <w:sz w:val="20"/>
          <w:lang w:val="en-US" w:eastAsia="en-US" w:bidi="ar-SA"/>
        </w:rPr>
        <w:t>, the Court wrote,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[citations omitted].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light of those principles, I turn first to consider the Global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say that the Global Offer was one that ought reasonably to have been accepted. It was delivered about 6 months before the original trial date of March 3, 2014. The defendants say that, by September 2013, Dr. Casses had lost (in the Court of Appeal) his bid to narrow the litigation and must have known that his troublesome history in Arizona and elsewhere would illustrate there was a solid factual basis for the concerns expressed in the TV Reports and the Web Story. They say that the offer to waive costs in exchange for a dismissal had a genuine value to Dr. Casses, given the stage of the litigation. The defendants say in addition that, by that stage, the plaintiffs should have appreciated the weaknesses in their claims, especially against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support of their position that double costs should be ordered based on the Global Offer, the defendants cite </w:t>
      </w:r>
      <w:r>
        <w:rPr>
          <w:rFonts w:ascii="arial" w:eastAsia="arial" w:hAnsi="arial" w:cs="arial"/>
          <w:b/>
          <w:i/>
          <w:color w:val="000000"/>
          <w:sz w:val="20"/>
          <w:lang w:val="en-US" w:eastAsia="en-US" w:bidi="ar-SA"/>
        </w:rPr>
        <w:t>Johnson v. Jamieson</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2015 BCSC 648</w:t>
        </w:r>
      </w:hyperlink>
      <w:r>
        <w:rPr>
          <w:rFonts w:ascii="arial" w:eastAsia="arial" w:hAnsi="arial" w:cs="arial"/>
          <w:color w:val="000000"/>
          <w:sz w:val="20"/>
          <w:lang w:val="en-US" w:eastAsia="en-US" w:bidi="ar-SA"/>
        </w:rPr>
        <w:t>. There, a "walk away" offer to settle was given effect as an offer that ought reasonably to have been accepted, and double costs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say that the Global Offer contained no meaningful element of compromise, and offered no meaningful benefit to them. They say it was not one that ought reasonably to have been accepted, either when the offer was made or at any later date, and say further that the court should resist finding in favour of the defendants on the basis of hindsight. They note that in </w:t>
      </w:r>
      <w:r>
        <w:rPr>
          <w:rFonts w:ascii="arial" w:eastAsia="arial" w:hAnsi="arial" w:cs="arial"/>
          <w:b/>
          <w:i/>
          <w:color w:val="000000"/>
          <w:sz w:val="20"/>
          <w:lang w:val="en-US" w:eastAsia="en-US" w:bidi="ar-SA"/>
        </w:rPr>
        <w:t>Stuart v. Hugh</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2011 BCSC 575</w:t>
        </w:r>
      </w:hyperlink>
      <w:r>
        <w:rPr>
          <w:rFonts w:ascii="arial" w:eastAsia="arial" w:hAnsi="arial" w:cs="arial"/>
          <w:color w:val="000000"/>
          <w:sz w:val="20"/>
          <w:lang w:val="en-US" w:eastAsia="en-US" w:bidi="ar-SA"/>
        </w:rPr>
        <w:t>, a defamation action where the claim was dismissed, the court refused to give effect to an offer from the defendants to settle for $5 plus taxable costs and disbursements. Verhoeven J. wrote (at paras. 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Here, the offer made would have provided little meaningful benefit to the plaintiff. In effect, he was being asked to give up his claim, without adjudication, in return for a waiver of the defendants' costs to date and payment of his costs on a party and party (i.e. partial indemnity) basis. Nothing was offered in relation to the claim itself. There was no offer of an apology or retraction. $5 would be equivalent to an award of derisory or contemptuous damages by the court. Such an award does not vindicate one's reputation; rather, "it adds insult to injury" [citation omitted]. Acceptance of the offer would entail implicit recognition by the plaintiff that his claim was without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the circumstances of this case, I think the plaintiff would have been obliged to consider very carefully even a modest but meaningful offer of payment. In view of the context of the plaintiff's claim, the offer of $5 was clearly not meaningful. Rather, it amounted to a "nuisance offer" in the words of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opinion, the Global Offer was not merely a nuisance offer. Given the steps that had been taken in the Actions to September 2013, there was a real value (probably in the tens of thousands of dollars) in an offer to waive costs. However, there was nothing offered in relation to the claims themselves. There was no genuine compromise. Rather, like in </w:t>
      </w:r>
      <w:r>
        <w:rPr>
          <w:rFonts w:ascii="arial" w:eastAsia="arial" w:hAnsi="arial" w:cs="arial"/>
          <w:b/>
          <w:i/>
          <w:color w:val="000000"/>
          <w:sz w:val="20"/>
          <w:lang w:val="en-US" w:eastAsia="en-US" w:bidi="ar-SA"/>
        </w:rPr>
        <w:t>Stuart v. Hugh</w:t>
      </w:r>
      <w:r>
        <w:rPr>
          <w:rFonts w:ascii="arial" w:eastAsia="arial" w:hAnsi="arial" w:cs="arial"/>
          <w:color w:val="000000"/>
          <w:sz w:val="20"/>
          <w:lang w:val="en-US" w:eastAsia="en-US" w:bidi="ar-SA"/>
        </w:rPr>
        <w:t xml:space="preserve">, acceptance would have entailed the implicit recognition by the plaintiffs that their claims were without merit. The claims in the Actions were complex, and of more than ordinary difficulty, in contrast to the relatively simple claim in issue in </w:t>
      </w:r>
      <w:r>
        <w:rPr>
          <w:rFonts w:ascii="arial" w:eastAsia="arial" w:hAnsi="arial" w:cs="arial"/>
          <w:b/>
          <w:i/>
          <w:color w:val="000000"/>
          <w:sz w:val="20"/>
          <w:lang w:val="en-US" w:eastAsia="en-US" w:bidi="ar-SA"/>
        </w:rPr>
        <w:t>Johnson v. Jamieson</w:t>
      </w:r>
      <w:r>
        <w:rPr>
          <w:rFonts w:ascii="arial" w:eastAsia="arial" w:hAnsi="arial" w:cs="arial"/>
          <w:color w:val="000000"/>
          <w:sz w:val="20"/>
          <w:lang w:val="en-US" w:eastAsia="en-US" w:bidi="ar-SA"/>
        </w:rPr>
        <w:t>. The plaintiffs were not given the option of letting one or some or all of the Individual Defendants out of the litigation. Rather, the Global Offer was presented as a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opinion, therefore, the Global Offer was not one that the plaintiffs ought reasonably to have accepted. That factor favours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that is not the end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factor under Rule 9-1(6)(b), the result at trial was worse for the plaintiffs than the settlement offered. That factor favours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consider the relative financial circumstances of the parties to be a neutral factor. As discussed above, the plaintiffs used their superior financial circumstances and resources to pressure and intimidate the Individual Defendants. However, the Global Offer included the CBC Defendants, whose financial resources were at least equal to (if not substantially more than) those available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the matters I have discussed above in relation to special costs are also factors I can consider under Rule 9-1(6)(d), in deciding whether to give effect to the Global Offer. Those matters favour the defendants, and the Individual Defendants in particular. In addition, had the Global Offer been accepted, a lengthy trial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considering all of those factors, I have concluded that an award of double costs from the date of the Global Offer, or from any later date, should not be made. I have considered whether the factors that favour the defendants should be recognized in some way, given the underlying purposes of the rule. Indeed, some of those factors have been recognized in relation to the order for special costs in favour of the Individual Defendants, and my order that costs should be assessed at Scale C for the CBC Defendants. In my opinion, as of trial, the plaintiffs should have taken a harder look at the strength (or lack thereof) of their claims, in particular their allegations of misconduct and the claims for punitive damages, in the light of the cost rules. However, in relation to the Global Offer, I conclude that the strongest factor is the first -- whether the offer was one that ought reasonably to have been accepted -- and it favors the plaintiffs. I therefore decline to give effect to the Global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Next, I consider the individual offers made by Ms. Cook, Mr. Backer and Ms. Watkins.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opinion, Ms. Cook's offer of $11,000 was a meaningful offer of settlement, and represented a reasonable compromise in relation to the merits of claims made against Ms. Cook. It was not simply a nuisance offer. It ought to have been seriously considered by the plaintiffs at the time it was made. I conclude that it was an offer the plaintiffs ought reasonably to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Cook's offer would have achieved a better result for the plaintiffs than the trial. This factor favours Ms.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relative financial circumstances of the parties, this factor also favours Ms. Cook. Finally, the matters I discussed above in relation to special costs also favour Ms. Cook. Dr. Casses appeared intent on making Ms. Cook suffer in court because she complained about how he had treated her, and he preferred risking dismissal of his claim against her to accepting a reasonable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conclude therefore that, based on Ms. Cook's offer to settle, Ms. Cook should have her costs against the plaintiffs (assessed as special costs) up to and including September 19, 2014, and double costs (assessed as special costs) thereafter. Ms. Cook is also entitled to necessary and reasonable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opinion, Mr. Backer's offer of $6,000 was also a meaningful offer of settlement, and represented a reasonable compromise in relation to the merits of claims made against Mr. Backer. Like Ms. Cook's offer, Mr. Backer's offer was not simply a nuisance offer. It ought to have been seriously considered by the plaintiffs at the time it was made. I conclude that it was an offer the plaintiffs ought reasonably to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offer would have achieved a better result for the plaintiffs than the result at trial. This factor favours Mr. Backer. With respect to the relative financial circumstances of the parties, this factor also favours Mr. Backer, as do the matters I discussed above in relation to special costs. As he did with Ms. Cook, Dr. Casses preferred having the opportunity to vilify Mr. Backer in court and run the risk of the plaintiffs' claims being dismissed, to accepting a reasonable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therefore that, based on Mr. Backer's offer to settle, Mr. Backer should have his costs against the plaintiffs (assessed as special costs) up to and including September 12, 2014, and double costs (assessed as special costs) thereafter. Mr. Backer is also entitled to necessary and reasonable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opinion, each of Ms. Watkins' offers to settle made a meaningful offer of settlement, and represented a reasonable compromise in relation to the merits of claims made against her. I found that her comments were defamatory of Dr. Casses, but she was entitled to succeed on the defence of fair comment. In my opinion, the second offer of $10,000 should have been very seriously considered by the plaintiffs at the time it was made and in the period it was open for acceptance. I conclude that it was an offer the plaintiffs ought reasonably to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offer would have achieved a better result for the plaintiffs than the result at trial, a factor that favours Ms. Watkins. With respect to the relative financial circumstances of the parties, this factor also favours Ms. Watkins, as do the matters I discussed above in relation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conclude therefore that, based on Ms. Watkins' second offer to settle, she should have her costs against the plaintiffs (assessed as special costs) up to and including October 24, 2014, and double costs (assessed as special costs) thereafter. Ms. Watkins is also entitled to necessary and reasonable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CBC Action, the CBC Defendants are entitled to costs (one set) assessed on Scale C, together with necessary and reasonable disbursements;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No. S098738, Ms. Cook is entitled to costs assessed as special costs up to and including September 19, 2014, with double costs (assessed as special costs) thereafter, together with necessary and reasonable disbursements;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No. S099002, Ms. Odiorne is entitled to costs assessed as special costs, together with necessary and reasonable disbursements;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No. S098449, Mr. Backer is entitled to costs assessed as special costs up to and including September 12, 2014, with double costs (assessed as special costs) thereafter, together with necessary and reasonable disbursements;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No. S098449, Ms. Watkins is entitled to costs assessed as special costs up to and including October 24, 2014, with double costs (assessed as special costs) thereafter, together with necessary and reasonable disbursements;</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leave to the Registrar, on the assessment, the matter of whether Ms. Cook and Mr. Backer should be awarded only one set of costs for trial and preparation for trial;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appeals are pending, I order that an Individual Defendant will not be required to have her or his costs assessed until after all appeals have been finally disposed of. If an Individual Defendant wishes to have her or his costs assessed before that, the Individual Defendant has liberty to arrange the assessment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consider that the defendants have been substantially successful in relation to the matter of costs following the trial, and I order that they have their costs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Choi v. Paik, [2008] B.C.J. No. 1588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14-18 and 21-23,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VAS064417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B.L.R. (4th) 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599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Sung Hye Choi also known as Angela Choi, Plaintiff, and Ji San Paik also known as James Paik and PJI Pizza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3" w:name="Keywords_39"/>
      <w:bookmarkEnd w:id="343"/>
      <w:r>
        <w:rPr>
          <w:rFonts w:ascii="arial" w:eastAsia="arial" w:hAnsi="arial" w:cs="arial"/>
          <w:b/>
          <w:color w:val="000000"/>
          <w:sz w:val="20"/>
          <w:lang w:val="en-US" w:eastAsia="en-US" w:bidi="ar-SA"/>
        </w:rPr>
        <w:t>Contracts — Misrepresentation — What constitutes — Negligent misrepresentation — Fraudulent misrepresentation — Action by Choi for rescission of a joint venture agreement allowed — The representations made to Choi were not made with the intent to deceive her nor were they knowingly false or made with moral recklessness — Therefore, they were not fraudulent misrepresentations — However, PJI BC failed to exercise reasonable care not to mislead Choi — That failure constituted a negligent misrepresentation — The agreement was rescinded and Choi's investment of $135,000 was to be returned to 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Equitable remedies — Rescission — Restitution — Action by Choi for rescission of a joint venture agreement allowed — The representations made to Choi were not made with the intent to deceive her nor were they knowingly false or made with moral recklessness — Therefore, they were not fraudulent misrepresentations — However, PJI BC failed to exercise reasonable care not to mislead Choi — That failure constituted a negligent misrepresentation — The agreement was rescinded and Choi's investment of $135,000 was to be returned to 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4" w:name="Case Summary_37"/>
            <w:bookmarkEnd w:id="3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Choi for rescission of a joint venture agreement to operate a pizza outlet. Choi and her husband, Ahn, immigrated to Canada from Korea with their two sons. While Choi and Ahn were both highly educated, neither had any prior business experience. The defendant PJI BC was in the business of operating pizza outlets through direct ownership or franchise agreements. In August 2005, Choi entered into a written agreement with PJI BC to participate in a joint venture with PJI BC, as equal partners, to open a new pizza outlet. Several months later, the venture failed. Choi took the position that she was induced to enter the agreement by fraudulent misrepresentations, or alternatively negligent misrepresentations, made by PJI BC. As such, she sought rescission of the joint venture agreement. PJI BC denied that any misrepresentations were made and took the position that the failure of the joint venture was due to Choi and Ahn's inept management.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5" w:name="Holdings of Court_35"/>
            <w:bookmarkEnd w:id="34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representations made to Choi were not made with the intent to deceive her nor were they knowingly false or made with moral recklessness. Therefore, they were not fraudulent misrepresentations. However, PJI BC had a duty to exercise reasonable care not to mislead Choi and failed to disclose important information to her. That failure constituted a negligent misrepresentation. Moreover, PJI BC's post-contractual conduct constituted unconscionable conduct as Choi was denied the opportunity to carry out the business contemplated by the agreement. The joint venture agreement was rescinded. As PJI BC was in breach of its fiduciary obligation to Choi, an appropriate remedy was the return of her investment of $135,000.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6" w:name="Counsel_39"/>
      <w:bookmarkEnd w:id="3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J.J.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J.D.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7" w:name="Judgment_39"/>
      <w:bookmarkEnd w:id="347"/>
      <w:r>
        <w:pict>
          <v:line id="_x0000_s1232"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8" w:name="P.W. WALKER J."/>
            <w:bookmarkEnd w:id="348"/>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Mrs. Choi, and her husband, Corman Ahn, immigrated to Canada from Korea with their two sons in January 2005. Mrs. Choi was a career schoolteacher while she lived in Korea having taught elementary school there for some 23 years. Mr. Ahn worked in management for the Samsung computer company in Korea for some 15 years, mostly in the development department. From there, and prior to immigrating to this country, he worked for a smaller telecommunications company. A key reason for Mrs. Choi and Mr. Ahn immigrating to Canada was to provide a better educational environment for their two children. Neither Mrs. Choi nor Mr. Ahn had any business experience prior to their decision to invest Mrs. Choi's retirement savings with the defendant, PJI Pizza (B.C.) Ltd.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Choi brings this action against the defendants seeking rescission of a joint venture agreement made on August 15, 2005 to operate a Papa John's pizza outlet on Barnet Highway in Coquitlam, British Columbia. She claims that she was induced to enter into that agreement by certain misrepresentations made fraudulently or alternatively negligently, by the defendants. An alternative claim for damages and accounting is made in the event the remedy of rescission is not available. The defendants deny that any misrepresentations were made and say further that, to the extent the pizza outlet set up pursuant to the joint venture agreement failed, it was due to the inept management and misconduct of Mrs. Choi and Mr. Ahn. PJI BC asserts that, in fact, it is entitled to losses it incurred due to the unilateral decision of Mrs. Choi and Mr. Ahn to shut down the business without notice. Recovery of those losses is being sought in the counterclaim filed on behalf of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Mrs. Choi and Mr. Ahn are well educated, each having obtained Masters degrees from Korean educational institutions. Even so, at the time the contract in issue in this litigation was entered into, their proficiency in the English language was modest. Although Mr. Ahn could read English, he had difficulty reading and listening in that language. His proficiency in the English language was superior to that of Mrs. Choi. Although both took classes known as "ESL", their communications, including their negotiations, with the defendants were, with a few exceptions on the part of Mr. Paik, conducted in the Korean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Having immigrated to Canada, Mrs. Choi and Mr. Ahn determined that they needed to find a source of revenue to support their family as Mr. Ahn was working at a very modest hourly wage for a landscaping company, such that they had to live off their savings from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They were introduced to the prospect of investing in a pizza business through Mr. Ki Uk Ma ("Mr. Ma""). Mr. Ma was the Chief Financial Officer of PJI BC who was known to Mrs. Choi and Mr. Ahn as he had looked after their eldest son for the year prior through a Canadian "home stay" teaching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PJI BC is in the business of operating Papa John's pizza outlets in British Columbia, through direct ownership or franchise arrangements. The personal defendant, Mr. Ji San Pak ("Mr. Paik"), was at all material times a director and President of PJI BC. He is currently a co-President of PJI BC. PJI BC was established in January 2004, some 14 months prior to the start of the events that have led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Choi and Mr. Ahn gave their evidence through a Korean interpreter, as if they had not the trial would have taken much longer than it did. Although Mr. Paik demonstrated, while giving evidence, that his command of the English language was far superior to that of Mrs. Choi and Mr. Ahn, in fact to the point that on some occasions he corrected the interpreter in English. Mr Paik said that he chose to use an interpreter to ensure that his answers were correctly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Ma introduced Mrs. Choi and Mr. Ahn to the pizza business through a tour of PJI BC's outlet operations located in Surrey and at North Road in Burnaby, British Columbia. Mrs. Choi and Mr. Ahn also attended seminars hosted by Mr. Paik on behalf of PJI BC, where Mrs. Choi was told more about investing in the Papa John's pizza business. These events occurred in approximately May or June 2005. Mrs. Choi understood from Mr. Paik, because of her discussions with him, that making pizzas was so easy that high school students could do it. She and Mr. Ahn were left with the impression that operating a pizza outlet was relatively easy.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Choi and Mr. Ahn were offered by Mr. Paik, on behalf of PJI BC, three different investment options, as follows: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investment in PJI BC through a purchase of shares in that company;</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a Papa John's franchise outright; or</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 in a joint venture with PJI BC, as equal partners, to open a new Papa John's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Ultimately, Mrs. Choi chose the third option as it made the most sense to her given her lack of business experience, the fact that PJI BC placed its own money in the venture, and a proposal by PJI BC of favourable terms for guaranteed profit and profit sharing. She entered into a written agreement with PJI BC on August 15, 2005 (the "Agreement"). That agreement was prepared by Mr. Ma, although Mr. Ahn and Mr. Paik participated in discussions relating to various drafts leading up to the final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Choi gave evidence, which I accept, that she entered into the Agreement relying on representations made by Mr. Paik on behalf of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Paik's dealings with Mrs. Choi were made on behalf of and authorized by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should also be noted that in argument, counsel for Mrs. Choi conceded that the action against Mr. Paik should be dismissed as he was not party to the Agreement and, moreover, that any fiduciary duties Mr. Paik owed were to a corporate entity known as "PJI Barnet" (which I will describe later), and not to Mrs. Choi. As a result, and by agreement of the parties, the action is dismissed against Mr. Paik.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Choi alleges that certain representations made by Mr. Paik regarding the particulars of the investment were misrepresentations made fraudulently, or alternatively negligently, so as to entitle her to the remedy of rescission. As well, she claims that PJI BC was in breach of certain contractual obligations, failed to account, and was in breach of its obligations of good faith and loyalty towards her as PJI BC's joint venture partner. PJI BC and Mr. Paik deny that any misrepresentations were made. They concede that certain breaches of contract were made, but say they were of no consequence as they caused no loss and further, that the parties chose not to follow some of the terms of the Agreement shortly after the pizza outlet began to carry 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Choi and Mr. Ahn gave evidence that Mrs. Choi was induced to enter into the Agreement with PJI BC, relying on representations made by Mr. Paik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to construct and set up the pizza outlet would be $250,000;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equal partners, Mrs. Choi and PJI BC would each contribute the sum of $125,000 to pay for those costs;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would contribute a further sum of $10,000 to establish the business and for working capital;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Choi would be guaranteed payment of net profit of $1250 per month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Choi and Mr. Ahn thus, they say, perceived the joint venture option as the most favourable, since PJI BC would be motivated by the contribution of its own money and since Mrs. Choi would receive an income guarantee for one year of $1,250 per month, as well as a favourable profit sharing of 65/35 in her favour once the net profit exceeded $1,925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What Mrs. Choi and Mr. Ahn say was not disclosed to them, let alone contained in the Agreement, was the fact that PJI BC intended to make its contribution into the joint venture in kind and, further, that PJI BC intended to allocate to itself a credit for a franchise fee in the amount of $20,000 and a credit for goodwill in the approximate amount of $60,000 to $70,000. Mr. Paik insists that even though the Agreement is silent as to franchise fees and goodwill, he made it clear before the Agreement was signed that the contributions required by the Agreement would be allocated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 to purchase equipment;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$60,000 to $70,000 for construction costs;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to PJI BC for a franchise fee;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remainder, some $60,000 to $70,000, to PJI BC for goodwill.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Mr. Paik and PJI BC claim that although they never actually paid their contribution into the bank account of PJI Barnet, in effect that payment was made since PJI BC spent its own money on the construction of the Barnet premises and on the purchase of equipment. While that may be so, the difficulty is that Mrs. Choi was not afforded the opportunity to review those expenditures, nor was she afforded the right to control the cash and approve expenses over $5000 as required by clause 5 of the Agreement. As well, Mrs. Choi was never provided the opportunity to satisfy herself that the amounts incurred were appropriate as she would be entitled to do as a co-venturer with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accept Mrs. Choi's evidence, having regard to all of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and documentary evidence, that she never would have entered into the Agreement had she been informed that a franchise fee and goodwill were to be paid to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Agreement was drafted without the benefit of a lawyer. While some parts of it are vague, some clauses contain references to external documents not in evidence, and some clauses are poorly worded, the evidence of the parties and Mr. Ahn leads me to conclude that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was reached. In fact, counsel for the parties submitted that despite many poorly worded clauses and the presence of ambiguities in the Agreement, the document contains clear evidence of contractual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Agreement is entitled "Joint Venture Agreement". It is written in the Korean and English languages, the reason for which I am told is to reflect the terms of the contract in both languages.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parties agree that the relationship between them was a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Agreement was made between Mrs. Choi and PJI BC as it was Mrs. Choi's retirement fund that was being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a number of very important terms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deals with the contribution of funds. As stated, Mrs. Choi and PJI BC were to each contribute the sum of $135,000 to establish and operate a Papa John's pizza franchise known as the "Barnet" outlet located at 105-2764 Barnet Highway, Coquitlam, British Columbia. Each party was required to pay their contribution of $135,000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$120,000 to a "shareholder's loan account". In the English language portion of the Agreement it states it is for a "construction fund";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towards an operating fund;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$5,000 as "starting capital" to establish a company to be incorporated and known as "PJI Pizza Barnet Ltd" ("PJI Barnet").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there was some dispute amongst the witnesses as to whether the Korean language found in the Agreement said "construction fund" or "setting up the store" or "outlet establishment", it is very clear that the parties and Mr. Ahn understood this fund was to be used to build and equip the Barnet outlet. It is also clear that nowhere in the Agreement is it stated, either expressly or through implication, that any aspect of that fund nor any aspect of PJI BC's contribution is to be paid on account of a franchise fee and goodwill.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next key term concerns ownership. Mrs. Choi and PJI Barnet are equal shareholders in PJI Barnet.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next concerns control of cash, accounting, and the incurring of expenses, which are well described at clause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bank account is to be open in "the company's" name. Accounting along with additional control of cash will be administered by "Choi". Any financial transactions exceeding the amount of $5,000 as a single transaction will be consulted and dealt with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fourth deals with the obligations of PJI BC and those of Mrs. Choi. Clause 6 requires PJI BC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facilities for maintenance and operation;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initial staffing and training;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support and conduct store audits;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marketing and promotional support;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information and data requested by Mrs. Choi;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all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Choi was responsible to operate the outlet to sell the product, to provide the prior month's profit and loss sheet to PJI BC, and for cash flow and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further term concerns allocation of profit. The effect of clauses 13 and 14 is that Mrs. Choi is guaranteed payment of $1,250 per month for one year even where the profit is less. Where profit exceeds that monthly amount, profit in excess of $1,250 and up to $1,925 will be paid to PJI BC. Beyond $1,925, 65% is paid to Mrs. Choi and 35% is paid to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Following Execution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Choi made payment of $135,000 as required by the Agreement. Well prior to making that payment, PJI BC had begun construction of the pizza outlet that all parties referred to as the "Barnet store". PJI BC did so in an effort to fulfill some of its contractual obligations with an American parent company, which the parties called "Papa John USA". PJI BC acquired the rights to establish outlets in British Columbia using the Papa John name from Papa John USA. PJI BC was obliged to set up 4 to 5 "self-owned stores" or outlets before it could sell franchise outlets. At the time Mrs. Choi met Mr. Paik, PJI BC had established only one self-owned store. Mrs. Choi's investment with PJI BC to set up a self-owned store advanced the commercial interests of PJI BC. Mrs. Choi was not aware of that fact nor was she aware, as Mr. Paik himself admitted, that the second of the three options - the ability to purchase a franchise outlet outright - was not available at that time due to restrictive conditions contained in the agreement between PJI BC and Papa John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PJI BC and Mr. Paik took the lead, as Mr. Paik told Mr. Ahn they would, in setting up and commencing operations of the Barnet store. From there, Mr. Paik, on behalf of PJI BC, took the lead in overseeing the operation of that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Choi and Mr. Ahn learned prior to the opening of the Barnet store that some of the equipment installed was used equipment. Mrs. Choi was concerned as she thought all equipment was to be brand new, although she conceded that used equipment was acceptable as it would help reduce the construction costs for the benefit of the joint venture and PJI Barnet.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Barnet store opened on September 15, 2005. For the first two months, Mrs. Choi and Mr. Ahn focused on learning how to run the business. PJI BC provided an employee to assist with start-up, including management, for approximately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a bank account was set up in the name of PJI Barnet, the cash and accounting arrangements required by clause 5(1) of the Agreement were not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parties and Mr. Ahn learned that it would take some weeks to set up credit and debit card facilities, Mr. Paik suggested that they use the existing facilities of PJI BC on the basis that those receipts would be transferred to PJI Barnet's account. Mrs. Choi and Mr. Ahn agreed, not knowing that Mr. Paik and PJI BC would not transfer those receipts to the PJI Barnet bank account. Although Mrs. Choi and Mr. Ahn made numerous requests of Mr. Paik and PJI BC for the money to be transferred, it was not. Instead, they were told that there would have to be an accounting as PJI Barnet owed PJI BC for food supply items, such as pizza dough, ingredients, and toppings, known as "commissary", and for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PJI Barnet purchased commissary from PJI BC. They ordered commissary without knowing the unit costs of those items. While they were able to determine the total amount of commissary purchased as well as the cumulative amount of receipts from credit and debit card sales from their computer, which was linked into the PJI BC system, they were not able to determine from the documents and information provided to them by Mr. Paik and PJI BC the unit costs of the product they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Before I move on to describe the sequence of facts that I have found to have occurred, I should comment on the credibility of the witnesses as there are a number of conflicts in the evidence as to what actually occurred. Three witnesses gave evidence at trial: Mrs. Choi, Mr. Ahn, and Mr. Paik. All of their evidence was given in the Korean language through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Choi and Mr. Ahn gave their evidence in a most credible and straightforward manner. They strove to answer all questions honestly and, in some cases, to their possible detriment insofar as certain provisions of the Agreement may have been construed. For example, the Agreement does not clearly state whose obligation it is to pay the rent. While it could have been argued by Mrs. Choi, with considerable merit, that clauses 2(4) and 6 of the Agreement obliged PJI BC to pay the rent until such time as Mrs. Choi or her nominee assumed the Barnet outlet under a franchise arrangement, both she and Mr. Ahn took no issue with the proposition that payment of rent was the obligation of PJI Barnet.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observing Mr. Paik, I found him to be argumentative, often only conceding the obvious to straightforward questions put to him in cross-examination after persistent questioning, making admissions when confronted with the clarity of the contents of a document. It became clear during the course of giving his evidence that Mr. Paik did not appreciate many of the fundamental duties that his company, PJI BC, owed as a co-venturer with Mrs. Choi and, instead, viewed the relationship to be one of franchisor and franchisee. Indeed, Mr. Paik said this was the first time he was involved in a 50/50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Operating from this vantage point, Mr. Paik often answered questions by arguing his case as opposed to his recollection. For example, when asked if he or PJI BC ever disclosed PJI BC's costs of commissary, he replied: "No company would reveal their purchase costs to their sub franchisee."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Paik was quite adamant that it should have been obvious to Mrs. Choi and Mr. Ahn that they were investing in an operation akin to a franchise business, so that: "Paying a franchise fee to PJI BC is a matter of common sense. [They] cannot use the name Papa John without paying a franchise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in some instances his stated recollection of events and argumentative evidence was inconsistent with objective documentary evidence. When pressed to answer whether a document accurately recorded events between himself, the plaintiff and Mr. Ahn, he replied: "Unless it's very important, I don't remember because that was three years ago". It is clear that what was important to Mr. Paik was to satisfy PJI BC's obligations under its agreement with Papa John USA in order to obtain the opportunity to sell franchise outlets and to deal with PJI BC's cash flow problems unrelated to the joint venture with Mrs.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Mr. Paik's evidence concerning the explanation he said he provided prior to the Agreement being entered into as to the manner of PJI BC's contribution was inconsistent. When referred to clause 3(2) of the Agreement, Mr. Paik said the Korean version of the document read "outlet establishment", which he knew to be "setting up a business to operate a pizza place." According to Mr. Paik, this meant purchasing equipment, the interior design, obtaining certain items from Papa John USA, and payment of management fees to PJI BC. Mr. Paik did not list goodwill or franchise fees in his explanation. It is noteworthy that franchise fees are something quite different from management fees. Later, in cross-examination, Mr. Paik admitted that franchise fees were never discussed. Ultimately, Mr. Paik argued that payment of a franchise fee was "a matter of common sense" in the circumstances. Although Mr. Paik believed that to have been the case, neither the Agreement nor his discussions with the plaintiff and Mr. Ahn were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Paik's evidence as to Mrs. Choi's ability, pursuant to the Agreement, to convert the venture into a franchise arrangement at a later date underscores the inappropriate nature of what he says is PJI BC's right to charge a franchise fee and goodwill. Mr. Paik went to great lengths in his evidence to explain that the franchise fee was a one-time payment. Yet, Mr. Paik went on to say that had Mrs. Choi wished to convert the relationship with PJI BC into a franchise arrangement, as she could do at a later date according to the Agreement, she would have had to buy out PJI BC's shares by paying PJI BC's contribution of $135,000. If PJI BC's original contribution included an amount for franchise fees, Mrs. Choi would in effect be paying for those amounts again at the time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Thus, where the evidence of Mrs. Choi and Mr. Ahn is in conflict with the evidence of Mr. Paik I accept the evidence of Mrs. Choi and Mr. Ahn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Once the Barnet outlet began operations, Mrs. Choi and Mr. Ahn made requests of Mr. Paik and PJI BC for an explanation of the construction costs and a breakdown of the commissary costs; as well, they asked for payment of PJI BC's contribution of $10,000 to the operating fund (required by clause 3(3) of the Agreement) and the credit and debit card receipts. At no time did they attempt to shirk PJI Barnet's obligation to pay expenses, including commissary, and what they thought was its obligation to pay rent. They eventually sought proof that PJI BC made its full contribution of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series of communications took place, through written communication and meetings, where Mrs. Choi and Mr. Ahn requested information and documentation concerning PJI BC's contribution, including a list of equipment and the construction costs, as well as an accounting so as to satisfy PJI Barnet's obligations to pay commissary and to obtain return of credit and debit card receipts. Although they were able to determine, on an ongoing basis, the amount said to be owing for commissary and the credit and debit card receipts from their computer, they were not able to determine the unit costs of the commissary charged to them, nor the actual costs of commissary paid by PJI Barnet. Both Mrs. Choi and Mr. Ahn were under the impression that PJI BC was to pass along to PJI Barnet commissary at the latter's own cost. Moreover, they wished to determine if the commissary obligation and credit and debit card receipts shown in the computer were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communications I have referred to are reflected in documents marked as Exhibit 1, Tabs 6 to 16. Many of these documents show that Mrs. Choi and Mr. Ahn were led to believe that the information (including documentation) would be provided to them and further, that distribution of the credit and debit card receipts would be made following an accounting between PJI Barnet and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also say that they did not wrongfully withhold credit and debt card receipts, but instead retained those funds as per an oral agreement with Mrs. Choi and Mr. Ahn pending the accounting. The defendants also claim the business of the Barnet store began to slow down due to certain poor decisions made by Mrs. Choi and Mr. Ahn. As noted, PJI BC filed a counterclaim seeking recovery of alleged losses it says were caused by the misconduct of Mrs. Choi, including her unilateral decision to shut down the pizza outlet and including alleged "dishonest" conduct in the operation of the pizza outlet. The latter claim concerning dishonest conduct was abandoned by PJI BC during argument on the basis that there was no evidence at trial to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Much was made by the defendants in submissions that Mrs. Choi and Mr. Ahn did not engage in any research into the pizza business, that PJI Barnet provided managerial and marketing support in accordance with the Agreement, and that Mrs. Choi and Mr. Ahn were financially desperate to enter into the joint venture. In my view, the first two points made in those submissions have no bearing on the issues in this case and the last point was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Unfortunately, the accounting never occurred due to, I find, the conduct of PJI BC and Mr. Paik.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credit and debit card receipts were never paid to PJI Barnet since PJI BC said they were to offset the commissary debt owed by PJI Barnet. There was some uncertainty at trial as to those amounts, due mainly to the defendants' late production of documents (following a court order during the interlocutory phase of this case). The submissions of the defendants were to the effect that the credit and debit card receipts totalled $53,000 and the commissary debt was $47,000 (all approximate). Mrs. Choi and Mr. Ahn have not been able to determine the accuracy of those amounts due to late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By December 2005, PJI Barnet was low on operating funds, a point made by Mr. Ahn to Mr. Paik in an email dated December 26, 2005 where he wrote, </w:t>
      </w:r>
      <w:r>
        <w:rPr>
          <w:rFonts w:ascii="arial" w:eastAsia="arial" w:hAnsi="arial" w:cs="arial"/>
          <w:i/>
          <w:color w:val="000000"/>
          <w:sz w:val="20"/>
          <w:lang w:val="en-US" w:eastAsia="en-US" w:bidi="ar-SA"/>
        </w:rPr>
        <w:t>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the account settlement with the headquarters, the year-end cash flow is so bad that even if we use up all the working capital, we will still be short of money. Therefore, we let you know that we cannot write cheques anymore. So, we need the headquarters to deposit unpaid working capital it owes us as well as Card/Debit sales and commissary.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we need more than $8,000 as of the end of the year, as we are still short of working capital even after using up all the cash flow.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no account has been settled, we are sending this information to give you a rough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reference to "headquarters" is to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Ahn wrote to Mr. Paik again, by email, on January 23, 2006 as the situation became more dire. In that email, Mr. Ahn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effort to prevent cheques from being dishonoured, we did not cash in the cheques [sic] and account payables. The situation is such that after paying the next wages, we would not be able to do it again, nor could we delay in paying the account payables. This is because very little is left in the bank account from sales at Barnet store.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balance is 11,332 as of December 31,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looking forward to hearing good news from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cash flow problems encountered by PJI Barnet were caused by the conduct of Mr. Paik and PJI BC:</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pay PJI BC's full contribution as required by the Agreement;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remit the credit and debit card receipts;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let Mrs. Choi have responsibility of cash and the bank account as required by clause 5 of the Agreement;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provide the necessary information to Mrs. Choi and Mr. Ahn as to the unit costs of the commissary so that they could fully appreciate and manage those expenses;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provide a breakdown of the construction and equipment costs even though clause 5(1) required that any financial transactions exceeding $5000 as a single transaction be the result of consultation between the parties, so that PJI Barnet was fixed with the expenses incurred and as determined by PJI BC and Mr. Paik.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was not the case that Mrs. Choi and Mr. Ahn depleted the cash flow as they paid themselves $8 per hour and took nothing out of the business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Agreement is silent as to the allocation of any surplus from the construction and equipment costs. Had the franchise fee and goodwill payment not been factored into PJI BC's total investment, so that PJI BC had contributed the amount called for by the Agreement, there would have been an additional $60,000 to $70,000 of cash sitting in the bank account of PJI Barnet. Those funds belonged to the joint venture and the use of those funds is governed by clause 5 of the Agreement. The fact is that PJI Barnet was denied the benefit of those funds that would have allowed PJI Barnet to meet the demand for full payment of commissary made by PJI BC and Mr. Paik on February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Paik said that he also asked for the accounting, but that its delay was due to the failure of Mrs. Choi and Mr. Ahn to provide him with appropriate financial documents and eventually, he said, due to Mr. Ahn's insistence that he be provided with only original documents. This was, in my view, not a bar to an accounting of the construction fund, the equipment costs, the commissary debt, and the credit and debit card receipts, as all of that information and documentation was within the knowledge and control of Mr. Paik and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Production of documents, such as payroll records and cancelled cheques from PJI Barnet would have no impact on the accounting requested by Mrs. Choi and Mr. Ahn. The failure to produce profit and loss statements by PJI Barnet is understandable as neither Mrs. Choi nor Mr. Ahn could supply that documentation without documentation from Mr. Paik and PJI BC. Further, any purported request made by Mr. Ahn for original documentation, evidence that I do not accept, could never hamper Mr. Paik's ability and that of PJI BC to provide the information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can be seen, PJI Barnet did not pay for commissary. Mrs. Choi and Mr. Ahn were lulled into the belief that PJI Barnet would not have to pay that debt until the accounting took place. It is with that backdrop that the decision of PJI BC and Mr. Paik, made in February 2006, to stop all further shipments of commissary without payment in advance and in full,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February 16, 2006, Mr. Paik wrote to Mrs. Choi and Mr. Ahn advising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Payment </w:t>
      </w:r>
      <w:r>
        <w:rPr>
          <w:rFonts w:ascii="arial" w:eastAsia="arial" w:hAnsi="arial" w:cs="arial"/>
          <w:i/>
          <w:color w:val="000000"/>
          <w:sz w:val="20"/>
          <w:lang w:val="en-US" w:eastAsia="en-US" w:bidi="ar-SA"/>
        </w:rPr>
        <w:t>must</w:t>
      </w:r>
      <w:r>
        <w:rPr>
          <w:rFonts w:ascii="arial" w:eastAsia="arial" w:hAnsi="arial" w:cs="arial"/>
          <w:color w:val="000000"/>
          <w:sz w:val="20"/>
          <w:lang w:val="en-US" w:eastAsia="en-US" w:bidi="ar-SA"/>
        </w:rPr>
        <w:t xml:space="preserve"> be received for order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next delivery can be made.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demand was abrupt and not in keeping with the parties' communications to date. PJI BC had supplied commissary for over 5 months without requiring payment on the basis that the debt would be settled during the accounting. Further, the demand was made at a time when Mr. Paik and PJI BC knew that PJI Barnet was in dire financial straights. Mrs. Choi advised PJI BC that PJI Barnet could not afford to buy any more commissary and would be forced to go out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also important to keep in mind that PJI BC itself had been experiencing cash flow problems. It not only gained the advantage of the credit and debit card receipts to support its own business interests, but held itself secured against PJI Barnet's commissary debt without taking any of the risks of non or late payment occasioned by possible poor sales at PJI Barnet. In doing so, it preferred its own interests to those of its joint venture partner. In my view, the sudden demand by PJI BC on February 16, 2006 can only be explained by the fact that it faced the prospect of the credit and debit card sales not providing sufficient cash flow to offset ongoing deliveries of commissary.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requests by Mrs. Choi and Mr. Ahn for the breakdown of the construction fund expenses were never answered. Instead, Mr. Paik told them that they had to wait on the reconciliation to be carried out by PJI BC's external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Shortly thereafter, in very early March 2006, Mrs. Choi closed the doors of the Barnet outlet as she had no further product with which to make and sell pizza.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PJI BC, through Mr. Paik, then locked out Mrs. Choi and Mr. Ahn and ran the outlet without them, using equipment and the premises that had been paid for with Mrs. Choi's investment. While the Barnet outlet was eventually closed down in 2007, the equipment was installed at PJI BC's North Vancouver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no time did PJI BC fully contribute the sum of $135,000. In fact, Mr. Paik described the requests by Mrs. Choi and Mr. Ahn to put up PJI BC's contribution of $135,000 to be "nonsense".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for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Mrs. Choi claims that the Agreement should be rescinded on the basis that the post-contractual conduct of both Mr. Paik and PJI BC proves fraudulent intent at the time the representations were made. It was argued on behalf of Mrs. Choi that the post-contractual conduct of both Mr. Paik and PJI BC proves the case. During argument, it was submitted that: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account, as well as their ongoing efforts to delay the accounting;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provide information they had on hand when requested;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production of documents in this litigation late in the day;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retention by PJI BC of the credit and debit card receipts (being some 40% of the cash revenues of PJI Barnet) to assist PJI BC with its cash flow problems;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PJI BC needed Mrs. Choi's investment to advance its commercial interests with PJI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demonstrate that the representations were fraudulently made. Much was made of the fact that Mr. Paik knew that the construction and equipment costs would be approximately $160,000 to $170,000, and not $250,000, prior to the Agreement being entered into. That fact, taken with the previous examples, which are also described as a lack of good faith and loyalty, are said to make out the case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Pigott v. Nesbitt, Thomson &amp; Co.,</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[1941] S.C.R. 520</w:t>
        </w:r>
      </w:hyperlink>
      <w:r>
        <w:rPr>
          <w:rFonts w:ascii="arial" w:eastAsia="arial" w:hAnsi="arial" w:cs="arial"/>
          <w:color w:val="000000"/>
          <w:sz w:val="20"/>
          <w:lang w:val="en-US" w:eastAsia="en-US" w:bidi="ar-SA"/>
        </w:rPr>
        <w:t xml:space="preserve"> at 525-526, </w:t>
      </w:r>
      <w:hyperlink r:id="rId810" w:history="1">
        <w:r>
          <w:rPr>
            <w:rFonts w:ascii="arial" w:eastAsia="arial" w:hAnsi="arial" w:cs="arial"/>
            <w:i/>
            <w:color w:val="0077CC"/>
            <w:sz w:val="20"/>
            <w:u w:val="single"/>
            <w:shd w:val="clear" w:color="auto" w:fill="FFFFFF"/>
            <w:lang w:val="en-US" w:eastAsia="en-US" w:bidi="ar-SA"/>
          </w:rPr>
          <w:t>[1941] 4 D.L.R. 353</w:t>
        </w:r>
      </w:hyperlink>
      <w:r>
        <w:rPr>
          <w:rFonts w:ascii="arial" w:eastAsia="arial" w:hAnsi="arial" w:cs="arial"/>
          <w:color w:val="000000"/>
          <w:sz w:val="20"/>
          <w:lang w:val="en-US" w:eastAsia="en-US" w:bidi="ar-SA"/>
        </w:rPr>
        <w:t xml:space="preserve"> set out the requirements for fraudulent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settled law that the appellant may be found liable only if the statements of which the respondents complain were false and were made knowing them to be false, or with reckless disregard as to whether they were true or false. It is what the appellant thought the result of the enterprise would be that must be considered, and not what it turned out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difference between fraudulent and negligent misrepresentation was explained by the Ontario Court of Appeal in </w:t>
      </w:r>
      <w:r>
        <w:rPr>
          <w:rFonts w:ascii="arial" w:eastAsia="arial" w:hAnsi="arial" w:cs="arial"/>
          <w:b/>
          <w:i/>
          <w:color w:val="000000"/>
          <w:sz w:val="20"/>
          <w:lang w:val="en-US" w:eastAsia="en-US" w:bidi="ar-SA"/>
        </w:rPr>
        <w:t>McLaughlin v. Colvin</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[1941] 4 D.L.R. 568</w:t>
        </w:r>
      </w:hyperlink>
      <w:r>
        <w:rPr>
          <w:rFonts w:ascii="arial" w:eastAsia="arial" w:hAnsi="arial" w:cs="arial"/>
          <w:color w:val="000000"/>
          <w:sz w:val="20"/>
          <w:lang w:val="en-US" w:eastAsia="en-US" w:bidi="ar-SA"/>
        </w:rPr>
        <w:t xml:space="preserve"> at 583, aff'd </w:t>
      </w:r>
      <w:hyperlink r:id="rId812" w:history="1">
        <w:r>
          <w:rPr>
            <w:rFonts w:ascii="arial" w:eastAsia="arial" w:hAnsi="arial" w:cs="arial"/>
            <w:i/>
            <w:color w:val="0077CC"/>
            <w:sz w:val="20"/>
            <w:u w:val="single"/>
            <w:shd w:val="clear" w:color="auto" w:fill="FFFFFF"/>
            <w:lang w:val="en-US" w:eastAsia="en-US" w:bidi="ar-SA"/>
          </w:rPr>
          <w:t>[1942] 3 D.L.R. 292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he was negligent in not making sure and it may be that carelessness and wishful thinking combined to induce the representation which appellant made, but that is not enough to establish fraud in the absence of moral recklessness and a callous disregard as to whether the statement is false or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not satisfied, on the balance of probabilities, that the representations made to Mrs. Choi prior to her entering into the Agreement were made with the intention to deceive her at the time they were made nor am I satisfied that they were knowingly false or made with moral recklessness or a callous disregard as to whether the statements were true of false. In listening to Mr. Paik's evidence, it became clear to me that he saw the commercial relationship as a franchise arrangement, and that his view governed his thinking and his conduct as well as that of PJI BC throughout their dealings with Mrs. Choi. The examples cited by counsel for Mrs. Choi (see para. 71) are consistent with my 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Mr. Paik, and hence PJI BC, thought PJI BC's contribution of $135,000 included a credit towards goodwill and a franchise fee. The problem is that the Agreement does not speak of those amounts, nor can any reasonable interpretation of the Agreement be made to support the defendants' position. Further, to incorporate into the Agreement the defendants' notion that credits toward goodwill and a franchise fee were to be made offends the parol evidence rule: </w:t>
      </w:r>
      <w:r>
        <w:rPr>
          <w:rFonts w:ascii="arial" w:eastAsia="arial" w:hAnsi="arial" w:cs="arial"/>
          <w:b/>
          <w:i/>
          <w:color w:val="000000"/>
          <w:sz w:val="20"/>
          <w:lang w:val="en-US" w:eastAsia="en-US" w:bidi="ar-SA"/>
        </w:rPr>
        <w:t>Titcomb v. Millennium Canadian Productions Ltd.</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2003 BCSC 300</w:t>
        </w:r>
      </w:hyperlink>
      <w:r>
        <w:rPr>
          <w:rFonts w:ascii="arial" w:eastAsia="arial" w:hAnsi="arial" w:cs="arial"/>
          <w:color w:val="000000"/>
          <w:sz w:val="20"/>
          <w:lang w:val="en-US" w:eastAsia="en-US" w:bidi="ar-SA"/>
        </w:rPr>
        <w:t xml:space="preserve"> at paras. 21-23 and </w:t>
      </w:r>
      <w:r>
        <w:rPr>
          <w:rFonts w:ascii="arial" w:eastAsia="arial" w:hAnsi="arial" w:cs="arial"/>
          <w:b/>
          <w:i/>
          <w:color w:val="000000"/>
          <w:sz w:val="20"/>
          <w:lang w:val="en-US" w:eastAsia="en-US" w:bidi="ar-SA"/>
        </w:rPr>
        <w:t>Moore v. Trethewey</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2000 BCSC 457</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Justice Iacobucci set out the elements of negligent misrepresentation in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w:t>
      </w:r>
      <w:hyperlink r:id="rId815"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cited to S.C.R.]:</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There is no question that a relationship of proximity existed between Mrs. Choi and PJI BC at the time the representations were made, and thereafter. There was a duty on PJI BC, including Mr. Paik, representing it as its president, to exercise reasonable care in all of the circumstances and not to mislead Mrs. Choi. As Mr. Justice Iacobucci said in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at 117: "... it is not unreasonable to impose a duty of care in all the circumstances of this case; quite the contrary, it would be unreasonable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to impose such a duty."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principle from </w:t>
      </w:r>
      <w:r>
        <w:rPr>
          <w:rFonts w:ascii="arial" w:eastAsia="arial" w:hAnsi="arial" w:cs="arial"/>
          <w:b/>
          <w:i/>
          <w:color w:val="000000"/>
          <w:sz w:val="20"/>
          <w:lang w:val="en-US" w:eastAsia="en-US" w:bidi="ar-SA"/>
        </w:rPr>
        <w:t>Hedley Byrne &amp; Co., Ltd. v. Heller &amp; Partners, Ltd.,</w:t>
      </w:r>
      <w:r>
        <w:rPr>
          <w:rFonts w:ascii="arial" w:eastAsia="arial" w:hAnsi="arial" w:cs="arial"/>
          <w:color w:val="000000"/>
          <w:sz w:val="20"/>
          <w:lang w:val="en-US" w:eastAsia="en-US" w:bidi="ar-SA"/>
        </w:rPr>
        <w:t xml:space="preserve"> [1964] A.C. 465, [1963] 2 All E.R. 575 has been extended to pre-contractual representations: see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at 111-112.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a "special relationship" existed between Mrs. Choi and PJI BC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Paik knew, prior to the claim being entered into, that the costs of construction would be approximately $160,000 and failed to disclose that information to Mrs. Choi. That failure as well as his failure to disclose the plan to "pay" PJI BC a franchise fee and for goodwill out of its contribution to the joint venture in the circumstances amounts to a misrepresentation, which I find was negligently made. As I have said, I am satisfied that had Mrs. Choi known of that plan and known that the full amount of $135,000 would not be contributed on behalf of PJI BC, she would not have entered into the Agreement. There is no question that the defendants intended Mrs. Choi to act on Mr. Paik's misrepresentations as well as the contribution obligations set out in the Agreement, and there is no question that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Rescission may always be obtained for fraudulent representation, which induced a plaintiff to enter into an agreement. Rescission may also be obtained for non-fraudulent misrepresentation in cases where a plaintiff establishes the following requirements set out by the Court of Appeal in </w:t>
      </w:r>
      <w:r>
        <w:rPr>
          <w:rFonts w:ascii="arial" w:eastAsia="arial" w:hAnsi="arial" w:cs="arial"/>
          <w:b/>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at 20-21, </w:t>
      </w:r>
      <w:hyperlink r:id="rId816" w:history="1">
        <w:r>
          <w:rPr>
            <w:rFonts w:ascii="arial" w:eastAsia="arial" w:hAnsi="arial" w:cs="arial"/>
            <w:i/>
            <w:color w:val="0077CC"/>
            <w:sz w:val="20"/>
            <w:u w:val="single"/>
            <w:shd w:val="clear" w:color="auto" w:fill="FFFFFF"/>
            <w:lang w:val="en-US" w:eastAsia="en-US" w:bidi="ar-SA"/>
          </w:rPr>
          <w:t>38 C.C.L.T. 51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Kingu</w:t>
      </w:r>
      <w:r>
        <w:rPr>
          <w:rFonts w:ascii="arial" w:eastAsia="arial" w:hAnsi="arial" w:cs="arial"/>
          <w:color w:val="000000"/>
          <w:sz w:val="20"/>
          <w:lang w:val="en-US" w:eastAsia="en-US" w:bidi="ar-SA"/>
        </w:rPr>
        <w:t xml:space="preserve"> cited to B.C.L.R.]:</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positive misrepresentation must have been made by the defendant. (Where the defendant owes a fiduciary duty to the plaintiff ... failure to disclose material facts may suffice: </w:t>
      </w:r>
      <w:r>
        <w:rPr>
          <w:rFonts w:ascii="arial" w:eastAsia="arial" w:hAnsi="arial" w:cs="arial"/>
          <w:b/>
          <w:i/>
          <w:color w:val="000000"/>
          <w:sz w:val="20"/>
          <w:lang w:val="en-US" w:eastAsia="en-US" w:bidi="ar-SA"/>
        </w:rPr>
        <w:t>Laskin v. Bache &amp; Co</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[1972] 1 O.R. 465</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23 D.L.R. (3d) 385</w:t>
        </w:r>
      </w:hyperlink>
      <w:r>
        <w:rPr>
          <w:rFonts w:ascii="arial" w:eastAsia="arial" w:hAnsi="arial" w:cs="arial"/>
          <w:color w:val="000000"/>
          <w:sz w:val="20"/>
          <w:lang w:val="en-US" w:eastAsia="en-US" w:bidi="ar-SA"/>
        </w:rPr>
        <w:t xml:space="preserve"> (C.A.); Waddams, The Law of Contracts, 2nd ed. (1984), p. 262.</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must have been of an existing fact: </w:t>
      </w:r>
      <w:r>
        <w:rPr>
          <w:rFonts w:ascii="arial" w:eastAsia="arial" w:hAnsi="arial" w:cs="arial"/>
          <w:b/>
          <w:i/>
          <w:color w:val="000000"/>
          <w:sz w:val="20"/>
          <w:lang w:val="en-US" w:eastAsia="en-US" w:bidi="ar-SA"/>
        </w:rPr>
        <w:t>Anderson v. Pac. Fire Marine Ins. Co.</w:t>
      </w:r>
      <w:r>
        <w:rPr>
          <w:rFonts w:ascii="arial" w:eastAsia="arial" w:hAnsi="arial" w:cs="arial"/>
          <w:color w:val="000000"/>
          <w:sz w:val="20"/>
          <w:lang w:val="en-US" w:eastAsia="en-US" w:bidi="ar-SA"/>
        </w:rPr>
        <w:t xml:space="preserve"> (1872), L.R. 7 C.P. 65; see also </w:t>
      </w:r>
      <w:r>
        <w:rPr>
          <w:rFonts w:ascii="arial" w:eastAsia="arial" w:hAnsi="arial" w:cs="arial"/>
          <w:b/>
          <w:i/>
          <w:color w:val="000000"/>
          <w:sz w:val="20"/>
          <w:lang w:val="en-US" w:eastAsia="en-US" w:bidi="ar-SA"/>
        </w:rPr>
        <w:t>Bisset v. Wilkinson</w:t>
      </w:r>
      <w:r>
        <w:rPr>
          <w:rFonts w:ascii="arial" w:eastAsia="arial" w:hAnsi="arial" w:cs="arial"/>
          <w:color w:val="000000"/>
          <w:sz w:val="20"/>
          <w:lang w:val="en-US" w:eastAsia="en-US" w:bidi="ar-SA"/>
        </w:rPr>
        <w:t xml:space="preserve"> [1927] A.C. 177 (P.C.).</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must have been made with the intention that the plaintiff should act on it: </w:t>
      </w:r>
      <w:r>
        <w:rPr>
          <w:rFonts w:ascii="arial" w:eastAsia="arial" w:hAnsi="arial" w:cs="arial"/>
          <w:b/>
          <w:i/>
          <w:color w:val="000000"/>
          <w:sz w:val="20"/>
          <w:lang w:val="en-US" w:eastAsia="en-US" w:bidi="ar-SA"/>
        </w:rPr>
        <w:t>Peek v. Gurney</w:t>
      </w:r>
      <w:r>
        <w:rPr>
          <w:rFonts w:ascii="arial" w:eastAsia="arial" w:hAnsi="arial" w:cs="arial"/>
          <w:color w:val="000000"/>
          <w:sz w:val="20"/>
          <w:lang w:val="en-US" w:eastAsia="en-US" w:bidi="ar-SA"/>
        </w:rPr>
        <w:t xml:space="preserve"> (1873), L.R. 6 H.L. 377.</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must have induced the plaintiff to enter into the contract: </w:t>
      </w:r>
      <w:r>
        <w:rPr>
          <w:rFonts w:ascii="arial" w:eastAsia="arial" w:hAnsi="arial" w:cs="arial"/>
          <w:b/>
          <w:i/>
          <w:color w:val="000000"/>
          <w:sz w:val="20"/>
          <w:lang w:val="en-US" w:eastAsia="en-US" w:bidi="ar-SA"/>
        </w:rPr>
        <w:t>Shortt v. MacLennan</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[1959] S.C.R. 3</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16 D.L.R. (2d) 161</w:t>
        </w:r>
      </w:hyperlink>
      <w:r>
        <w:rPr>
          <w:rFonts w:ascii="arial" w:eastAsia="arial" w:hAnsi="arial" w:cs="arial"/>
          <w:color w:val="000000"/>
          <w:sz w:val="20"/>
          <w:lang w:val="en-US" w:eastAsia="en-US" w:bidi="ar-SA"/>
        </w:rPr>
        <w:t xml:space="preserve"> (Ont.).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have acted promptly after learning of the misrepresentation to disaffirm the contract: </w:t>
      </w:r>
      <w:r>
        <w:rPr>
          <w:rFonts w:ascii="arial" w:eastAsia="arial" w:hAnsi="arial" w:cs="arial"/>
          <w:b/>
          <w:i/>
          <w:color w:val="000000"/>
          <w:sz w:val="20"/>
          <w:lang w:val="en-US" w:eastAsia="en-US" w:bidi="ar-SA"/>
        </w:rPr>
        <w:t>Clough v. L.N.W</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Ry</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(1871), L.R. 7 Exch. 26; </w:t>
      </w:r>
      <w:r>
        <w:rPr>
          <w:rFonts w:ascii="arial" w:eastAsia="arial" w:hAnsi="arial" w:cs="arial"/>
          <w:b/>
          <w:i/>
          <w:color w:val="000000"/>
          <w:sz w:val="20"/>
          <w:lang w:val="en-US" w:eastAsia="en-US" w:bidi="ar-SA"/>
        </w:rPr>
        <w:t>Wallbridge v. W.H. Moore &amp; Co., W.H. Moore &amp; Co. v. Baldry</w:t>
      </w:r>
      <w:r>
        <w:rPr>
          <w:rFonts w:ascii="arial" w:eastAsia="arial" w:hAnsi="arial" w:cs="arial"/>
          <w:color w:val="000000"/>
          <w:sz w:val="20"/>
          <w:lang w:val="en-US" w:eastAsia="en-US" w:bidi="ar-SA"/>
        </w:rPr>
        <w:t xml:space="preserve"> (1964), 48 W.W.R. 321 (B.C.S.C.); </w:t>
      </w:r>
      <w:r>
        <w:rPr>
          <w:rFonts w:ascii="arial" w:eastAsia="arial" w:hAnsi="arial" w:cs="arial"/>
          <w:b/>
          <w:i/>
          <w:color w:val="000000"/>
          <w:sz w:val="20"/>
          <w:lang w:val="en-US" w:eastAsia="en-US" w:bidi="ar-SA"/>
        </w:rPr>
        <w:t>Dodds v. Millman</w:t>
      </w:r>
      <w:r>
        <w:rPr>
          <w:rFonts w:ascii="arial" w:eastAsia="arial" w:hAnsi="arial" w:cs="arial"/>
          <w:color w:val="000000"/>
          <w:sz w:val="20"/>
          <w:lang w:val="en-US" w:eastAsia="en-US" w:bidi="ar-SA"/>
        </w:rPr>
        <w:t xml:space="preserve"> (1964), 47 W.W.R. 690, </w:t>
      </w:r>
      <w:hyperlink r:id="rId819" w:history="1">
        <w:r>
          <w:rPr>
            <w:rFonts w:ascii="arial" w:eastAsia="arial" w:hAnsi="arial" w:cs="arial"/>
            <w:i/>
            <w:color w:val="0077CC"/>
            <w:sz w:val="20"/>
            <w:u w:val="single"/>
            <w:shd w:val="clear" w:color="auto" w:fill="FFFFFF"/>
            <w:lang w:val="en-US" w:eastAsia="en-US" w:bidi="ar-SA"/>
          </w:rPr>
          <w:t>45 D.L.R. (2d) 472</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Bango v. Holt</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[1971] 5 W.W.R. 522</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21 D.L.R. (3d) 66</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Timmins v. Kuzyk</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(1962), 32 D.L.R. (2d) 207</w:t>
        </w:r>
      </w:hyperlink>
      <w:r>
        <w:rPr>
          <w:rFonts w:ascii="arial" w:eastAsia="arial" w:hAnsi="arial" w:cs="arial"/>
          <w:color w:val="000000"/>
          <w:sz w:val="20"/>
          <w:lang w:val="en-US" w:eastAsia="en-US" w:bidi="ar-SA"/>
        </w:rPr>
        <w:t xml:space="preserve"> (B.C.S.C.).</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innocent third parties must have acquired rights for value with respect to the contract property: </w:t>
      </w:r>
      <w:r>
        <w:rPr>
          <w:rFonts w:ascii="arial" w:eastAsia="arial" w:hAnsi="arial" w:cs="arial"/>
          <w:b/>
          <w:i/>
          <w:color w:val="000000"/>
          <w:sz w:val="20"/>
          <w:lang w:val="en-US" w:eastAsia="en-US" w:bidi="ar-SA"/>
        </w:rPr>
        <w:t>Babcock v. Lawson</w:t>
      </w:r>
      <w:r>
        <w:rPr>
          <w:rFonts w:ascii="arial" w:eastAsia="arial" w:hAnsi="arial" w:cs="arial"/>
          <w:color w:val="000000"/>
          <w:sz w:val="20"/>
          <w:lang w:val="en-US" w:eastAsia="en-US" w:bidi="ar-SA"/>
        </w:rPr>
        <w:t xml:space="preserve"> (1880), 5 Q.B.D. 284 (C.A.).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possible to restore the parties substantially to their pre-contract position: </w:t>
      </w:r>
      <w:r>
        <w:rPr>
          <w:rFonts w:ascii="arial" w:eastAsia="arial" w:hAnsi="arial" w:cs="arial"/>
          <w:b/>
          <w:i/>
          <w:color w:val="000000"/>
          <w:sz w:val="20"/>
          <w:lang w:val="en-US" w:eastAsia="en-US" w:bidi="ar-SA"/>
        </w:rPr>
        <w:t>Redgrave v. Hurd</w:t>
      </w:r>
      <w:r>
        <w:rPr>
          <w:rFonts w:ascii="arial" w:eastAsia="arial" w:hAnsi="arial" w:cs="arial"/>
          <w:color w:val="000000"/>
          <w:sz w:val="20"/>
          <w:lang w:val="en-US" w:eastAsia="en-US" w:bidi="ar-SA"/>
        </w:rPr>
        <w:t xml:space="preserve"> (1881), 20 Ch. D. 1 (C.A.); </w:t>
      </w:r>
      <w:r>
        <w:rPr>
          <w:rFonts w:ascii="arial" w:eastAsia="arial" w:hAnsi="arial" w:cs="arial"/>
          <w:b/>
          <w:i/>
          <w:color w:val="000000"/>
          <w:sz w:val="20"/>
          <w:lang w:val="en-US" w:eastAsia="en-US" w:bidi="ar-SA"/>
        </w:rPr>
        <w:t>Schlote v. Richardson</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[1951] O.R. 58</w:t>
        </w:r>
      </w:hyperlink>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[1951] 2 D.L.R. 233</w:t>
        </w:r>
      </w:hyperlink>
      <w:r>
        <w:rPr>
          <w:rFonts w:ascii="arial" w:eastAsia="arial" w:hAnsi="arial" w:cs="arial"/>
          <w:color w:val="000000"/>
          <w:sz w:val="20"/>
          <w:lang w:val="en-US" w:eastAsia="en-US" w:bidi="ar-SA"/>
        </w:rPr>
        <w:t xml:space="preserve"> (H.C.); </w:t>
      </w:r>
      <w:r>
        <w:rPr>
          <w:rFonts w:ascii="arial" w:eastAsia="arial" w:hAnsi="arial" w:cs="arial"/>
          <w:b/>
          <w:i/>
          <w:color w:val="000000"/>
          <w:sz w:val="20"/>
          <w:lang w:val="en-US" w:eastAsia="en-US" w:bidi="ar-SA"/>
        </w:rPr>
        <w:t>McLaughlin v. Colvin</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[1941] 4 D.L.R. 568</w:t>
        </w:r>
      </w:hyperlink>
      <w:r>
        <w:rPr>
          <w:rFonts w:ascii="arial" w:eastAsia="arial" w:hAnsi="arial" w:cs="arial"/>
          <w:color w:val="000000"/>
          <w:sz w:val="20"/>
          <w:lang w:val="en-US" w:eastAsia="en-US" w:bidi="ar-SA"/>
        </w:rPr>
        <w:t xml:space="preserve">, affirmed </w:t>
      </w:r>
      <w:hyperlink r:id="rId812" w:history="1">
        <w:r>
          <w:rPr>
            <w:rFonts w:ascii="arial" w:eastAsia="arial" w:hAnsi="arial" w:cs="arial"/>
            <w:i/>
            <w:color w:val="0077CC"/>
            <w:sz w:val="20"/>
            <w:u w:val="single"/>
            <w:shd w:val="clear" w:color="auto" w:fill="FFFFFF"/>
            <w:lang w:val="en-US" w:eastAsia="en-US" w:bidi="ar-SA"/>
          </w:rPr>
          <w:t>[1942] 3 D.L.R. 292</w:t>
        </w:r>
      </w:hyperlink>
      <w:r>
        <w:rPr>
          <w:rFonts w:ascii="arial" w:eastAsia="arial" w:hAnsi="arial" w:cs="arial"/>
          <w:color w:val="000000"/>
          <w:sz w:val="20"/>
          <w:lang w:val="en-US" w:eastAsia="en-US" w:bidi="ar-SA"/>
        </w:rPr>
        <w:t xml:space="preserve"> (S.C.C.) (Ont.); </w:t>
      </w:r>
      <w:r>
        <w:rPr>
          <w:rFonts w:ascii="arial" w:eastAsia="arial" w:hAnsi="arial" w:cs="arial"/>
          <w:b/>
          <w:i/>
          <w:color w:val="000000"/>
          <w:sz w:val="20"/>
          <w:lang w:val="en-US" w:eastAsia="en-US" w:bidi="ar-SA"/>
        </w:rPr>
        <w:t>Friesen v. Berta</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(1979), 100 D.L.R. (3d) 91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Andronyk v. Williams</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[1986] 1 W.W.R. 225</w:t>
        </w:r>
      </w:hyperlink>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21 D.L.R. (4th) 557</w:t>
        </w:r>
      </w:hyperlink>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36 Man. R. (2d) 161</w:t>
        </w:r>
      </w:hyperlink>
      <w:r>
        <w:rPr>
          <w:rFonts w:ascii="arial" w:eastAsia="arial" w:hAnsi="arial" w:cs="arial"/>
          <w:color w:val="000000"/>
          <w:sz w:val="20"/>
          <w:lang w:val="en-US" w:eastAsia="en-US" w:bidi="ar-SA"/>
        </w:rPr>
        <w:t xml:space="preserve"> (C.A.).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executed contract for the sale of an interest in land will not be rescinded unless fraud is shown: </w:t>
      </w:r>
      <w:r>
        <w:rPr>
          <w:rFonts w:ascii="arial" w:eastAsia="arial" w:hAnsi="arial" w:cs="arial"/>
          <w:b/>
          <w:i/>
          <w:color w:val="000000"/>
          <w:sz w:val="20"/>
          <w:lang w:val="en-US" w:eastAsia="en-US" w:bidi="ar-SA"/>
        </w:rPr>
        <w:t>Redican v. Nesbitt</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[1924] S.C.R. 135</w:t>
        </w:r>
      </w:hyperlink>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[1924] 1 W.W.R. 305</w:t>
        </w:r>
      </w:hyperlink>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[1924] 1 D.L.R. 536</w:t>
        </w:r>
      </w:hyperlink>
      <w:r>
        <w:rPr>
          <w:rFonts w:ascii="arial" w:eastAsia="arial" w:hAnsi="arial" w:cs="arial"/>
          <w:color w:val="000000"/>
          <w:sz w:val="20"/>
          <w:lang w:val="en-US" w:eastAsia="en-US" w:bidi="ar-SA"/>
        </w:rPr>
        <w:t xml:space="preserve"> [Ont.]; </w:t>
      </w:r>
      <w:r>
        <w:rPr>
          <w:rFonts w:ascii="arial" w:eastAsia="arial" w:hAnsi="arial" w:cs="arial"/>
          <w:b/>
          <w:i/>
          <w:color w:val="000000"/>
          <w:sz w:val="20"/>
          <w:lang w:val="en-US" w:eastAsia="en-US" w:bidi="ar-SA"/>
        </w:rPr>
        <w:t>Shortt v. MacLennan</w:t>
      </w:r>
      <w:r>
        <w:rPr>
          <w:rFonts w:ascii="arial" w:eastAsia="arial" w:hAnsi="arial" w:cs="arial"/>
          <w:color w:val="000000"/>
          <w:sz w:val="20"/>
          <w:lang w:val="en-US" w:eastAsia="en-US" w:bidi="ar-SA"/>
        </w:rPr>
        <w:t xml:space="preserve">, supra; </w:t>
      </w:r>
      <w:r>
        <w:rPr>
          <w:rFonts w:ascii="arial" w:eastAsia="arial" w:hAnsi="arial" w:cs="arial"/>
          <w:b/>
          <w:i/>
          <w:color w:val="000000"/>
          <w:sz w:val="20"/>
          <w:lang w:val="en-US" w:eastAsia="en-US" w:bidi="ar-SA"/>
        </w:rPr>
        <w:t>Kragh-Hansen v. Kin-Com Const. &amp; Dev. Ltd.</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(1979), 13 R.P.R. 22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Riding Mountain Excavating Ltd. v. K &amp; D Farm Corp.</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[1999] B.C.J. No. 1134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first seven requirements in </w:t>
      </w:r>
      <w:r>
        <w:rPr>
          <w:rFonts w:ascii="arial" w:eastAsia="arial" w:hAnsi="arial" w:cs="arial"/>
          <w:b/>
          <w:i/>
          <w:color w:val="000000"/>
          <w:sz w:val="20"/>
          <w:lang w:val="en-US" w:eastAsia="en-US" w:bidi="ar-SA"/>
        </w:rPr>
        <w:t>Kingu</w:t>
      </w:r>
      <w:r>
        <w:rPr>
          <w:rFonts w:ascii="arial" w:eastAsia="arial" w:hAnsi="arial" w:cs="arial"/>
          <w:color w:val="000000"/>
          <w:sz w:val="20"/>
          <w:lang w:val="en-US" w:eastAsia="en-US" w:bidi="ar-SA"/>
        </w:rPr>
        <w:t xml:space="preserve"> have been met by Mrs. Choi and the eighth, "(h)", is not an issue in the case. Thus, the case for rescission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Rescission is also possible where one party has so failed to perform its contractual obligations that the failure is seen as "substantial". In </w:t>
      </w:r>
      <w:r>
        <w:rPr>
          <w:rFonts w:ascii="arial" w:eastAsia="arial" w:hAnsi="arial" w:cs="arial"/>
          <w:b/>
          <w:i/>
          <w:color w:val="000000"/>
          <w:sz w:val="20"/>
          <w:lang w:val="en-US" w:eastAsia="en-US" w:bidi="ar-SA"/>
        </w:rPr>
        <w:t>Sabol v. McLaughlin</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2008 BCSC 402</w:t>
        </w:r>
      </w:hyperlink>
      <w:r>
        <w:rPr>
          <w:rFonts w:ascii="arial" w:eastAsia="arial" w:hAnsi="arial" w:cs="arial"/>
          <w:color w:val="000000"/>
          <w:sz w:val="20"/>
          <w:lang w:val="en-US" w:eastAsia="en-US" w:bidi="ar-SA"/>
        </w:rPr>
        <w:t xml:space="preserve"> at para. 16, when dealing with a claim for rescission, Mr. Justice Hinkson cited the decision of Mr. Justice Bastarache in </w:t>
      </w:r>
      <w:r>
        <w:rPr>
          <w:rFonts w:ascii="arial" w:eastAsia="arial" w:hAnsi="arial" w:cs="arial"/>
          <w:b/>
          <w:i/>
          <w:color w:val="000000"/>
          <w:sz w:val="20"/>
          <w:lang w:val="en-US" w:eastAsia="en-US" w:bidi="ar-SA"/>
        </w:rPr>
        <w:t>Sail Labrador Ltd. v. Challenge One (The)</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[1999] 1 S.C.R. 265</w:t>
        </w:r>
      </w:hyperlink>
      <w:r>
        <w:rPr>
          <w:rFonts w:ascii="arial" w:eastAsia="arial" w:hAnsi="arial" w:cs="arial"/>
          <w:color w:val="000000"/>
          <w:sz w:val="20"/>
          <w:lang w:val="en-US" w:eastAsia="en-US" w:bidi="ar-SA"/>
        </w:rPr>
        <w:t xml:space="preserve"> at para. 31, </w:t>
      </w:r>
      <w:hyperlink r:id="rId829" w:history="1">
        <w:r>
          <w:rPr>
            <w:rFonts w:ascii="arial" w:eastAsia="arial" w:hAnsi="arial" w:cs="arial"/>
            <w:i/>
            <w:color w:val="0077CC"/>
            <w:sz w:val="20"/>
            <w:u w:val="single"/>
            <w:shd w:val="clear" w:color="auto" w:fill="FFFFFF"/>
            <w:lang w:val="en-US" w:eastAsia="en-US" w:bidi="ar-SA"/>
          </w:rPr>
          <w:t>169 D.L.R. (4th) 1</w:t>
        </w:r>
      </w:hyperlink>
      <w:r>
        <w:rPr>
          <w:rFonts w:ascii="arial" w:eastAsia="arial" w:hAnsi="arial" w:cs="arial"/>
          <w:color w:val="000000"/>
          <w:sz w:val="20"/>
          <w:lang w:val="en-US" w:eastAsia="en-US" w:bidi="ar-SA"/>
        </w:rPr>
        <w:t>, where Bastarache J. discussed the remedy of rescission: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Treitel and Waddams recognize that, as a general rule, parties to a contract must perform their obligations specifically as dictated by the contract. However, if the performance is deficient, for example in quality, quantity or timeliness, it is accepted that the defect in performance must attain a certain minimum degree of seriousness to entitle the non-offending party to rescind the contract. The failure in performance must substantially deprive the other party of what was bargained for. This concept is referred to as substantial non-performance or as a requirement that a breach go the "root" of the contract. In English legal literature, the expression "substantial failure" is used. If this minimum standard is not met, rescission will not be available to the non-offending party. This party will be forced to settle for a remedy in damages. Thus, courts are concerned with the consequences of the deficient performance and the nature of the prejudice caused to the non-offending party when determining whether rescission is available (Treitel, at pp. 685-86; Waddams, at pp. 394-96). The case of </w:t>
      </w:r>
      <w:r>
        <w:rPr>
          <w:rFonts w:ascii="arial" w:eastAsia="arial" w:hAnsi="arial" w:cs="arial"/>
          <w:b/>
          <w:i/>
          <w:color w:val="000000"/>
          <w:sz w:val="20"/>
          <w:lang w:val="en-US" w:eastAsia="en-US" w:bidi="ar-SA"/>
        </w:rPr>
        <w:t>Hongkong Fir Shipping Co. v. Kawasaki Kisen Kaisha Ltd.</w:t>
      </w:r>
      <w:r>
        <w:rPr>
          <w:rFonts w:ascii="arial" w:eastAsia="arial" w:hAnsi="arial" w:cs="arial"/>
          <w:color w:val="000000"/>
          <w:sz w:val="20"/>
          <w:lang w:val="en-US" w:eastAsia="en-US" w:bidi="ar-SA"/>
        </w:rPr>
        <w:t>, [1962] 2 Q.B, 26 (C.A.), stands for the proposition that courts will apply this type of substantial non-performance test to determine if rescission is available in cases involving charter party contracts like the one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Agreement should be rescinded. I say that not only because of the negligent misrepresentations made to Mrs. Choi, but also due to PJI BC's substantial non-performance of certain fundamental terms of the Agreement contemplated in </w:t>
      </w:r>
      <w:r>
        <w:rPr>
          <w:rFonts w:ascii="arial" w:eastAsia="arial" w:hAnsi="arial" w:cs="arial"/>
          <w:b/>
          <w:i/>
          <w:color w:val="000000"/>
          <w:sz w:val="20"/>
          <w:lang w:val="en-US" w:eastAsia="en-US" w:bidi="ar-SA"/>
        </w:rPr>
        <w:t>Sail Labrador Ltd</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Rescission is also available in circumstances where there is some unconscionable conduct of such a nature so as to render the bargain questionable on equitable grounds. In </w:t>
      </w:r>
      <w:r>
        <w:rPr>
          <w:rFonts w:ascii="arial" w:eastAsia="arial" w:hAnsi="arial" w:cs="arial"/>
          <w:b/>
          <w:i/>
          <w:color w:val="000000"/>
          <w:sz w:val="20"/>
          <w:lang w:val="en-US" w:eastAsia="en-US" w:bidi="ar-SA"/>
        </w:rPr>
        <w:t>Sabol,</w:t>
      </w:r>
      <w:r>
        <w:rPr>
          <w:rFonts w:ascii="arial" w:eastAsia="arial" w:hAnsi="arial" w:cs="arial"/>
          <w:color w:val="000000"/>
          <w:sz w:val="20"/>
          <w:lang w:val="en-US" w:eastAsia="en-US" w:bidi="ar-SA"/>
        </w:rPr>
        <w:t xml:space="preserve"> at para. 18, Mr. Justice Hinkson quoted from Professor Fridman in his text </w:t>
      </w:r>
      <w:r>
        <w:rPr>
          <w:rFonts w:ascii="arial" w:eastAsia="arial" w:hAnsi="arial" w:cs="arial"/>
          <w:b/>
          <w:i/>
          <w:color w:val="000000"/>
          <w:sz w:val="20"/>
          <w:lang w:val="en-US" w:eastAsia="en-US" w:bidi="ar-SA"/>
        </w:rPr>
        <w:t>The Law of Contract in Canada</w:t>
      </w:r>
      <w:r>
        <w:rPr>
          <w:rFonts w:ascii="arial" w:eastAsia="arial" w:hAnsi="arial" w:cs="arial"/>
          <w:color w:val="000000"/>
          <w:sz w:val="20"/>
          <w:lang w:val="en-US" w:eastAsia="en-US" w:bidi="ar-SA"/>
        </w:rPr>
        <w:t>, 5th ed. (Toronto: Carswell, 2006) where at 813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More frequently the jurisdiction of the court to rescind a contract on equitable grounds is invoked in three main instances. The first is where the contract resulted from some fraud, which induced a mistake on the part of the defrauded party. The second is where the mistake in question was the result of an innocent, non-fraudulent misrepresentation. The third, which comprehends a somewhat mixed variety of instances, though sharing a general underlying character, is where the contract was procured, without fraud in the common-law sense, but as a consequence of what in equity is regarded as fraud, that is, by the use of undue influence, or some unconscionable conduct which renders the bargain questionable on equitable grounds, even though it may be perfectly valid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post-contractual conduct complained of by counsel for Mrs. Choi (see para. 71) constitutes unconscionable conduct of a type described by Professor Fridman. Thus, the equitable character of the entire transaction is such that the Agreement should be rescinded.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Here, the defendants' sudden demand for payment before any further commissary would be supplied in circumstances where: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Choi and Mr. Ahn had been led to believe that payment would be resolved in the accounting;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Choi and Mr. Ahn's requests for commissary costs and particulars of the renovation costs and equipment purchases were never answered;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accounting was continually delayed by Mr. Paik and PJI BC;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of the cash flow problems faced by Mrs. Choi and PJI Barnet,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meant that Mrs. Choi was effectively denied the opportunity to carry out the business contemplated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closure of the Barnet outlet in early March, 2006 was the consequence of the defendants' conduct. The result is that Mrs. Choi lost her investment of $135,000 in less than six months, PJI BC advanced its commercial interests with Papa John USA, PJI BC was paid in full for the commissary out of the credit and debit card receipts, and PJI BC used all of Mrs. Choi's investment and very little of its own money to set up the Barnet outlet and purchase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Submissions were made on behalf of Mr. Paik and PJI BC that Mrs. Choi's claim for rescission should be dismissed on the basis that she acquiesced in breaches of contract permitted by PJI BC. In my view, this defence does not accord with the evidence, which shows that Mrs. Choi and Mr. Ahn repeatedly requested a breakdown of construction costs, a list of the equipment costs and accounting, and payment of credit and debit receipts. Their requests were continually postponed by Mr. Paik. The evidence makes it clear that Mrs. Choi and Mr. Ahn were never able to satisfy themselves until after this litigation commenced that PJI BC had not made the payments required under the Agreement and as promised by Mr. Paik and PJI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Duty of Good Faith &amp;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According to Michael Ng, </w:t>
      </w:r>
      <w:r>
        <w:rPr>
          <w:rFonts w:ascii="arial" w:eastAsia="arial" w:hAnsi="arial" w:cs="arial"/>
          <w:b/>
          <w:i/>
          <w:color w:val="000000"/>
          <w:sz w:val="20"/>
          <w:lang w:val="en-US" w:eastAsia="en-US" w:bidi="ar-SA"/>
        </w:rPr>
        <w:t>Fiduciary Duties: Obligations of Loyalty and Faithfulness</w:t>
      </w:r>
      <w:r>
        <w:rPr>
          <w:rFonts w:ascii="arial" w:eastAsia="arial" w:hAnsi="arial" w:cs="arial"/>
          <w:color w:val="000000"/>
          <w:sz w:val="20"/>
          <w:lang w:val="en-US" w:eastAsia="en-US" w:bidi="ar-SA"/>
        </w:rPr>
        <w:t>, looseleaf (Aurora, ON: Canada Law Book, 2007) at section 5:50.20 on Co-Venturers: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joint venture, which is essentially a partnership premised on a contract and usually existing only for a single undertaking, may give rise to a fiduciary relationship between the co-venturers.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characteristics of joint ventures have been summarised by the British Columbia Court of Appeal in </w:t>
      </w:r>
      <w:r>
        <w:rPr>
          <w:rFonts w:ascii="arial" w:eastAsia="arial" w:hAnsi="arial" w:cs="arial"/>
          <w:b/>
          <w:i/>
          <w:color w:val="000000"/>
          <w:sz w:val="20"/>
          <w:lang w:val="en-US" w:eastAsia="en-US" w:bidi="ar-SA"/>
        </w:rPr>
        <w:t>Canlan Investment Corp. v. Gettling</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(1997), 37 B.C.L.R. (3d) 140</w:t>
        </w:r>
      </w:hyperlink>
      <w:r>
        <w:rPr>
          <w:rFonts w:ascii="arial" w:eastAsia="arial" w:hAnsi="arial" w:cs="arial"/>
          <w:color w:val="000000"/>
          <w:sz w:val="20"/>
          <w:lang w:val="en-US" w:eastAsia="en-US" w:bidi="ar-SA"/>
        </w:rPr>
        <w:t xml:space="preserve"> at para. 31, </w:t>
      </w:r>
      <w:hyperlink r:id="rId830" w:history="1">
        <w:r>
          <w:rPr>
            <w:rFonts w:ascii="arial" w:eastAsia="arial" w:hAnsi="arial" w:cs="arial"/>
            <w:i/>
            <w:color w:val="0077CC"/>
            <w:sz w:val="20"/>
            <w:u w:val="single"/>
            <w:shd w:val="clear" w:color="auto" w:fill="FFFFFF"/>
            <w:lang w:val="en-US" w:eastAsia="en-US" w:bidi="ar-SA"/>
          </w:rPr>
          <w:t>95 B.C.A.C. 16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refer ... to pp. 563-5 of [</w:t>
      </w:r>
      <w:r>
        <w:rPr>
          <w:rFonts w:ascii="arial" w:eastAsia="arial" w:hAnsi="arial" w:cs="arial"/>
          <w:b/>
          <w:i/>
          <w:color w:val="000000"/>
          <w:sz w:val="20"/>
          <w:lang w:val="en-US" w:eastAsia="en-US" w:bidi="ar-SA"/>
        </w:rPr>
        <w:t>Williston on Contracts</w:t>
      </w:r>
      <w:r>
        <w:rPr>
          <w:rFonts w:ascii="arial" w:eastAsia="arial" w:hAnsi="arial" w:cs="arial"/>
          <w:color w:val="000000"/>
          <w:sz w:val="20"/>
          <w:lang w:val="en-US" w:eastAsia="en-US" w:bidi="ar-SA"/>
        </w:rPr>
        <w:t>, 3d ed., (N.Y., 1959)] and in particular to p. 563:</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Besides the requirement that a joint venture must have a contractual basis</w:t>
      </w:r>
      <w:r>
        <w:rPr>
          <w:rFonts w:ascii="arial" w:eastAsia="arial" w:hAnsi="arial" w:cs="arial"/>
          <w:color w:val="000000"/>
          <w:sz w:val="20"/>
          <w:lang w:val="en-US" w:eastAsia="en-US" w:bidi="ar-SA"/>
        </w:rPr>
        <w:t>, the courts have laid down certain additional requisites deemed essential by the existence of a joint venture. Although its existence depends on the facts and circumstances of each particular case, and while no definite rules have been promulgated which will apply generally to all situations, the decisions are in substantial agreement that the following factors must be present: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by the parties of money, property, effort, knowledge, skill or other asset to a common undertaking;</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joint property interest in the subject matter of the venture;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of mutual control or management of the enterprise;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Expectation of profit, or the presence of "adventure", as it is sometimes called;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to participate in the profits;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usually, limitation of the objective to a single undertaking or ad hoc enterprise.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case, I find and, in fact, the parties have agreed that their relationship was that of a joint venture. The relationship between the parties to a joint venture may, but not always, be fiduciary: see Ng at 5-59.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Zynik Capital Corp. v. Faris</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(2007), 30 B.L.R. (4th) 32</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2007 BCSC 527</w:t>
        </w:r>
      </w:hyperlink>
      <w:r>
        <w:rPr>
          <w:rFonts w:ascii="arial" w:eastAsia="arial" w:hAnsi="arial" w:cs="arial"/>
          <w:color w:val="000000"/>
          <w:sz w:val="20"/>
          <w:lang w:val="en-US" w:eastAsia="en-US" w:bidi="ar-SA"/>
        </w:rPr>
        <w:t xml:space="preserve"> Mr. Justice Tysoe went further at paras. 130-131, finding that fiduciary duties are owed once a joint venture is formed: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Zynik relies on the following passage from </w:t>
      </w:r>
      <w:r>
        <w:rPr>
          <w:rFonts w:ascii="arial" w:eastAsia="arial" w:hAnsi="arial" w:cs="arial"/>
          <w:b/>
          <w:i/>
          <w:color w:val="000000"/>
          <w:sz w:val="20"/>
          <w:lang w:val="en-US" w:eastAsia="en-US" w:bidi="ar-SA"/>
        </w:rPr>
        <w:t>Wonsch Construction Co. v. National Bank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75 D.L.R. (4th) 732</w:t>
      </w:r>
      <w:r>
        <w:rPr>
          <w:rFonts w:ascii="arial" w:eastAsia="arial" w:hAnsi="arial" w:cs="arial"/>
          <w:color w:val="000000"/>
          <w:sz w:val="20"/>
          <w:lang w:val="en-US" w:eastAsia="en-US" w:bidi="ar-SA"/>
        </w:rPr>
        <w:t xml:space="preserve"> (Ont. C.A.), at pp. 740-1 for the proposition that joint venturers owe fiduciary duties to each 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trial Judge's observations on this subject appear at pp. 19-20 of his reasons ... in the following terms: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common to all parties that Victoria Park Place constituted a joint venture project. It is my view that a joint venture relationship was created between W.C.C.L. and Danzig governed by the joint venture agreement entered into by those parties. It is also my view that the terms of that agreement govern the relationship between W.C.C.L. and Danzig. Where the agreement is, however, silent, the common law superimposes various duties between joint venturers.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now accepted that joint venturers owe fiduciary duties to each other similar to those owed by partners: </w:t>
      </w:r>
      <w:r>
        <w:rPr>
          <w:rFonts w:ascii="arial" w:eastAsia="arial" w:hAnsi="arial" w:cs="arial"/>
          <w:b/>
          <w:i/>
          <w:color w:val="000000"/>
          <w:sz w:val="20"/>
          <w:lang w:val="en-US" w:eastAsia="en-US" w:bidi="ar-SA"/>
        </w:rPr>
        <w:t>Hogar Estates Ltd. v. Shebron Holdings Ltd.</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(1979), 25 O.R. (2d) 543</w:t>
        </w:r>
      </w:hyperlink>
      <w:r>
        <w:rPr>
          <w:rFonts w:ascii="arial" w:eastAsia="arial" w:hAnsi="arial" w:cs="arial"/>
          <w:color w:val="000000"/>
          <w:sz w:val="20"/>
          <w:lang w:val="en-US" w:eastAsia="en-US" w:bidi="ar-SA"/>
        </w:rPr>
        <w:t xml:space="preserve"> (H.C.J.). In general, the fiduciary duties owed by a joint venturer to another joint venturer involve the "reciprocal obligations of good faith and loyalty as regards the common interest in the common venture": </w:t>
      </w:r>
      <w:r>
        <w:rPr>
          <w:rFonts w:ascii="arial" w:eastAsia="arial" w:hAnsi="arial" w:cs="arial"/>
          <w:b/>
          <w:i/>
          <w:color w:val="000000"/>
          <w:sz w:val="20"/>
          <w:lang w:val="en-US" w:eastAsia="en-US" w:bidi="ar-SA"/>
        </w:rPr>
        <w:t>Hitchcock v. Sykes</w:t>
      </w:r>
      <w:r>
        <w:rPr>
          <w:rFonts w:ascii="arial" w:eastAsia="arial" w:hAnsi="arial" w:cs="arial"/>
          <w:color w:val="000000"/>
          <w:sz w:val="20"/>
          <w:lang w:val="en-US" w:eastAsia="en-US" w:bidi="ar-SA"/>
        </w:rPr>
        <w:t xml:space="preserve"> (1914), 23 D.L.R. 518 at 521 (S.C.C.), per Duff J. In particular, the duties include: (a) the duty of full disclosure; (b) the duty not to make secret profits; and (c) the duty not to compete with the business: </w:t>
      </w:r>
      <w:r>
        <w:rPr>
          <w:rFonts w:ascii="arial" w:eastAsia="arial" w:hAnsi="arial" w:cs="arial"/>
          <w:b/>
          <w:i/>
          <w:color w:val="000000"/>
          <w:sz w:val="20"/>
          <w:lang w:val="en-US" w:eastAsia="en-US" w:bidi="ar-SA"/>
        </w:rPr>
        <w:t>Meinhard v. Salmon</w:t>
      </w:r>
      <w:r>
        <w:rPr>
          <w:rFonts w:ascii="arial" w:eastAsia="arial" w:hAnsi="arial" w:cs="arial"/>
          <w:color w:val="000000"/>
          <w:sz w:val="20"/>
          <w:lang w:val="en-US" w:eastAsia="en-US" w:bidi="ar-SA"/>
        </w:rPr>
        <w:t xml:space="preserve"> (1928), 164 N.E. 545 (N.Y.C.A.), per Cardozo J. See generally S. Goldenberg, "Fiduciary Duties of Co-Venturers and Partners" in </w:t>
      </w:r>
      <w:r>
        <w:rPr>
          <w:rFonts w:ascii="arial" w:eastAsia="arial" w:hAnsi="arial" w:cs="arial"/>
          <w:b/>
          <w:i/>
          <w:color w:val="000000"/>
          <w:sz w:val="20"/>
          <w:lang w:val="en-US" w:eastAsia="en-US" w:bidi="ar-SA"/>
        </w:rPr>
        <w:t>Fiduciary Duties</w:t>
      </w:r>
      <w:r>
        <w:rPr>
          <w:rFonts w:ascii="arial" w:eastAsia="arial" w:hAnsi="arial" w:cs="arial"/>
          <w:color w:val="000000"/>
          <w:sz w:val="20"/>
          <w:lang w:val="en-US" w:eastAsia="en-US" w:bidi="ar-SA"/>
        </w:rPr>
        <w:t>, Law Society of Upper Canada, 1986.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in complete agreement with this statement. Applying these principles to the present case, it is my view that, as Wonsch and Danzig entered this joint venture, all manner of fiduciary obligations implicitly bound them, such as the prohibitions against self-dealing, competing with the joint venturer and making secret profits and the requirement of maintaining confidentiality, all commonly wrapped up in the phrase "good faith and loyalty as regards the common interest and the common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Mr. Faris (whose submission in this regard was adopted by counsel for Intergulf) submits that no concurrent fiduciary duties were owed because Intergulf and Zynik were sophisticated commercial entities dealing at arm's length with no power imbalance between them. In my view, a distinction must be made between negotiations for the creation of a joint venture and dealings after the joint venture has been formed. I accept that parties who are negotiating with each other at arm's length to form a joint venture will not owe fiduciary duties to each other. However, the situation changes once the joint venture is formed. For example, in the context of this case, I think it is clear that, during the subsistence of the joint venture, both Zynik and Intergulf owed each other the fiduciary duty not to acquire the opportunity for themself to the exclusion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John McGhee in </w:t>
      </w:r>
      <w:r>
        <w:rPr>
          <w:rFonts w:ascii="arial" w:eastAsia="arial" w:hAnsi="arial" w:cs="arial"/>
          <w:b/>
          <w:i/>
          <w:color w:val="000000"/>
          <w:sz w:val="20"/>
          <w:lang w:val="en-US" w:eastAsia="en-US" w:bidi="ar-SA"/>
        </w:rPr>
        <w:t>Snell's Equity,</w:t>
      </w:r>
      <w:r>
        <w:rPr>
          <w:rFonts w:ascii="arial" w:eastAsia="arial" w:hAnsi="arial" w:cs="arial"/>
          <w:color w:val="000000"/>
          <w:sz w:val="20"/>
          <w:lang w:val="en-US" w:eastAsia="en-US" w:bidi="ar-SA"/>
        </w:rPr>
        <w:t xml:space="preserve"> 31st ed. (London: Sweet &amp; Maxwell, 2005) describes a fiduciary as someone who has undertaken to act for or on behalf of another in a particular matter in circumstances which give rise to a relationship of trust and confidence. To further explain a fiduciary he cites at 148 the Privy Council decision in </w:t>
      </w:r>
      <w:r>
        <w:rPr>
          <w:rFonts w:ascii="arial" w:eastAsia="arial" w:hAnsi="arial" w:cs="arial"/>
          <w:b/>
          <w:i/>
          <w:color w:val="000000"/>
          <w:sz w:val="20"/>
          <w:lang w:val="en-US" w:eastAsia="en-US" w:bidi="ar-SA"/>
        </w:rPr>
        <w:t>Arklow Investments Ltd. v. Maclean</w:t>
      </w:r>
      <w:r>
        <w:rPr>
          <w:rFonts w:ascii="arial" w:eastAsia="arial" w:hAnsi="arial" w:cs="arial"/>
          <w:color w:val="000000"/>
          <w:sz w:val="20"/>
          <w:lang w:val="en-US" w:eastAsia="en-US" w:bidi="ar-SA"/>
        </w:rPr>
        <w:t>, [1999] UKPC 51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encaptures a situation where one person is in a relationship with another which gives rise to a legitimate expectation, which equity will recognise, that the fiduciary will not utilise his or her position in such a way which is adverse to the interests of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Blue Line Hockey Acquisition Co. v. Orca Bay Hockey Ltd. Partnership</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(2008), 40 B.L.R. (4th) 83</w:t>
        </w:r>
      </w:hyperlink>
      <w:r>
        <w:rPr>
          <w:rFonts w:ascii="arial" w:eastAsia="arial" w:hAnsi="arial" w:cs="arial"/>
          <w:color w:val="000000"/>
          <w:sz w:val="20"/>
          <w:lang w:val="en-US" w:eastAsia="en-US" w:bidi="ar-SA"/>
        </w:rPr>
        <w:t xml:space="preserve"> at para. 72, </w:t>
      </w:r>
      <w:hyperlink r:id="rId833" w:history="1">
        <w:r>
          <w:rPr>
            <w:rFonts w:ascii="arial" w:eastAsia="arial" w:hAnsi="arial" w:cs="arial"/>
            <w:i/>
            <w:color w:val="0077CC"/>
            <w:sz w:val="20"/>
            <w:u w:val="single"/>
            <w:shd w:val="clear" w:color="auto" w:fill="FFFFFF"/>
            <w:lang w:val="en-US" w:eastAsia="en-US" w:bidi="ar-SA"/>
          </w:rPr>
          <w:t>2008 BCSC 27</w:t>
        </w:r>
      </w:hyperlink>
      <w:r>
        <w:rPr>
          <w:rFonts w:ascii="arial" w:eastAsia="arial" w:hAnsi="arial" w:cs="arial"/>
          <w:color w:val="000000"/>
          <w:sz w:val="20"/>
          <w:lang w:val="en-US" w:eastAsia="en-US" w:bidi="ar-SA"/>
        </w:rPr>
        <w:t>, Madam Justice Wedge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the nature of the relationship, not the specific category of actor involved, which gives rise to fiduciary duties. Sopinka J. adopted at p. 599 the characteristics of a fiduciary relationship described by Wilson J.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para. 40, </w:t>
      </w:r>
      <w:hyperlink r:id="rId543" w:history="1">
        <w:r>
          <w:rPr>
            <w:rFonts w:ascii="arial" w:eastAsia="arial" w:hAnsi="arial" w:cs="arial"/>
            <w:i/>
            <w:color w:val="0077CC"/>
            <w:sz w:val="20"/>
            <w:u w:val="single"/>
            <w:shd w:val="clear" w:color="auto" w:fill="FFFFFF"/>
            <w:lang w:val="en-US" w:eastAsia="en-US" w:bidi="ar-SA"/>
          </w:rPr>
          <w:t>42 D.L.R. (4th) 81</w:t>
        </w:r>
      </w:hyperlink>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Blue Line Hockey Acquisition Co.</w:t>
      </w:r>
      <w:r>
        <w:rPr>
          <w:rFonts w:ascii="arial" w:eastAsia="arial" w:hAnsi="arial" w:cs="arial"/>
          <w:color w:val="000000"/>
          <w:sz w:val="20"/>
          <w:lang w:val="en-US" w:eastAsia="en-US" w:bidi="ar-SA"/>
        </w:rPr>
        <w:t xml:space="preserve">, Madam Justice Wedge considered the circumstances where fiduciary duties might arise in commercial relationships where the parties are at arm's length. She cited the reasons of Mr. Justice Sopinka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Lac Minerals Ltd.</w:t>
      </w:r>
      <w:r>
        <w:rPr>
          <w:rFonts w:ascii="arial" w:eastAsia="arial" w:hAnsi="arial" w:cs="arial"/>
          <w:color w:val="000000"/>
          <w:sz w:val="20"/>
          <w:lang w:val="en-US" w:eastAsia="en-US" w:bidi="ar-SA"/>
        </w:rPr>
        <w:t xml:space="preserve"> cited to S.C.R.] as follows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of Sopinka J. in [</w:t>
      </w:r>
      <w:r>
        <w:rPr>
          <w:rFonts w:ascii="arial" w:eastAsia="arial" w:hAnsi="arial" w:cs="arial"/>
          <w:b/>
          <w:i/>
          <w:color w:val="000000"/>
          <w:sz w:val="20"/>
          <w:lang w:val="en-US" w:eastAsia="en-US" w:bidi="ar-SA"/>
        </w:rPr>
        <w:t>Lac Minerals Ltd.</w:t>
      </w:r>
      <w:r>
        <w:rPr>
          <w:rFonts w:ascii="arial" w:eastAsia="arial" w:hAnsi="arial" w:cs="arial"/>
          <w:color w:val="000000"/>
          <w:sz w:val="20"/>
          <w:lang w:val="en-US" w:eastAsia="en-US" w:bidi="ar-SA"/>
        </w:rPr>
        <w:t>] continue to be regarded as the touchstone on the limited role of fiduciary duties in relationships between arm's length commercial parties. Mr. Justice Sopinka said the following at p. 595: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consequences attendant on a finding of a fiduciary relationship and its breach have resulted in judicial reluctance to do so except where the application of this "blunt tool of equity" is really necessary. It is rare that it is required in the context of an arm's length commercial transaction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my opinion, equity's blunt tool must be reserved for situations that are truly in need of the special protection that equity affords.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Further elaboration as to when a fiduciary relationship may arise is found in the decision of Mr. Justice La Forest in </w:t>
      </w:r>
      <w:r>
        <w:rPr>
          <w:rFonts w:ascii="arial" w:eastAsia="arial" w:hAnsi="arial" w:cs="arial"/>
          <w:b/>
          <w:i/>
          <w:color w:val="000000"/>
          <w:sz w:val="20"/>
          <w:lang w:val="en-US" w:eastAsia="en-US" w:bidi="ar-SA"/>
        </w:rPr>
        <w:t>Lac Minerals Ltd.</w:t>
      </w:r>
      <w:r>
        <w:rPr>
          <w:rFonts w:ascii="arial" w:eastAsia="arial" w:hAnsi="arial" w:cs="arial"/>
          <w:color w:val="000000"/>
          <w:sz w:val="20"/>
          <w:lang w:val="en-US" w:eastAsia="en-US" w:bidi="ar-SA"/>
        </w:rPr>
        <w:t xml:space="preserve"> In dealing with this issue generally, he said at 646-648: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of the confusion surrounding the term "fiduciary" stems, in my view, from its undifferentiated use in at least three distinct ways. The first is as used by Wilson J.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There the issue was whether a certain class of relationship, custodial and non-custodial parents, were a category, analogous to directors and corporations, solicitors and clients, trustees and beneficiaries, and agents and principals, the existence of which relationship would give rise to fiduciary obligations. The focus is on the identification of relationships in which, because of their inherent purpose or their presumed factual or legal incidents, the courts will impose a fiduciary obligation on one party to act or refrain from acting in a certain way. The obligation imposed may vary in its specific substance depending on the relationship, though compendiously it can be described as the fiduciary duty of loyalty and will most often include the avoidance of a conflict of duty and interest and a duty not to profit at the expense of the beneficiary. The presumption that a fiduciary obligation will be owed in the context of such a relationship is not irrebuttable, but a strong presumption will exist that such an obligation is present. Further, not every legal claim arising out of a relationship with fiduciary incidents will give rise to a claim for breach of fiduciary duty. This was made clear by Southin J. (as she then was) in </w:t>
      </w:r>
      <w:r>
        <w:rPr>
          <w:rFonts w:ascii="arial" w:eastAsia="arial" w:hAnsi="arial" w:cs="arial"/>
          <w:b/>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362 (S.C.). She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spoke of this case in his opening as one of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became clear during his opening that no breach of fiduciary duty is in issue. What is in issue is whether the defendant was negligent in advising on the settlement of a claim for injuries suffered in an accident. The word "fiduciary" is flung around now as if it applied to all breaches of duty by solicitors, directors of companies and so forth. But "fiduciary" comes from the Latin "fiducia" meaning "trust". Thus, the adjective, fiduciary' means of or pertaining to a trustee or trusteeship. That a lawyer can commit a breach of the special duty of a trustee, e.g., by stealing his client's money, by entering into a contract with the client without full disclosure, by sending a client a bill claiming disbursements never made and so forth is clear. But to say that simple carelessness in giving advice is such a breach is a perversion of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only in relation to breaches of the specific obligations imposed because the relationship is one characterized as fiduciary that a claim for breach of fiduciary duty can be founded. In determining whether the categories of relationships which should be presumed to give rise to fiduciary obligations should be extended, the rough and ready guide adopted by Wilson J. is a useful tool for that evaluation. This class of fiduciary obligation need not be considered further, as Corona's contention is not that "parties negotiating towards a joint-venture" constitute a category of relationship, proof of which will give rise to a presumption of fiduciary obligation, but rather that a fiduciary relationship arises out of the particular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existence of a fiduciary relationship is a question of fact. In </w:t>
      </w:r>
      <w:r>
        <w:rPr>
          <w:rFonts w:ascii="arial" w:eastAsia="arial" w:hAnsi="arial" w:cs="arial"/>
          <w:b/>
          <w:i/>
          <w:color w:val="000000"/>
          <w:sz w:val="20"/>
          <w:lang w:val="en-US" w:eastAsia="en-US" w:bidi="ar-SA"/>
        </w:rPr>
        <w:t>Lac Minerals Ltd.,</w:t>
      </w:r>
      <w:r>
        <w:rPr>
          <w:rFonts w:ascii="arial" w:eastAsia="arial" w:hAnsi="arial" w:cs="arial"/>
          <w:color w:val="000000"/>
          <w:sz w:val="20"/>
          <w:lang w:val="en-US" w:eastAsia="en-US" w:bidi="ar-SA"/>
        </w:rPr>
        <w:t xml:space="preserve"> La Forest J. explained at 648-649: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brings me to the second usage of fiduciary, one I think more apt to the present case. The imposition of fiduciary obligations is not limited to those relationships in which a presumption of such an obligation arises. Rather, a fiduciary obligation can arise as a matter of fact out of the specific circumstances of a relationship. As such it can arise between parties in a relationship in which fiduciary obligations would not normally be expected. I agree with this comment of Professor Finn in "The Fiduciary Principle", supra at p. 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must be shown, in the writer's view, is that the actual circumstances of a relationship are such that one party is entitled to expect that the other will act in his interests in and for the purposes of the relationship. Ascendancy, influence, vulnerability, trust, confidence or dependence doubtless will be of importance in making this out. But they will be important only to the extent that they evidence a relationship suggesting that entitlement. The critical matter in the end is the role that the alleged fiduciary has, or should be taken to have, in the relationship. It must so implicate that party in the other's affairs or so align him with the protection or advancement of that other's interests that foundation exists for the fiduciary expectation'. Such a role may generate an actual expectation that that other's interests are being served. This is commonly so with lawyers and investment advisers. But equally the expectation may be a judicially prescribed one because the law itself ordains it to be that other's entitlement. And this may be so either because that party should, given the actual circumstances of the relationship, be accorded that entitlement irrespective of whether he has adverted to the matter, or because the purpose of the relationship itself is perceived to be such that to allow disloyalty in it would be to jeopardise its perceived social utility.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in this sense, then, that the existence of a fiduciary obligation can be said to be a question of fact to be determined by examining the specific facts and circumstances surrounding each relationship; see D.W.M. Waters, </w:t>
      </w:r>
      <w:r>
        <w:rPr>
          <w:rFonts w:ascii="arial" w:eastAsia="arial" w:hAnsi="arial" w:cs="arial"/>
          <w:b/>
          <w:i/>
          <w:color w:val="000000"/>
          <w:sz w:val="20"/>
          <w:lang w:val="en-US" w:eastAsia="en-US" w:bidi="ar-SA"/>
        </w:rPr>
        <w:t>The Law of Trusts in Canada</w:t>
      </w:r>
      <w:r>
        <w:rPr>
          <w:rFonts w:ascii="arial" w:eastAsia="arial" w:hAnsi="arial" w:cs="arial"/>
          <w:color w:val="000000"/>
          <w:sz w:val="20"/>
          <w:lang w:val="en-US" w:eastAsia="en-US" w:bidi="ar-SA"/>
        </w:rPr>
        <w:t xml:space="preserve"> (2d ed., 1984), at p. 405. If the facts give rise to a fiduciary obligation, a breach of the duties thereby imposed will give rise to a claim for equitable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clear from the facts of this case that given their inequality of knowledge and access to resources, Mrs. Choi relied on and trusted PJI BC and Mr. Paik to take the lead in making many, if not nearly all, of the important decisions in setting up and in the operation of the joint venture business and trusted them to act to the benefit of, and not the detriment of, the joint venture. PJI BC had the knowledge and means to establish, oversee, and promote the pizza outlet; what Mrs. Choi had was the money PJI BC required to promote its commercial interests, including those with Papa John USA. Mrs. Choi looked to Mr. Paik and PJI BC to act in the best interests of the joint venture. I find in the circumstances a fiduciary relationship to have existed between PJI BC and Mrs.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If I am incorrect, such that a fiduciary relationship did not arise, there is nonetheless no question that, as joint venturers, Mrs. Choi and PJI BC owed duties of good faith to each other: </w:t>
      </w:r>
      <w:r>
        <w:rPr>
          <w:rFonts w:ascii="arial" w:eastAsia="arial" w:hAnsi="arial" w:cs="arial"/>
          <w:b/>
          <w:i/>
          <w:color w:val="000000"/>
          <w:sz w:val="20"/>
          <w:lang w:val="en-US" w:eastAsia="en-US" w:bidi="ar-SA"/>
        </w:rPr>
        <w:t>Perfect Portions Holding Co. v. New Futures Ltd.</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[1995] O.J. No. 2113</w:t>
        </w:r>
      </w:hyperlink>
      <w:r>
        <w:rPr>
          <w:rFonts w:ascii="arial" w:eastAsia="arial" w:hAnsi="arial" w:cs="arial"/>
          <w:color w:val="000000"/>
          <w:sz w:val="20"/>
          <w:lang w:val="en-US" w:eastAsia="en-US" w:bidi="ar-SA"/>
        </w:rPr>
        <w:t xml:space="preserve"> at para. 14 (Ct. J. (Gen. Div.)) (QL). PJI BC was in breach of those duties to Mrs.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Here, PJI BC and Mr. Paik placed the commercial interests of the corporate defendant ahead of those of the joint venture of PJI Barnet and, in so doing, deprived PJI Barnet of requisite cash and commissary required to carry on the business. As a result, Mrs. Choi lost her investment of $135,000 in less than six months. Mrs. Choi lacked the information to determine PJI Barnet's commissary needs and expenses, lacked cash to pay for commissary, lacked cash to meet PJI Barnet's ongoing business expenses, and ultimately lacked the ability to meet PJI BC's sudden demand for commissary payment in February, 2006. Without cash and supplies, PJI Barnet could no longer make and sell pizzas. Yet, PJI BC used PJI Barnet's credit and debit card revenues to weather its cash flow problems and used Mrs. Choi's investment in the joint venture to advance its commercial interests with PJI USA. PJI BC's failure to act in good faith and with loyalty to Mrs. Choi caused the loss of her investment. PJI BC was in breach of its fiduciary obligations to Mrs.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Turning to the remedy, Madam Justice McLachlin, concurring in the result, said in </w:t>
      </w:r>
      <w:r>
        <w:rPr>
          <w:rFonts w:ascii="arial" w:eastAsia="arial" w:hAnsi="arial" w:cs="arial"/>
          <w:b/>
          <w:i/>
          <w:color w:val="000000"/>
          <w:sz w:val="20"/>
          <w:lang w:val="en-US" w:eastAsia="en-US" w:bidi="ar-SA"/>
        </w:rPr>
        <w:t>Canson Enterprises Ltd. v. Boughton &amp; Co.</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547-548, </w:t>
      </w:r>
      <w:hyperlink r:id="rId763" w:history="1">
        <w:r>
          <w:rPr>
            <w:rFonts w:ascii="arial" w:eastAsia="arial" w:hAnsi="arial" w:cs="arial"/>
            <w:i/>
            <w:color w:val="0077CC"/>
            <w:sz w:val="20"/>
            <w:u w:val="single"/>
            <w:shd w:val="clear" w:color="auto" w:fill="FFFFFF"/>
            <w:lang w:val="en-US" w:eastAsia="en-US" w:bidi="ar-SA"/>
          </w:rPr>
          <w:t>85 D.L.R. (4th) 129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Canson</w:t>
      </w:r>
      <w:r>
        <w:rPr>
          <w:rFonts w:ascii="arial" w:eastAsia="arial" w:hAnsi="arial" w:cs="arial"/>
          <w:color w:val="000000"/>
          <w:sz w:val="20"/>
          <w:lang w:val="en-US" w:eastAsia="en-US" w:bidi="ar-SA"/>
        </w:rPr>
        <w:t xml:space="preserve"> cited to S.C.R.]: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concluded that equitable compensation should not be determined by the simple expedient of resorting to tort, I come to the central question of this case. What is the ambit of compensation as an equitable remedy? Proceeding in trust, we start from the traditional obligation of a defaulting trustee, which is to effect restitution to the estate. But restitution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xml:space="preserve"> may not always be possible. So equity awards compensation in place of restitution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by analogy for breach of fiduciary duty with the ideal of restoring to the estate that which was lost through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widely accepted ever since. As Professor Davidson states in his very useful article "The Equitable Remedy of Compensation" (1982), 13 </w:t>
      </w:r>
      <w:r>
        <w:rPr>
          <w:rFonts w:ascii="arial" w:eastAsia="arial" w:hAnsi="arial" w:cs="arial"/>
          <w:i/>
          <w:color w:val="000000"/>
          <w:sz w:val="20"/>
          <w:lang w:val="en-US" w:eastAsia="en-US" w:bidi="ar-SA"/>
        </w:rPr>
        <w:t>Melb. U.L. Rev</w:t>
      </w:r>
      <w:r>
        <w:rPr>
          <w:rFonts w:ascii="arial" w:eastAsia="arial" w:hAnsi="arial" w:cs="arial"/>
          <w:color w:val="000000"/>
          <w:sz w:val="20"/>
          <w:lang w:val="en-US" w:eastAsia="en-US" w:bidi="ar-SA"/>
        </w:rPr>
        <w:t>. 349, at p. 351, "the method of computation (of compensation) will be that which makes restitution for the value of the loss suffered from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And at 556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compensation is an equitable monetary remedy which is available when the equitable remedies of restitution and account are not appropriate. By analogy with restitution, it attempts to restore to the plaintiff what has been lost as a result of the breach, i.e., the plaintiff's lost opportunity. The plaintiff's actual loss as a consequence of the breach is to be assessed with the full benefit of hindsight. Foreseeability is not a concern in assessing compensation, but it is essential that the losses made good are only those which, on a common sense view of causation, were caused by the breach. The plaintiff will not be required to mitigate, as the term is used in law, but losses resulting from clearly unreasonable behaviour on the part of the plaintiff will be adjudged to flow from that behaviour, and not from the breach. Where the trustee's breach permits the wrongful or negligent acts of third parties, thus establishing a direct link between the breach and the loss, the resulting loss will be recoverable. Where there is no such link, the loss must be recovered from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Here, the conduct of the defendants effectively managed Mrs. Choi out of the joint venture business, causing her to lose her investment while at the same time allowing PJI BC to obtain the benefit of her investment as well as the debit and credit card receipts. No evidence was led as to the value of the lost opportunity to make profit from the pizza business if it had continued to operate. In the circumstances of this case, and having regard to the evidence adduced at trial the appropriate remedy to award to Mrs. Choi is the return of her investment of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Thus, whether the claim is made for rescission or for breach of good faith and loyalty, the award to Mrs. Choi is the same: the return of her investment of $135,000 plus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argument, counsel for PJI BC characterised the amounts sought as those incurred due to the forced closing of the Barnet store. I find that those losses, to the extent that they were suffered, were due to inappropriate conduct and breaches of good faith and loyalty by PJI BC to Mrs. Choi and Mr. Paik to PJI Barnet. In the circumstances,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Although Mrs. Choi did not make out her case of fraud, neither did PJI BC make out its case of dishonest conduct. In fact, that allegation was abandoned at the end of the trial due to of lack of evidence. In the circumstances, the parties should bear their own costs in respect of those allegations. Further, although I have dismissed the counterclaim, it must be kept in mind that the case against Mr. Paik was dropped at the conclusion of evidence. It is my view that the parties should bear their own costs in respect of the dismissal of the claim against Mr. Paik and the dismissal of the counterclaim. This leaves the matter of costs in relation to the claim for rescission and breach of good faith and loyalty, which occupied nearly all of the eight days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order that costs be awarded in favour of Mrs. Choi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Chouinard v. Army &amp; Navy Dept. Store Ltd., [2007] B.C.J. No. 2315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Groberman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S070131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1061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Pierre Chouinard, Plaintiff, and Army &amp; Navy Dept. Store Ltd., Jason Torgasows, Rebecca Cadger, Tomas Bertrand and Yoshiya Otaki,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9" w:name="Keywords_40"/>
      <w:bookmarkEnd w:id="349"/>
      <w:r>
        <w:rPr>
          <w:rFonts w:ascii="arial" w:eastAsia="arial" w:hAnsi="arial" w:cs="arial"/>
          <w:b/>
          <w:color w:val="000000"/>
          <w:sz w:val="20"/>
          <w:lang w:val="en-US" w:eastAsia="en-US" w:bidi="ar-SA"/>
        </w:rPr>
        <w:t>Limitation of actions — Extension, suspension or inapplicability of limitation periods — Fraud — Concealment — Application to dismiss plaintiff's false imprisonment and defamation action on grounds it was out of time granted — Neither defamation nor false imprisonment actions are actions for personal injury under s. 3 of the Limitation Act — There was no evidence of fraud or deceit — Finally, facts concealed by the defendant did not go to the existence of a cause of action; they were relevant only to the level of damages that might be awarded, and therefore not material.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0" w:name="Case Summary_38"/>
            <w:bookmarkEnd w:id="3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to dismiss Chouinard's action -- On March 9, 2002, Chouinard was a customer in the Army &amp; Navy store -- He contended that in the course of his shopping he was looking for a screwdriver and that he located one in the shop -- He says the package was partially opened and that he removed a tool from the package to determine whether it was the appropriate one for his needs -- He determined that it was, returned it to the open package and then took an unopened tool package and went and paid for it -- He left the store and was arrested -- He sued for false imprisonment and defamation -- It was common ground that a two year limitation period applied -- At issue was whether the running time for the cause of action was postponed pursuant to ss. 6(3) and (4) of the Limitation Act -- Chouinard alleged that the action ought to be characterized as either "for personal injury," "based on fraud or deceit," or as one "in which material facts related to the cause of action had been wilfully concealed -- HELD: Application dismissed -- The action was not one for "personal injury" as it was not alleged that any physical harm was done to Chouinard -- Neither defamation nor false imprisonment actions are actions for personal injury under s. 3 of the Act -- There was no evidence of fraud or deceit either -- Finally, the facts concealed by Army &amp; Navy did not go to the existence of a cause of action; they were relevant only to the level of damages that might be awarded, and therefore not material.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1" w:name="Legislation Cited_37"/>
      <w:bookmarkEnd w:id="3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 s. 6(3),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2" w:name="Counsel_40"/>
      <w:bookmarkEnd w:id="3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D.K. Miura, J.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S.B. Margolis, J.C. Levy.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3" w:name="Judgment_40"/>
      <w:bookmarkEnd w:id="353"/>
      <w:r>
        <w:pict>
          <v:line id="_x0000_s1237"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4" w:name="H. GROBERMAN J. (orally)"/>
            <w:bookmarkEnd w:id="354"/>
            <w:r>
              <w:rPr>
                <w:rFonts w:ascii="arial" w:eastAsia="arial" w:hAnsi="arial" w:cs="arial"/>
                <w:b/>
                <w:color w:val="000000"/>
                <w:sz w:val="30"/>
                <w:lang w:val="en-US" w:eastAsia="en-US" w:bidi="ar-SA"/>
              </w:rPr>
              <w:t>H. GROBERMAN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under Rule 18A to dismiss this plaintiff's action. The facts alleged in the statement of claim are fairly straightforward. On March 9, 2002, the plaintiff was a customer shopping in the defendant's store at 502 Columbia Street in New Westminster. The plaintiff states that in the course of his shopping he was looking for a Torx screwdriver or tool and that he located one in the shop. He says the package was partially opened and that he removed a tool from the package to determine whether it was the appropriate one for his needs. He determined that it was, returned it to the open package and then took an unopened Torx tool package and went and paid for it. He left the store and was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says that he was kept for approximately one hour and that the arrest was a false one. He also states that thereafter statements were made to the effect that he had engaged in mischief. He alleges that those statements were libellous. He also alleges fraudulent misrepresentation, in that on the following day he attended at the store with family members to discuss the incident and he was told that his conduct had been a criminal offence and that the store was unable to do anything to expunge its arrest report. Finally, it is alleged the arrest was negligent and that there was a conspiracy surrounding the arrest and subsequent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issue for the purposes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is that of characterization of the matter. Despite the fact that the plaintiff has pleaded a multiplicity of causes of action, some of which appear to be made out in law in the pleading and some of which do not, this is, at base, an action for false imprisonment, combined with an action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deals with the general limitation period and it is common ground that the limitation period of two years applies here. I agree with that proposition - ss. 3(2)(c) and (d)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are the applicable subsections.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real question in this case is whether the running time for the cause of action is postponed. The plaintiff states that the running time ought to be postponed, relying on ss. 6(3) and (4)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6(3)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6(3) deals with the types of action for which a postponement is possible. It includes actions: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alleges that this action ought to be characterized as being either "for personal injury," "based on fraud or deceit," or as one "in which material facts relating to the cause of action have been wilfully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this is a personal injury action on the basis that false imprisonment, of necessity, includes an element of assault and assault is a personal injury type of action. I find that the action here is not one for "personal injury". It is not alleged that any physical harm was done to the plaintiff, and to the extent that any injury is claimed, it is in the form of "anxiety, depression and humiliation" as a result of the false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Not all actions which include claims for anxiety, depression and humiliation constitute "personal injury" actions for the purpose of the statute. In </w:t>
      </w:r>
      <w:r>
        <w:rPr>
          <w:rFonts w:ascii="arial" w:eastAsia="arial" w:hAnsi="arial" w:cs="arial"/>
          <w:b/>
          <w:i/>
          <w:color w:val="000000"/>
          <w:sz w:val="20"/>
          <w:lang w:val="en-US" w:eastAsia="en-US" w:bidi="ar-SA"/>
        </w:rPr>
        <w:t>Zanetti v. Bonniehon Enterprises Ltd.</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2003 BCCA 507</w:t>
        </w:r>
      </w:hyperlink>
      <w:r>
        <w:rPr>
          <w:rFonts w:ascii="arial" w:eastAsia="arial" w:hAnsi="arial" w:cs="arial"/>
          <w:color w:val="000000"/>
          <w:sz w:val="20"/>
          <w:lang w:val="en-US" w:eastAsia="en-US" w:bidi="ar-SA"/>
        </w:rPr>
        <w:t>, an extension of the limitation period was sought in an action for defamation. In very brief reasons, the Court of Appeal held that an action for defamation is not a one which is included in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action pleaded in this case is not, in essence, one for personal injury; it is simply an action for false imprisonment and possibly for defamation. I am strengthened in my view that neither defamation nor false imprisonment actions are actions for personal injury by the language of section 3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Section 3(2)(a) speaks of "injury to person or property", while sections 3(2)(c) and (d) speak of defamation and false imprisonment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omission of false imprisonment and of defamation in s. 6(3) should be seen as deliberate legislative choices. It is not intended, generally, that postponement of those causes of action will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With respect to s. 6(3)(d) ("based on fraud or deceit"), the plaintiff says that in this case that there was fraud and deceit in that the defendant did not disclose that it had a policy of a quota of arrests and also that it was deceitful of the head of security to indicate that grounds were made out for an arrest. With all due respect, the mere fact that there may be some deception following the commission of a tort does not make the action one </w:t>
      </w:r>
      <w:r>
        <w:rPr>
          <w:rFonts w:ascii="arial" w:eastAsia="arial" w:hAnsi="arial" w:cs="arial"/>
          <w:color w:val="000000"/>
          <w:sz w:val="20"/>
          <w:u w:val="single"/>
          <w:lang w:val="en-US" w:eastAsia="en-US" w:bidi="ar-SA"/>
        </w:rPr>
        <w:t>based on</w:t>
      </w:r>
      <w:r>
        <w:rPr>
          <w:rFonts w:ascii="arial" w:eastAsia="arial" w:hAnsi="arial" w:cs="arial"/>
          <w:color w:val="000000"/>
          <w:sz w:val="20"/>
          <w:lang w:val="en-US" w:eastAsia="en-US" w:bidi="ar-SA"/>
        </w:rPr>
        <w:t xml:space="preserve"> fraud or deceit. The basis of the cause of action here is false imprisonment and defamation; this is not an action to which s. 6(3)(d)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That leaves s. 6(3)(e), which deals with actions "in which material facts relating to the cause of action have been wilfully concealed." As Mr. Miura rightly points out, this is not a subsection limited to particular causes of action. It includes any cause of action in which material facts have been concealed. Mr. Miura suggests that a number of material facts have been concealed in this case. He says that the fact that the store had a quota for arrests was not revealed, nor was it revealed that the person who arrested the plaintiff was disciplined for doing so on the basis that the store considered the arrest to be an improper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Neither of these allegations is a material fact relating to the cause of action. A material fact is an essential element of the cause of action or a fact that goes to proving an essential element. While the facts suggested by the plaintiff may affect the culpability of the defendant and may, therefore, be relevant to issues of punitive or exemplary damages, they do not go to the question of whether or not a tort was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some ways the question of punitive damages here is analogous to questions of the seriousness of an injury in a personal injury action. It is clear law that the seriousness of a physical injury is not a material fact for the purposes of postponement of the running time: see, for example, </w:t>
      </w:r>
      <w:r>
        <w:rPr>
          <w:rFonts w:ascii="arial" w:eastAsia="arial" w:hAnsi="arial" w:cs="arial"/>
          <w:b/>
          <w:i/>
          <w:color w:val="000000"/>
          <w:sz w:val="20"/>
          <w:lang w:val="en-US" w:eastAsia="en-US" w:bidi="ar-SA"/>
        </w:rPr>
        <w:t>Craig v. Insurance Corporation of British Columbia</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2005 BCCA 275</w:t>
        </w:r>
      </w:hyperlink>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41 B.C.L.R. (4th) 17</w:t>
        </w:r>
      </w:hyperlink>
      <w:r>
        <w:rPr>
          <w:rFonts w:ascii="arial" w:eastAsia="arial" w:hAnsi="arial" w:cs="arial"/>
          <w:color w:val="000000"/>
          <w:sz w:val="20"/>
          <w:lang w:val="en-US" w:eastAsia="en-US" w:bidi="ar-SA"/>
        </w:rPr>
        <w:t>. At para. 14 Lowry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recognized in Canadian jurisprudence that ignorance of the extent of injury will not of itself serve to postpone the running of the time in which to commence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while it might be alleged that certain facts were concealed, these facts did not go to the existence of a cause of action; they were relevant only to the level of damages that might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only factor that could be considered a material fact relating to the cause of action is that of whether, in law, the actions of the plaintiff were sufficient to give rise to a cause for arrest. If that is a material fact, I agree with Mr. Miura that it was wilfully concealed by the head of security when he told the plaintiff and his family members that the actions that had been witnessed the previous day amounted to mischief and formed the basis for an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want to emphasize that the issue of whether, in fact, the plaintiff's actions on the day of the arrest constituted an offence for which he could be arrested is not a question that is before me. The precise actions taken by the plaintiff in opening the package are not in evidence, nor is there any evidence on the issue of whether or not there was any damage done to the packaging of the Torx tool. For the purposes of this application, I am accepting that the plaintiff was wrongfully arrested. Obviously, if this matter goes to trial, that is a matter that will have to be determined on all of the evidence. The sole issue that I am concerned with today is whether the legality or illegality of the plaintiff's actions on the day of arrest is "a material fact relating to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Typically, courts distinguish between issues of law and issues of fact. "Material facts" are those facts that are essential to the cause of action or go to proving an essential element of the cause of action. It is not a normal use of the words "material fact" to refer to issues of law. This point is referred to in the case of </w:t>
      </w:r>
      <w:r>
        <w:rPr>
          <w:rFonts w:ascii="arial" w:eastAsia="arial" w:hAnsi="arial" w:cs="arial"/>
          <w:b/>
          <w:i/>
          <w:color w:val="000000"/>
          <w:sz w:val="20"/>
          <w:lang w:val="en-US" w:eastAsia="en-US" w:bidi="ar-SA"/>
        </w:rPr>
        <w:t>Levitt v. Carr</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12 B.C.A.C. 27</w:t>
        </w:r>
      </w:hyperlink>
      <w:r>
        <w:rPr>
          <w:rFonts w:ascii="arial" w:eastAsia="arial" w:hAnsi="arial" w:cs="arial"/>
          <w:color w:val="000000"/>
          <w:sz w:val="20"/>
          <w:lang w:val="en-US" w:eastAsia="en-US" w:bidi="ar-SA"/>
        </w:rPr>
        <w:t>. In the context of dealing with another part of section 6 of the Act (the subsections that are currently ss. 6(4)(b) and 6(5)) the court states (at BCLR 71-72, BCAC 37-38):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novelty of [s. 6(4) and (5)] lies in defining "facts" as including the opinions referred to in s. 6(5)(b)(i) and (ii).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this definition the British Columbia statute sought to resolve the controversy which engaged the House of Lords in the Scottish appeal of </w:t>
      </w:r>
      <w:r>
        <w:rPr>
          <w:rFonts w:ascii="arial" w:eastAsia="arial" w:hAnsi="arial" w:cs="arial"/>
          <w:b/>
          <w:i/>
          <w:color w:val="000000"/>
          <w:sz w:val="20"/>
          <w:lang w:val="en-US" w:eastAsia="en-US" w:bidi="ar-SA"/>
        </w:rPr>
        <w:t>McIntyre v. Armitage Shanks Ltd.</w:t>
      </w:r>
      <w:r>
        <w:rPr>
          <w:rFonts w:ascii="arial" w:eastAsia="arial" w:hAnsi="arial" w:cs="arial"/>
          <w:color w:val="000000"/>
          <w:sz w:val="20"/>
          <w:lang w:val="en-US" w:eastAsia="en-US" w:bidi="ar-SA"/>
        </w:rPr>
        <w:t>, [1980] A.C. 46. It was there argued opinions with respect to the existence of a cause of action were within the meaning of decisive facts and that the plaintiff's ignorance that he had a cause of action was a fact which postponed time running against him. As a matter of construction this was rejected. Lord Hailsham said at p.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believe it is possible in this fascicules of sections to construe "fact" as if it included a point of law, or that ignorance of the existence of a cause of action can be treated as if it were itself a fact relating to the same cause of action so as to satisfy section 18(3).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Parliament wishes to include oil or a "mixture of oil and water" in a section referring only to "water," it must be expected to say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Lord Wilberforce put it this way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Lords, the findings of the Lord Ordinary on limited proof firmly crystallise the issues which arise in this appeal. He found that in 1961, which was 14 years before the appellant raised the present action, he knew: (1) that he had contracted pneumoconiosis in 1956; (2) that his disablement by reason of the disease was severe and had caused him to stop work; (3) that the disease was attributable to the excessively dusty conditions in the defenders' pottery against which the defenders had failed to protect him.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he did not know, or realise, until 1973, was that on these facts he could raise an action for reparation against his employers. Did this amount to ignorance of a fact of a decisive character relating to his right of action so as to prevent his employers from relying upon the three-year period of limitation prescribed by the Prescription and Limitation (Scotland) Act 1973 section 17? That is the principal issue in this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issue was decided adversely to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goes on to say (at BCLR 72, BCAC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it clear that those who drafted the British Columbia statute rejected simple ignorance of the existence of a cause of action as sufficient to postpone the running of time. The solution adopted by the Law Reform Commission and by the legislature was to introduce another level of abstraction: notional advice by notional advisors. This advice is given the conceptual status of facts and, when added to those within the plaintiff's means of knowledge, forms the body of information upon which the reasonable man decides whether an action on the cause of action would have a reasonable prospect of success and whether the plaintiff ought to be able to bring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fact,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not as clear as that quote would suggest. The definition of "facts" in s. 6(5)(b), which includes what would normally be questions of law, applies only to the use of the word "facts" in s. 6(4). It does not apply to the use of the word "facts" in 6(3)(e). In my view "material facts" in s. 6(3)(e) do not include issues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saying this, I am aware that in the case of </w:t>
      </w:r>
      <w:r>
        <w:rPr>
          <w:rFonts w:ascii="arial" w:eastAsia="arial" w:hAnsi="arial" w:cs="arial"/>
          <w:b/>
          <w:i/>
          <w:color w:val="000000"/>
          <w:sz w:val="20"/>
          <w:lang w:val="en-US" w:eastAsia="en-US" w:bidi="ar-SA"/>
        </w:rPr>
        <w:t>Edgeworth Construction Ltd. v. Thurber Consultants Ltd.</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2000 BCCA 453</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190 D.L.R. (4th) 89</w:t>
        </w:r>
      </w:hyperlink>
      <w:r>
        <w:rPr>
          <w:rFonts w:ascii="arial" w:eastAsia="arial" w:hAnsi="arial" w:cs="arial"/>
          <w:color w:val="000000"/>
          <w:sz w:val="20"/>
          <w:lang w:val="en-US" w:eastAsia="en-US" w:bidi="ar-SA"/>
        </w:rPr>
        <w:t>, Newbury J.A. stated, at paragraph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Obviously, unknown facts could include ignorance of the law [citing certain Law Reform Commission reports]. The Commissions generally concluded that ignorance per se should not be sufficient to postpone a limitation period if a reasonable person in the plaintiff's position would reasonably have sought advice [citing Citing </w:t>
      </w:r>
      <w:r>
        <w:rPr>
          <w:rFonts w:ascii="arial" w:eastAsia="arial" w:hAnsi="arial" w:cs="arial"/>
          <w:b/>
          <w:i/>
          <w:color w:val="000000"/>
          <w:sz w:val="20"/>
          <w:lang w:val="en-US" w:eastAsia="en-US" w:bidi="ar-SA"/>
        </w:rPr>
        <w:t>Levitt v. Carr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McIntyre v. Armitage Shanks</w:t>
      </w:r>
      <w:r>
        <w:rPr>
          <w:rFonts w:ascii="arial" w:eastAsia="arial" w:hAnsi="arial" w:cs="arial"/>
          <w:color w:val="000000"/>
          <w:sz w:val="20"/>
          <w:lang w:val="en-US" w:eastAsia="en-US" w:bidi="ar-SA"/>
        </w:rPr>
        <w:t>]. The legislation therefore placed "an obligation on the potential plaintiff to seek professional advice, be it medical or legal or other material facts, concerning the damage done to him in circumstances where a reasonable man would do so" [citing a report of the B.C. Law Reform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Newbury J.A. was, again, specifically referring to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which is subject to the special definition of facts set out in 6(5). That definition is inapplicable to s. 6(3)(e).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interpret "material facts" in s. 6(3)(e)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as referring to the factual aspects of the cause of action. The reasoning of the House of Lords in </w:t>
      </w:r>
      <w:r>
        <w:rPr>
          <w:rFonts w:ascii="arial" w:eastAsia="arial" w:hAnsi="arial" w:cs="arial"/>
          <w:b/>
          <w:i/>
          <w:color w:val="000000"/>
          <w:sz w:val="20"/>
          <w:lang w:val="en-US" w:eastAsia="en-US" w:bidi="ar-SA"/>
        </w:rPr>
        <w:t>McIntyre v. Armitage Shanks Ltd.</w:t>
      </w:r>
      <w:r>
        <w:rPr>
          <w:rFonts w:ascii="arial" w:eastAsia="arial" w:hAnsi="arial" w:cs="arial"/>
          <w:color w:val="000000"/>
          <w:sz w:val="20"/>
          <w:lang w:val="en-US" w:eastAsia="en-US" w:bidi="ar-SA"/>
        </w:rPr>
        <w:t xml:space="preserve"> applies, rather than the specialized definition of "facts" that appears in 6(5)(b)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My conclusion, therefore, is that there is no allegation here that "material facts relating to the cause of action" have been wilfully concealed. What may have been "concealed" is the law with respect to wrongful imprisonment. That is not something that brings this action within the language of s. 6(3)(e)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6(4)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action not being one to which s. 6(3) applies, it follows that I must give effect to the limitation defence. I will, however, make mention of s. 6(4) in the event that I am mistaken in my understanding of s. 6(3)(e). Section 6(4) states: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Subsection 6(5) defines "appropriate advice" as meaning "the advice of competent persons, qualified in their respective fields, to advise on the medical, legal and other aspects of the facts, as the case may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given what the plaintiff knew at the time that the cause of action is said to have arisen, a reasonable person would have sought legal advice from a lawyer in order to make the determinations set out in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Miura argues that a reasonable person in the plaintiff's position would not have done that, because the plaintiff already had the advice of the head of security at the defendant's store that nothing untoward had happened. Mr. Miura goes further and says that that was, in fact, the advice of a competent person qualified in his respective field and therefore the plaintiff had no need to look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all due respect, it does not seem to me that a reasonable person in the plaintiff's position would consider the head of security at the Army &amp; Navy Department Store to be someone qualified to give him legal advice, particularly when he must have known that the person was adverse in interest and would not in all likelihood have legal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not reasonable for the plaintiff to accept the security officer's advice as being of a final nature, nor was it reasonable for him to sleep on his rights and not consult a legally qualified person in order to determine whether he had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 have indicated, it may well be that it is only recently that the plaintiff became aware of factors that would or could entitle him to significant punitive or exemplary damages in this case. But the mere fact that he is now aware of facts that might give rise to greater damages than he previously had reason to believe he might receive is not sufficient to postpone the running of the limitation period. In the circumstances, I find that the plaintiff is out of time in bringing the action and the action should be dismissed.</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Submissions as to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The normal rule is that costs follow the event. I am concerned in this case that the conduct of the defendants giving rise to the cause of action may be such that it would be inequitable to award them costs. However, I have not heard the action; I have only heard is an application on which certain facts have been assumed. In the circumstances it is not open to me to conclude that there has been misconduct giving rise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suggestion that there has been misconduct in the conduct of the action. It seems to me that the normal rule ought to be applied. There will be an order for costs from the plaintiff to the defendant on scale B.</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Submissions on a Stay of the Costs Order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I am going to stay the order for costs for a period of 30 days. Mr. Miura, if you bring an appeal within 30 days, as you have indicated you will, you may either reach agreement with your friend or seek an order from the Court of Appeal staying my Order pending appeal. That is the normal process for a stay pending appeal; this court does not normally stay orders beyond the time necessary for the Court of Appeal to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GROBERMAN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Cimaco International Sales Inc. (c.o.b. Cimaco Travel) v. British Airways PLC, [2005] B.C.J. No. 1282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Arnold-Bailey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16,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8,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L022928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1282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825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140 A.C.W.S. (3d) 439</w:t>
      </w:r>
    </w:p>
    <w:p>
      <w:pPr>
        <w:spacing w:before="120" w:line="260" w:lineRule="atLeast"/>
        <w:rPr>
          <w:lang w:val="en-US" w:eastAsia="en-US" w:bidi="ar-SA"/>
        </w:rPr>
      </w:pPr>
      <w:r>
        <w:rPr>
          <w:rFonts w:ascii="arial" w:eastAsia="arial" w:hAnsi="arial" w:cs="arial"/>
          <w:color w:val="000000"/>
          <w:sz w:val="20"/>
          <w:lang w:val="en-US" w:eastAsia="en-US" w:bidi="ar-SA"/>
        </w:rPr>
        <w:t>Between Cimaco International Sales Inc., dba Cimaco Travel, plaintiff, and British Airways PLC,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9"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55" w:name="Keywords_41"/>
      <w:bookmarkEnd w:id="355"/>
      <w:r>
        <w:rPr>
          <w:rFonts w:ascii="arial" w:eastAsia="arial" w:hAnsi="arial" w:cs="arial"/>
          <w:b/>
          <w:color w:val="000000"/>
          <w:sz w:val="20"/>
          <w:lang w:val="en-US" w:eastAsia="en-US" w:bidi="ar-SA"/>
        </w:rPr>
        <w:t>Civil procedure — Pleadings — Striking out pleadings or allegations — Discovery — Production and inspection of documents — Relevancy contested — Examination for discovery — Range of examination — Objections and compelling answers to questions.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56" w:name="Case Summary_39"/>
            <w:bookmarkEnd w:id="35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British Airways PLC, against the plaintiff, Cimaco Travel, for production of documents, answers to interrogatories and to strike certain paragraphs of the statement of claim. Cimaco brought this action against British Airways for damages for breach of contract and specific performance. Cimaco, as agent of British Airways pursuant to an agreement, issued discount air travel tickets on behalf of British Airways. Cimaco alleged that British Airways breached the contract between the parities by withholding or restricting from Cimaco a certain category of tickets for sale. British Airways sought production of Cimaco's tax returns and the written contract on which Cimaco based its claims. Cimaco argued the tax returns were not relevant and contained confidential information. </w:t>
            </w:r>
            <w:r>
              <w:rPr>
                <w:lang w:val="en-US" w:eastAsia="en-US" w:bidi="ar-SA"/>
              </w:rPr>
              <w:cr/>
            </w:r>
          </w:p>
          <w:p>
            <w:pPr>
              <w:spacing w:before="120" w:line="260" w:lineRule="atLeast"/>
              <w:ind w:left="240"/>
              <w:jc w:val="both"/>
              <w:rPr>
                <w:lang w:val="en-US" w:eastAsia="en-US" w:bidi="ar-SA"/>
              </w:rPr>
            </w:pPr>
            <w:bookmarkStart w:id="357" w:name="Holdings of Court_36"/>
            <w:bookmarkEnd w:id="357"/>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Cimaco was not required to produce their income tax returns as they were not directly relevant to their claim for general damages. The damages were solely based on this contract, not general loss of income. British Airways had made numerous requests for production of the written contract on which this claim was based. It was required to be produced. Unanswered questions that arose from discovery were not required to be answered as they were not relevant. The application to strike paragraphs of the claim was to be properly heard after Cimaco's proposed application to add more defendants. Cimaco was given 90 days to proceed with its application, or the alleged offending paragraphs would be struck. British Airways was entitled to costs of their application. </w:t>
            </w:r>
            <w:r>
              <w:rPr>
                <w:lang w:val="en-US" w:eastAsia="en-US" w:bidi="ar-SA"/>
              </w:rPr>
              <w:cr/>
            </w:r>
          </w:p>
          <w:p>
            <w:pPr>
              <w:rPr>
                <w:lang w:val="en-US" w:eastAsia="en-US" w:bidi="ar-SA"/>
              </w:rPr>
            </w:pPr>
          </w:p>
        </w:tc>
      </w:tr>
    </w:tbl>
    <w:p>
      <w:pPr>
        <w:jc w:val="both"/>
        <w:rPr>
          <w:lang w:val="en-US" w:eastAsia="en-US" w:bidi="ar-SA"/>
        </w:rPr>
      </w:pPr>
      <w:bookmarkStart w:id="358" w:name="Legislation Cited_38"/>
      <w:bookmarkEnd w:id="35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0"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1(12), Rule 19(24), Rule 26(1.1), Rule 26(8), Rule 26(10), Rule 26(13), Rule 29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Competition Act</w:t>
      </w:r>
      <w:r>
        <w:rPr>
          <w:lang w:val="en-US" w:eastAsia="en-US" w:bidi="ar-SA"/>
        </w:rPr>
        <w:cr/>
      </w:r>
    </w:p>
    <w:p>
      <w:pPr>
        <w:keepNext/>
        <w:spacing w:before="240" w:line="340" w:lineRule="atLeast"/>
        <w:rPr>
          <w:lang w:val="en-US" w:eastAsia="en-US" w:bidi="ar-SA"/>
        </w:rPr>
      </w:pPr>
      <w:bookmarkStart w:id="359" w:name="Counsel_41"/>
      <w:bookmarkEnd w:id="35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1" style="position:absolute;z-index:2518036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Yan Gertsoyg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M. Scott Kerwin</w:t>
      </w:r>
      <w:r>
        <w:rPr>
          <w:lang w:val="en-US" w:eastAsia="en-US" w:bidi="ar-SA"/>
        </w:rPr>
        <w:cr/>
      </w:r>
    </w:p>
    <w:p>
      <w:pPr>
        <w:spacing w:after="240"/>
        <w:rPr>
          <w:lang w:val="en-US" w:eastAsia="en-US" w:bidi="ar-SA"/>
        </w:rPr>
      </w:pPr>
      <w:bookmarkStart w:id="360" w:name="Judgment_41"/>
      <w:bookmarkEnd w:id="360"/>
      <w:r>
        <w:pict>
          <v:line id="_x0000_s1242" style="position:absolute;z-index:25185484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61" w:name="ARNOLD-BAILEY J."/>
            <w:bookmarkEnd w:id="361"/>
            <w:r>
              <w:rPr>
                <w:rFonts w:ascii="arial" w:eastAsia="arial" w:hAnsi="arial" w:cs="arial"/>
                <w:b/>
                <w:color w:val="000000"/>
                <w:sz w:val="30"/>
                <w:lang w:val="en-US" w:eastAsia="en-US" w:bidi="ar-SA"/>
              </w:rPr>
              <w:t>ARNOLD-BAILEY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Nature of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contested Chambers Application the orders sought by the Defendant relate to production of documents and an application to strike out certain paragraphs of the Statement of Claim, in an action for damages for breach of contract and an order for specific performance. The Defendant, British Airways PLC, is an air-carrier extra-provincial company, and the Plaintiff, Cimaco International Sales Inc., dba Cimaco Travel, is a travel agency company incorporated in British Columbia. At the material times the Plaintiff was appointed as an agent of the Defendant by the International Air Transport Association ("IATA") to issue air travel tickets on its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Nature of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brief summary of the nature and background to this litigation is relevant to the relief sought.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way of an Amended Statement of Claim filed in this Court on September 23, 2002, the Plaintiff, Cimaco International Sales Inc., dba Cimaco Travel (referred to as "Cimaco") seeks general damages for breach of contract and an order for specific performance of the agreement, arising out of an agreement between Cimaco and British Airways PLC (referred to as "British Airways"), pursuant to which Cimaco issued Net Fare or "discount" air travel tickets for British Airways as its agent, pursuant to the IATA Passenger Sales Agency Agreement. Cimaco alleges that this agreement with British Airways contained both written and oral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central dispute in the litigation is the allegation that British Airways breached the contract between the parties by restricting or withholding from Cimaco a certain category of tickets for sale to Cimaco clientele. Cimaco makes a number of other allegations, such as breach of the Competition Act and breach of trust.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date, this matter has a protracted history, initially having been commenced as an action in the Small Claims Division of the Provincial Court of British Columbia on July 26, 2001, where it was set for a three day, 16 witness trial. The matter was then transferred to this Court as a result of Dhillon P.C.J. s Pre-Trial Ruling, dated June 14, 2002. The learned judge considered whether or not the Provincial Court (Small Claims Division) had jurisdiction to grant a decree of specific performance of an agreement relating to personal property or services, if the value of the subject matter of the agreement was in excess of the $10,000 monetary limit of the Provincial Court. She concluded it did not, and granted leave to Cimaco to commence the transfer of this action to the Supreme Court of British Columbia, which it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Chronology, filed by British Airways on this application, sets out various steps the parties have taken to date. Those steps include that since transfer to this Court, British Airways has on three occasions, prior to October of 2004, issued demands under Rule 26(8) for production of the written contract. Also noted in the Chronology are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on October 5, 2004, Cimaco delivered an Appointment to Examine for Discovery and scheduled an examination of a former British Airways' employee;</w:t>
      </w:r>
    </w:p>
    <w:p>
      <w:pPr>
        <w:spacing w:before="120" w:line="260" w:lineRule="atLeast"/>
        <w:ind w:left="720"/>
        <w:rPr>
          <w:lang w:val="en-US" w:eastAsia="en-US" w:bidi="ar-SA"/>
        </w:rPr>
      </w:pPr>
      <w:r>
        <w:rPr>
          <w:rFonts w:ascii="arial" w:eastAsia="arial" w:hAnsi="arial" w:cs="arial"/>
          <w:color w:val="000000"/>
          <w:sz w:val="20"/>
          <w:lang w:val="en-US" w:eastAsia="en-US" w:bidi="ar-SA"/>
        </w:rPr>
        <w:t>- on October 15, 2004, British Airways delivered Interrogatories;</w:t>
      </w:r>
    </w:p>
    <w:p>
      <w:pPr>
        <w:spacing w:before="120" w:line="260" w:lineRule="atLeast"/>
        <w:ind w:left="720"/>
        <w:rPr>
          <w:lang w:val="en-US" w:eastAsia="en-US" w:bidi="ar-SA"/>
        </w:rPr>
      </w:pPr>
      <w:r>
        <w:rPr>
          <w:rFonts w:ascii="arial" w:eastAsia="arial" w:hAnsi="arial" w:cs="arial"/>
          <w:color w:val="000000"/>
          <w:sz w:val="20"/>
          <w:lang w:val="en-US" w:eastAsia="en-US" w:bidi="ar-SA"/>
        </w:rPr>
        <w:t>- on October 19, 2004, British Airways delivered a Notice of Motion for the production of the January 1993 contract and to strike out pleadings under Rule 19(24);</w:t>
      </w:r>
    </w:p>
    <w:p>
      <w:pPr>
        <w:spacing w:before="120" w:line="260" w:lineRule="atLeast"/>
        <w:ind w:left="720"/>
        <w:rPr>
          <w:lang w:val="en-US" w:eastAsia="en-US" w:bidi="ar-SA"/>
        </w:rPr>
      </w:pPr>
      <w:r>
        <w:rPr>
          <w:rFonts w:ascii="arial" w:eastAsia="arial" w:hAnsi="arial" w:cs="arial"/>
          <w:color w:val="000000"/>
          <w:sz w:val="20"/>
          <w:lang w:val="en-US" w:eastAsia="en-US" w:bidi="ar-SA"/>
        </w:rPr>
        <w:t>- Cimaco advised it would not be answering any of the outstanding Interrogatories, and after further exchanges, the matter of the Interrogatories was heard in Chambers before Master Barber on January 28, 2005. At that time Cimaco had answered 3 of the 16 interrogatories. Master Barber did not grant an order compelling Cimaco to respond to the remaining Interrogatories, but granted British Airways leave to re-apply;</w:t>
      </w:r>
    </w:p>
    <w:p>
      <w:pPr>
        <w:spacing w:before="120" w:line="260" w:lineRule="atLeast"/>
        <w:ind w:left="720"/>
        <w:rPr>
          <w:lang w:val="en-US" w:eastAsia="en-US" w:bidi="ar-SA"/>
        </w:rPr>
      </w:pPr>
      <w:r>
        <w:rPr>
          <w:rFonts w:ascii="arial" w:eastAsia="arial" w:hAnsi="arial" w:cs="arial"/>
          <w:color w:val="000000"/>
          <w:sz w:val="20"/>
          <w:lang w:val="en-US" w:eastAsia="en-US" w:bidi="ar-SA"/>
        </w:rPr>
        <w:t>- on January 31, 2005, Cimaco refused to execute the authorization regarding its income tax records, a request for same having been made by British Airways on December 20, 2004;</w:t>
      </w:r>
    </w:p>
    <w:p>
      <w:pPr>
        <w:spacing w:before="120" w:line="260" w:lineRule="atLeast"/>
        <w:ind w:left="720"/>
        <w:rPr>
          <w:lang w:val="en-US" w:eastAsia="en-US" w:bidi="ar-SA"/>
        </w:rPr>
      </w:pPr>
      <w:r>
        <w:rPr>
          <w:rFonts w:ascii="arial" w:eastAsia="arial" w:hAnsi="arial" w:cs="arial"/>
          <w:color w:val="000000"/>
          <w:sz w:val="20"/>
          <w:lang w:val="en-US" w:eastAsia="en-US" w:bidi="ar-SA"/>
        </w:rPr>
        <w:t>- on February 4, 2005, Cimaco delivered a Notice of Motion to add defendants and allegations of a civil conspiracy to this action;</w:t>
      </w:r>
    </w:p>
    <w:p>
      <w:pPr>
        <w:spacing w:before="120" w:line="260" w:lineRule="atLeast"/>
        <w:ind w:left="720"/>
        <w:rPr>
          <w:lang w:val="en-US" w:eastAsia="en-US" w:bidi="ar-SA"/>
        </w:rPr>
      </w:pPr>
      <w:r>
        <w:rPr>
          <w:rFonts w:ascii="arial" w:eastAsia="arial" w:hAnsi="arial" w:cs="arial"/>
          <w:color w:val="000000"/>
          <w:sz w:val="20"/>
          <w:lang w:val="en-US" w:eastAsia="en-US" w:bidi="ar-SA"/>
        </w:rPr>
        <w:t>- on March 16, 2005, British Airways delivered its Notice of Motion to compel production of income tax records and the January 1993 contract, responses to the remaining Interrogatories and to strike pleadings. On April 14, 2005, British Airways scheduled a hearing date for its March 16th motion as Cimaco had not yet served all of the parties it sought to add as defendants, as referred to in its previous Notice of Motion;</w:t>
      </w:r>
    </w:p>
    <w:p>
      <w:pPr>
        <w:spacing w:before="120" w:line="260" w:lineRule="atLeast"/>
        <w:ind w:left="720"/>
        <w:rPr>
          <w:lang w:val="en-US" w:eastAsia="en-US" w:bidi="ar-SA"/>
        </w:rPr>
      </w:pPr>
      <w:r>
        <w:rPr>
          <w:rFonts w:ascii="arial" w:eastAsia="arial" w:hAnsi="arial" w:cs="arial"/>
          <w:color w:val="000000"/>
          <w:sz w:val="20"/>
          <w:lang w:val="en-US" w:eastAsia="en-US" w:bidi="ar-SA"/>
        </w:rPr>
        <w:t>- in a further effort to determine the nature of the written contract relied upon by Cimaco, on April 29, 2005, British Airways delivered a Notice to Admit requesting Cimaco to admit that Document 55 on its List of Documents was the January 1993 contract referenced in its Statement of Claim;</w:t>
      </w:r>
    </w:p>
    <w:p>
      <w:pPr>
        <w:spacing w:before="120" w:line="260" w:lineRule="atLeast"/>
        <w:ind w:left="720"/>
        <w:rPr>
          <w:lang w:val="en-US" w:eastAsia="en-US" w:bidi="ar-SA"/>
        </w:rPr>
      </w:pPr>
      <w:r>
        <w:rPr>
          <w:rFonts w:ascii="arial" w:eastAsia="arial" w:hAnsi="arial" w:cs="arial"/>
          <w:color w:val="000000"/>
          <w:sz w:val="20"/>
          <w:lang w:val="en-US" w:eastAsia="en-US" w:bidi="ar-SA"/>
        </w:rPr>
        <w:t>- on May 5, 2005, Cimaco denied that Document 55 was the January 1993 contract and denied its authenticity. On the same date Cimaco delivered a document entitled "Deal 4925737" and indicated that this was the agreement referred to in the Statement of Claim. This document had not previously been listed in a document list;</w:t>
      </w:r>
    </w:p>
    <w:p>
      <w:pPr>
        <w:spacing w:before="120" w:line="260" w:lineRule="atLeast"/>
        <w:ind w:left="720"/>
        <w:rPr>
          <w:lang w:val="en-US" w:eastAsia="en-US" w:bidi="ar-SA"/>
        </w:rPr>
      </w:pPr>
      <w:r>
        <w:rPr>
          <w:rFonts w:ascii="arial" w:eastAsia="arial" w:hAnsi="arial" w:cs="arial"/>
          <w:color w:val="000000"/>
          <w:sz w:val="20"/>
          <w:lang w:val="en-US" w:eastAsia="en-US" w:bidi="ar-SA"/>
        </w:rPr>
        <w:t>- since May 5, 2005, Cimaco has reiterated its position that it will not provide any income tax records to British Airways unless the latter reciprocates and has asserted that certain information contained in the income tax returns sought is confidential. Cimaco also has not added the additional defendants it seeks to add to these proceedings, insofar as they were not joined to the proceedings as of May 16, 2005, when this matter was heard in Chambers.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Nature of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various orders sought by British Airways in this application, which are opposed by counsel for Cimaco, relate to production of Cimaco's income tax returns, production of the written contract upon which Cimaco bases its claim and the provision of a Supplemental List of Documents, an order compelling answers to certain Interrogatories, and an application to strike out certain paragraphs in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Cimaco's Income Tax Returns: British Airways seeks an Order under Rules 1(12) and 26(1.1) that Cimaco prepare and deliver to British Airways a Supplemental List of Documents that includes its income tax returns for the years 1996 to 2004 inclusive, and make copies of these documents available for inspection. British Airways submits that this financial information is relevant and not confidential, given the nature of Cimaco's claim for damages for financial loss arising from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Cimaco's position vis-à-vis the income tax records is that they are not relevant to the claim as it is founded in contract, and the records contain confidential information, including information that relates to an unrelated business carried on by it, and information that may give its competitors an advantage in the market place should they become aware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January 1993 Contract: Despite reference to an agreement dated January 21, 1993 as the basis of its claim, and numerous previous requests by British Airways pursuant to Rule 26(8) for its production, the relevant document was only produced on May 5, 2005. British Airways had asserted the relevant contract with Cimaco was a written contract dated May 1999, which contained a provision allowing either party to terminate on 30 days notice. Therefore, British Airways now seeks an order under Rule 26(10) and (13) of the Rules of Court requiring Cimaco to produce the document that constitutes the written contract referred to in its Statement of Claim, and to deliver a Supplementary List of Documents correctly listing the document delivered on May 5, 2005, as the written contract upon which its claim is based, to be delivered with 10 days of the pronouncement of this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Cimaco's response to the issue relating to the production of the written contract referred to in its Statement of Claim is somewhat confusing. Either it is asserting that any differences between the purported written contracts as provided are incidental (perhaps due to an oversight or some unspecified confusion), or it is asserting there is no material difference.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Responses to Interrogatories: British Airways seeks an Order under Rule 29 that Cimaco Travel respond to certain Interrogatories concerning its profits and revenues derived from its business with airlines other than British Airlines, which British Airways submits is relevant to a determination as to whether a notice period of 30 days to terminate the contract was sufficient. The submission made to Master Barber in this regard was, if, for example 90% of Cimaco's business was with British Airways at the time the contract was terminated by British Airways, then the law might require a period of notice greater than 30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Cimaco's position is that the matter is res judicata and British Airways is obliged to bring the matter of answers to the unanswered Interrogatories, including questions as to Cimaco's dealings with other airlines, back before a Master of the Court after discoveries have been held. Cimaco's counsel submits this is the outcome of the Proceedings in Chambers held before Master Barber on January 28, 2005, (based on the transcript at Tab 7 of the Chambers Brief).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Application to Strike Out Certain Pleadings: British Airways seeks an Order under Rule 19(24) striking out Paragraphs 13, 14, 16 and 17 of Cimaco's Statement of Claim. Paragraphs 13 and 14 allege graft, patronage, and corruption on the part of certain British Airways employees, without a factual foundation. Paragraphs 16 and 17 allege that British Airways violated of the rules of IATA, and engaged in criminal conduct under the Competition Act, without pleading any material facts to support these allegations. British Airways submits that such improper and unfounded allegations only serve to prejudice and delay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Cimaco's counsel, Mr. Gertsoyg, indicated to the Court that he is in the process of adding other defendants to this action, but was unable to complete that prior to this hearing, due to the schedules of various counsel. This is apparently pursuant to a Notice of Motion he delivered to British Airways on February 4, 2005, in which he seeks to add additional defendants to this action, and allegations of a civil conspiracy.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 and Findings of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Before setting out my findings in relation to the matters set out above, I make two comments.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is that I do not regard myself seized of the application to strike out certain paragraphs of the Statement of Claim, but I will make a direction in relation to that aspect of this application, in light of the age of this action and Cimaco's outstanding application to add defendants and a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is regarding the issue of res judicata in the context of Master Barber's prior ruling as to the issue of compelling responses to the outstanding questions posed by way of Interrogatories. Cimaco submits that British Airways may not now renew its application for an Order compelling Cimaco to answer the outstanding Interrogatories before me, as Master Barber has ruled upon the matter. Master Barber declined to order the Interrogatories be answered, but indicated that British Airways may renew its application after Examinations for Discovery have been conducted.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doctrine of res judicata has been found not to have application in circumstances of a discretionary interlocutory order: Banman v. Weipert </w:t>
      </w:r>
      <w:hyperlink r:id="rId854" w:history="1">
        <w:r>
          <w:rPr>
            <w:rFonts w:ascii="arial" w:eastAsia="arial" w:hAnsi="arial" w:cs="arial"/>
            <w:i/>
            <w:color w:val="0077CC"/>
            <w:sz w:val="20"/>
            <w:u w:val="single"/>
            <w:shd w:val="clear" w:color="auto" w:fill="FFFFFF"/>
            <w:lang w:val="en-US" w:eastAsia="en-US" w:bidi="ar-SA"/>
          </w:rPr>
          <w:t>(1999), 179 D.L.R. (4th) 487</w:t>
        </w:r>
      </w:hyperlink>
      <w:r>
        <w:rPr>
          <w:rFonts w:ascii="arial" w:eastAsia="arial" w:hAnsi="arial" w:cs="arial"/>
          <w:color w:val="000000"/>
          <w:sz w:val="20"/>
          <w:lang w:val="en-US" w:eastAsia="en-US" w:bidi="ar-SA"/>
        </w:rPr>
        <w:t xml:space="preserve"> at 491 (per Hollinrake J.A.), (B.C.C.A.). As the actual decision of Master Barber is explicitly not final, by virtue of his giving British Airways the option to renew its application to compel Cimaco to answer the outstanding Interrogatories after Examinations for Discovery have been conducted, I find the doctrine to have no application here. This is particularly so as I characterize the Master's decision to be procedural as opposed to substantive, as those terms are discussed in the cases.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Production of Cimaco Travel's Income Tax Returns: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having reviewed the material filed, the cases referred to by counsel for British Airways, and having considered the submissions of counsel for both parties, that I am not prepared to order production of Cimaco's income tax returns for the years sought. I do not consider the material likely to be contained in them to be directly relevant to Cimaco's claim for general damages arising out of an alleged breach of the contract with British Airways.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British Airways submitted that the income tax returns sought were relevant to this action as a record of income and business losses. Counsel for Cimaco submitted that Cimaco's claim against British Airways does not include a claim for general loss of profits from all potential sources of income for the years in question. Its claim is founded in its contract with British Airways.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Counsel for British Airways referred to a number of cases, including Fiege v. Rupitz, </w:t>
      </w:r>
      <w:hyperlink r:id="rId855" w:history="1">
        <w:r>
          <w:rPr>
            <w:rFonts w:ascii="arial" w:eastAsia="arial" w:hAnsi="arial" w:cs="arial"/>
            <w:i/>
            <w:color w:val="0077CC"/>
            <w:sz w:val="20"/>
            <w:u w:val="single"/>
            <w:shd w:val="clear" w:color="auto" w:fill="FFFFFF"/>
            <w:lang w:val="en-US" w:eastAsia="en-US" w:bidi="ar-SA"/>
          </w:rPr>
          <w:t>[2001] B.C.J. No. 1579</w:t>
        </w:r>
      </w:hyperlink>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2001 BCCA 482</w:t>
        </w:r>
      </w:hyperlink>
      <w:r>
        <w:rPr>
          <w:rFonts w:ascii="arial" w:eastAsia="arial" w:hAnsi="arial" w:cs="arial"/>
          <w:color w:val="000000"/>
          <w:sz w:val="20"/>
          <w:lang w:val="en-US" w:eastAsia="en-US" w:bidi="ar-SA"/>
        </w:rPr>
        <w:t xml:space="preserve"> (per Levine J.A. at para. 15), for the proposition that "where a plaintiff makes a claim for financial loss ... his financial records must be said to relate to an issue in question in the matter" and are therefore to be produced. I note in that case, as in other cases referred to by British Airways, the claim was for loss of income and loss of earning capacity as a result of injuries sustained in a motor vehicle accident, i.e. not contractual matters. I note that income tax returns, while often produced in cases of wrongful dismissal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are not routinely disclosed in cases of breach of contract. Income tax returns may contain sensitive information of a private nature to the entity required to file. This is particularly so in the context of a business engaged in a competitive enterprise. By their very nature, income tax returns are inclusive of all income and losses pertaining to the particular corporate entity, not just as they may relate to one contract or business transaction. Disclosed in a contractual dispute, income tax returns might well provide the other party with information otherwise unavailable and irrelevant that could confer an unfair competitive advantage, particularly in the context of on-going commercial enterprises. Keeping in mind that the burden rests upon Cimaco, as the plaintiff, to establish losses arising from the alleged breach of contact, financial statements or other types of financial information ought to suffice.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British Airways submits as the length of notice of termination of the contract may become an issue, it is entitled to production of Cimaco's income tax returns for the years 1996 to 2004. I do not accept this submission. Whether or not Cimaco was able to make up elsewhere the business it purportedly lost as a result of the termination of the contract with British Airways (as may be disclosed in its income tax returns for the years sought) is, at this point irrelevant.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accept that if Cimaco's income tax returns were relevant to its claim, it would be unlikely to resist their production based on a claim of privacy or confidentiality: Fiege v. Rupitz, supra, at para. 10, but that is not the case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Therefore, Cimaco's income tax returns for the years 1996 to 2004 are not required to be produced to British Airways.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Production of the January 1993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clear upon reviewing the documents contained in Chambers Record Index that British Airways made numerous prior requests for confirmation as to the written contract upon which Cimaco based its claim, including inquiries as to whether or not Document 55 on Cimaco's List of Documents, dated November 21, 2002, described as "undated Deal 4925737 by British Airways" was the written contract. One such inquiry was by letter, dated March 24, 2003, (Tab L to Noel Affidavit found at Tab 9 of the Chambers Brief) asking if Document 55 (3 pages) was "the January 1993 Contract referenced in the statement of claim". If not, counsel for British Airways gave notice by letter based on Rule 26(8) of the Rules of Court seeking production of the January 1993 Contract within 2 days. Another request was as set out in the Notice to Admit sent to counsel for Cimaco dated April 29, 2005, (Tab 10 of the Chambers Brief), which gave rise to the response from counsel for Cimaco that the authenticity of Document 55 was denied, and subsequent production of another document. There is no question that this one page document (also confusingly labelled "55" in the corner, appended to the Ileman Affidavit at Tab 12) is not what was previously produced as the three-page Document 55. The document disclosed May 5, 2005, is for a time period of "21 January 1993 to 31 March 1993", where as the previously produced Document 55 is for a time period of "04 January 1993 to 20 January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Therefore, I find having reviewed the material filed and having considered the submissions of counsel, that British Airways is entitled under Rule 26(13) of the Rules of Court to delivery, within 10 days of the pronouncement of this order, a Supplemental List of Documents listing this recently-produced document, which purports to be the written contract referred to in paragraphs 5 and 6 of the Statement of Claim. It is unacceptable that a different document be produced so late in the day after numerous requests for clarification by counsel for British Airways. Whether the withholding of this document was due to inadvertence, or to some misconstrued notion of advantage to Cimaco, is not relevant at this stage of the proceedings. British Airways is entitled to succeed with this aspect of its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Responses to Interrogatories: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Having reviewed the nature of the questions posed in the Interrogatories that remain unanswered by Cimaco and the reasons of Master Barber in relation to the same, I find I agree that the relevance of those unanswered questions is not evident in relation to the nature of the breach of contract as alleged in the pleadings. How much of Cimaco's gross value or profits were derived from business with other airlines at the material time seems irrelevant to the cause of action as framed. In his reasons, Master Barber indicated that British Airways was at liberty to reapply to have these questions answered after Examinations for Discovery had occurred. I agree. I too fail to see how this information is relevant to British Airway's defence for an alleged breach of contract, or in relation to Cimaco's claim for damages arising from breach of contact. Should it emerge after Examinations for Discovery that this information is relevant in terms of determining reasonable notice, British Airways may re-apply as suggested by Master Barber.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Therefore, this aspect of British Airways application is denied.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Application to Strike Out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application British Airways indicated it sought to have paragraphs 13, 14, 16 and 17 of the Statement of Claim stuck out, pursuant to Rule 19(24) of the Rules of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 indicated to counsel at the hearing, this aspect of the application ought properly to be heard after Cimaco's application to add defendants to this action, and to add allegations of a civil conspiracy, has been determined. However, given the protracted history of this action and the delivery of Cimaco's Notice of Motion to counsel for British Airways on February 4, 2005, those matters must proceed expeditiously. In the event Cimaco does not proceed in a timely way with its application to add parties and allegations of civil conspiracy, then British Airways should renew its application to strike the paragraphs of the pleadings previously referred to, within 90 days.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the Defendant, British Airways, is entitled to costs in relation to this application, in any event of the cause, on Scale 3, payable forthwith and within 30 days, unless further leave of the court is obtained, given Cimaco's repeated failure to produce the written contract referred to in its Statement of Claim.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 of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I find: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British Airways is not entitled to production of Cimaco's income tax returns for the years 1996 to 2004;</w:t>
      </w:r>
    </w:p>
    <w:p>
      <w:pPr>
        <w:spacing w:before="120" w:line="260" w:lineRule="atLeast"/>
        <w:ind w:left="720"/>
        <w:rPr>
          <w:lang w:val="en-US" w:eastAsia="en-US" w:bidi="ar-SA"/>
        </w:rPr>
      </w:pPr>
      <w:r>
        <w:rPr>
          <w:rFonts w:ascii="arial" w:eastAsia="arial" w:hAnsi="arial" w:cs="arial"/>
          <w:color w:val="000000"/>
          <w:sz w:val="20"/>
          <w:lang w:val="en-US" w:eastAsia="en-US" w:bidi="ar-SA"/>
        </w:rPr>
        <w:t>- British Airways is entitled under Rule 26(13) of the Rules of Court to delivery, within 10 days of the pronouncement of this order, a Supplemental List of Documents listing the recently produced document, which purports to be the written contract referred to in paragraphs 5 and 6 of the Statement of Claim;</w:t>
      </w:r>
    </w:p>
    <w:p>
      <w:pPr>
        <w:spacing w:before="120" w:line="260" w:lineRule="atLeast"/>
        <w:ind w:left="720"/>
        <w:rPr>
          <w:lang w:val="en-US" w:eastAsia="en-US" w:bidi="ar-SA"/>
        </w:rPr>
      </w:pPr>
      <w:r>
        <w:rPr>
          <w:rFonts w:ascii="arial" w:eastAsia="arial" w:hAnsi="arial" w:cs="arial"/>
          <w:color w:val="000000"/>
          <w:sz w:val="20"/>
          <w:lang w:val="en-US" w:eastAsia="en-US" w:bidi="ar-SA"/>
        </w:rPr>
        <w:t>- the doctrine of res judicata has no application to the decision of Master Barber in relation to the unanswered Interrogatories, and British Airways may reapply after Examinations for Discovery have been held; and in any event I agree with the decision of Master Barber not to order those questions to be answered at this time;</w:t>
      </w:r>
    </w:p>
    <w:p>
      <w:pPr>
        <w:spacing w:before="120" w:line="260" w:lineRule="atLeast"/>
        <w:ind w:left="720"/>
        <w:rPr>
          <w:lang w:val="en-US" w:eastAsia="en-US" w:bidi="ar-SA"/>
        </w:rPr>
      </w:pPr>
      <w:r>
        <w:rPr>
          <w:rFonts w:ascii="arial" w:eastAsia="arial" w:hAnsi="arial" w:cs="arial"/>
          <w:color w:val="000000"/>
          <w:sz w:val="20"/>
          <w:lang w:val="en-US" w:eastAsia="en-US" w:bidi="ar-SA"/>
        </w:rPr>
        <w:t>- the application to strike certain paragraphs in the Statement of Claim ought not to be heard until Cimaco has moved ahead with its application to add further defendants and allegations of civil conspiracy, or after 90 days, if Cimaco does not move in a timely way in relation to the Notice of Motion delivered to British Airways on February 4, 2005; and</w:t>
      </w:r>
    </w:p>
    <w:p>
      <w:pPr>
        <w:spacing w:before="120" w:line="260" w:lineRule="atLeast"/>
        <w:ind w:left="720"/>
        <w:rPr>
          <w:lang w:val="en-US" w:eastAsia="en-US" w:bidi="ar-SA"/>
        </w:rPr>
      </w:pPr>
      <w:r>
        <w:rPr>
          <w:rFonts w:ascii="arial" w:eastAsia="arial" w:hAnsi="arial" w:cs="arial"/>
          <w:color w:val="000000"/>
          <w:sz w:val="20"/>
          <w:lang w:val="en-US" w:eastAsia="en-US" w:bidi="ar-SA"/>
        </w:rPr>
        <w:t>- British Airways is entitled to costs in relation to this application, in any event of the cause, based on Schedule 3, payable forthwith and within 30 days, unless further leave of the Court is granted.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ARNOLD-BAILEY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02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Coutinho &amp; Ferrostaal GmbH v. Tracomex (Canada) Ltd., [2015] B.C.J. No. 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26-30, June 3-6, August 18-20,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2014; January 12-14, 16, 19-22,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27-30,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S116044, S120939, S122034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255 A.C.W.S. (3d)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P.P.S.A.C. (4th)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77 B.C.L.R. (5th)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B.L.R. (5th) 262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Coutinho &amp; Ferrostaal GmbH, Plaintiff, and Tracomex (Canada) Ltd., Metales Tracomex Limitada, Jorge Mitarakis, Pola Namias, Super H. Holdings Ltd., Westcan Rail Ltd., Defendants And between Imbamar S.A., Plaintiff, and Coutinho &amp; Ferrostaal GmbH, Defendant And between 0291633 Manitoba Ltd., Plaintiff, and Tracomex (Canada) Ltd., Metales Tracomex Limitada, Coutinho &amp; Ferrostaal GmbH, and Imbamar S.A.,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2" w:name="Keywords_42"/>
      <w:bookmarkEnd w:id="362"/>
      <w:r>
        <w:rPr>
          <w:rFonts w:ascii="arial" w:eastAsia="arial" w:hAnsi="arial" w:cs="arial"/>
          <w:b/>
          <w:color w:val="000000"/>
          <w:sz w:val="20"/>
          <w:lang w:val="en-US" w:eastAsia="en-US" w:bidi="ar-SA"/>
        </w:rPr>
        <w:t>Commercial law — Sale of goods — Implied conditions — Right to sell — Action by Imbamar SA for declaration that it had purchased steel rail as bona fide purchaser and for value in ordinary course of Trac Chile's business and that title to rail passed to Imbamar dismissed — Imbamar knew that it was dealing with dishonest individuals who had been prepared to engage in a fraud against C&amp;F by preparing fraudulent export documentation for rails and had indications that Trac Chile might not have ability to sell the rails — Krause was not C&amp;F's agent in relation to his dealings with Imbamar or the formation of the Imbamar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Secured transactions — Subordination of unperfected security interest — Action by 029 Manitoba for declaration that its security interest in steel rail had priority over Imbamar's interest in that rail allowed — C&amp;F purchased steel rails from Trac Canada and then sold rails to Trac Chile which then sold rails to Imbamar SA — At trial, C&amp;F obtained rescission of contract with Trac Chile due to fraudulent misrepresentation — 029 Manitoba had made loans to Trac Canada — Trac Canada or Trac Chile had provided 029 with various general security agreements purporting to charge all or part of steel rail — Trac Chile contract created a security interest — Imbamar contract was, in substance, an unperfected security interest.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Equitable remedies — Rescission — Perfected security interest in same collateral — Action by C&amp;F for rescission of contract to sell steel rail to Trac Chile allowed — C&amp;F purchased used steel rails from Trac Canada and then sold rails to Trac Chile which then sold rails to Imambar SA — It was a term of those contracts that the steel rails be shipped from BC to the US. Defendants fraudulently represented that steel was shipped across US border — C&amp;F was induced to enter the Trac Chile contract based on the fraudulent representations.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3" w:name="Case Summary_40"/>
            <w:bookmarkEnd w:id="3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actions regarding back to back contracts for the purchase of steel rail. In the first action C&amp;F, a German company, sued for rescission of a contract with Trac Chile. C&amp;F purchased used steel rails from Trac Canada and then sold the steel rails to Trac Chile which then sold the steel to Imambar SA. It was a term of those contracts that the steel rails be shipped from BC to the US. Germany, in support of German businesses involved in international trade, provided export insurance through a legislated product. It was an essential pre-condition of such export insurance that the goods in question crossed an international border. C&amp;F alleged that the defendants provided C&amp;F with bills of lading and other documents that fraudulently represented that the steel rail had been shipped across the US border. In the second action Imbamar SA, an Uruguayan company, sued C&amp;F alleging that it was advised by Krause, who it argued was C&amp;F's agent in Chile, that Trac Chile, rather than C&amp;F, had title to the steel rail. Imambar alleged that it was told by Krause that C&amp;F was not only aware of the fraudulent nature of the bills of lading and other commercial documents, but that C&amp; F had actually overseen and directed the preparation of such fraudulent materials. It argued that it relied on Krause's representations, as agent for C&amp;F, that it purchased the steel rail bona fide and for value in the ordinary course of Trac Chile's business, and that title to the steel rail passed to it. 029 Manitoba had made a series of loans to Trac Canada. Trac Canada or Trac Chile had provided 029 with various general security agreements purporting to charge all or part of the Steel Rail located in BC. In the third action 029 alleged that the agreement between Imbamar and Trac Chile for the steel rail was in substance a security agreement, and that 029's registration of its interest in the steel rail took priority over Imbamar's interest in that rail.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4" w:name="Holdings of Court_37"/>
            <w:bookmarkEnd w:id="364"/>
            <w:r>
              <w:rPr>
                <w:rFonts w:ascii="arial" w:eastAsia="arial" w:hAnsi="arial" w:cs="arial"/>
                <w:color w:val="000000"/>
                <w:sz w:val="20"/>
                <w:lang w:val="en-US" w:eastAsia="en-US" w:bidi="ar-SA"/>
              </w:rPr>
              <w:t>HELD: Imbamar's action against C&amp;F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Imbamar knew that Krause and others were not honest individuals prepared to be complicit in a fraud. Imambar knew it was dealing with dishonest individuals who had been prepared to engage in a fraud. Third parties could not rely on the assurances of an agent, known to them to be dishonest, in relation to the very transaction at issue, to bind an innocent principal. C&amp;F's action was allowed. C&amp;F was induced to enter the Trac Chile contract based on the fraudulent representations made to it by or on behalf of Trac Chile. Valid title in the steel rail did not pass from Trac Chile to Imbamar as either a good-faith purchaser or in the ordinary course of Trac Chile's business. Imbamar was aware of the fraudulent misrepresentation and had indications that Trac Chile might not have the ability to sell the steel rail. Krause was not C&amp;F's agent in relation to his dealings with Imbamar or the formation of the Imbamar contract. The formation of the Imbamar contract was thus not a bar to rescission of the Trac Chile contract. C&amp;F held title in the steel rail. The Trac Chile contract created a security interest. The Imbamar contract was, in substance, an unperfected security interest. 029's perfected security interest had priority over Imbamar's interests.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5" w:name="Legislation Cited_39"/>
      <w:bookmarkEnd w:id="3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Sales of Goods Act,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Property Security Act, </w:t>
      </w:r>
      <w:r>
        <w:rPr>
          <w:rFonts w:ascii="arial" w:eastAsia="arial" w:hAnsi="arial" w:cs="arial"/>
          <w:i/>
          <w:color w:val="000000"/>
          <w:sz w:val="20"/>
          <w:lang w:val="en-US" w:eastAsia="en-US" w:bidi="ar-SA"/>
        </w:rPr>
        <w:t>RSBC 1996, CHAPTER 359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  "collateral", s. 2(1)    R s. 2(1)(b)    R s. 10(1)(d) R s. 19    R s. 24(1)(b)    R s. 25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hyperlink r:id="rId863" w:history="1">
        <w:r>
          <w:rPr>
            <w:rFonts w:ascii="arial" w:eastAsia="arial" w:hAnsi="arial" w:cs="arial"/>
            <w:i/>
            <w:color w:val="0077CC"/>
            <w:sz w:val="20"/>
            <w:u w:val="single"/>
            <w:shd w:val="clear" w:color="auto" w:fill="FFFFFF"/>
            <w:lang w:val="en-US" w:eastAsia="en-US" w:bidi="ar-SA"/>
          </w:rPr>
          <w:t>RSBC 1996, CHAPTER 410, s. 2</w:t>
        </w:r>
      </w:hyperlink>
      <w:r>
        <w:rPr>
          <w:rFonts w:ascii="arial" w:eastAsia="arial" w:hAnsi="arial" w:cs="arial"/>
          <w:color w:val="000000"/>
          <w:sz w:val="20"/>
          <w:lang w:val="en-US" w:eastAsia="en-US" w:bidi="ar-SA"/>
        </w:rPr>
        <w:t>, s. 26, s. 28, s. 30, s. 30(2), s. 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6" w:name="Counsel_42"/>
      <w:bookmarkEnd w:id="3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Coutinho &amp; Ferrostaal GmbH: Alex L. Eged, David W.P. Moriarty.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Imbamar S.A.: Michelle Tribe, Rosalie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0291633 Manitoba Ltd.: Kieran Siddall, Scott Boucher.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7" w:name="Judgment_42"/>
      <w:bookmarkEnd w:id="367"/>
      <w:r>
        <w:pict>
          <v:line id="_x0000_s1247"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2) An Understanding of the Parties 3) Background and History 4) Changes in Position 5) The United Nations Convention on Contracts for the International Sale of Goods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Romalpa Clauses ii) The Focus of the Convention iii) The Interaction of Romalpa Clauses, The Convention and Domestic Law iv) Is the Trac Chile Contract and/or the Title Reservation Clause Governed by the PPSA? v) Interests Under the PPSA that are not Registered 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 Agency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Imbamar's Position</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Krause C &amp; F's Agent?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Agency ii) Implied Agency iii) Ostensible Authority iv) Agency and Section 26 of the SGA</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C &amp; F Entitled to Rescission of the Trac Chile Contract? 9) Did the Tracomex Companies Make a Fraudulent Misrepresentation to C &amp; F that Induced it to Enter into the Trac Chile Contract? 10) Limits on Rescission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Laches ii) Affirmation iii) Third-Party Rights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Ordinary Course of Business b) The "Good Faith" Issue</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Imbamar Contract Create a Security Interest that is Subject to the PPSA?</w:t>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The Analytical Framework ii) Proper Sources of Evidence iii) The Purpose of the Imbamar Contract iv) Value of the Steel Rail Relative to the Price in the Imbamar Contract v) The Repurchase Option vi) Obligations of Ownership</w:t>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Imbamar Abandon Possession of the Steel Rail so that 029's Registration of its Interest in the Steel Rail took Priority over Imbamar's Interests?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 Perfection and Priorities under the PPSA ii) Break in the Continuity of Imbamar's Possession</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8" w:name="P.G. VOITH J."/>
            <w:bookmarkEnd w:id="368"/>
            <w:r>
              <w:rPr>
                <w:rFonts w:ascii="arial" w:eastAsia="arial" w:hAnsi="arial" w:cs="arial"/>
                <w:b/>
                <w:color w:val="000000"/>
                <w:sz w:val="30"/>
                <w:lang w:val="en-US" w:eastAsia="en-US" w:bidi="ar-SA"/>
              </w:rPr>
              <w:t>P.G. VOITH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arise out of three separate actions that were tried at the same time:</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action No. S116044, Coutinho &amp; Ferrostaal GmbH, ("C &amp; F"), a German company, has sued several defendants including Tracomex (Canada) Ltd. ("Trac Canada"), Metales Tracomex Limited ("Trac Chile"), Jorge Mitarakis and his wife Pola Namias. Mr. Mitarakis was the president of both Tracomex companies. C &amp; F alleges that in "back-to-back" contracts dated July 22, 2009 and August 6, 2009 respectively. C &amp; F first bought 3,560 metric tonnes ("MT") of used steel scrap rails (the "Steel Rail"), from Trac Canada and then sold the Steel Rail to Trac Chile. It was a term of those contracts that the Steel Rail be shipped from a storage yard in Abbotsford, British Columbia to a terminal or storage facility near Tacoma, Washington. It is alleged,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the defendants provided C &amp; F with 155 bills of lading and other documents that fraudulently represented that the Steel Rail had been shipped across the United States' border when that was not so. C &amp; F seeks,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rescission of the contract it made with Trac Chile (the "Trac Chile Contract"). Mr. Mitarakis passed away prior to the trial of this matter, and neither the Tracomex companies nor Ms. Namias participated at trial.</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action No. S120939, Imbamar S.A. ("Imbamar"), a Uruguayan company, has sued C &amp; F. It alleges that it was advised by Mr. Bernd Krause, who it argues was C &amp; F's agent in Chile, that Trac Chile, rather than C &amp; F, had title to the Steel Rail. Moreover, it says it was told by Mr. Krause that C &amp; F was not only aware of the fraudulent nature of the bills of lading and other commercial documents, but that C &amp; F had actually overseen and directed the preparation of such fraudulent materials. It argues that it relied on Mr. Krause's representations,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agent for C &amp; F, that it purchased the Steel Rail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for value in the ordinary course of Trac Chile's business, and that title to the Steel Rail passed to it.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No. S122034, 0291633 Manitoba Ltd. ("029") has sued each of the Tracomex companies, Imbamar and C &amp; F. 029 alleges that it loaned money to Trac Canada. Those loans were never repaid. During the course of the trial, 029 discontinued its action against C &amp; F and it obtained default judgment against the two Tracomex companies. 029 argues that the agreement made between Imbamar and Trac Chile for the Steel Rail is, in substance, a security agreement, and that 029's registration of its interest in the Steel Rail takes priority over Imbamar's interest in that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number of factual and legal issues arise from these three actions and the pleadings that were filed in respect of them. Several of these issues were either conceded or abandoned during the trial. The primary issues which remain are:</w:t>
      </w:r>
      <w:r>
        <w:rPr>
          <w:rFonts w:ascii="arial" w:eastAsia="arial" w:hAnsi="arial" w:cs="arial"/>
          <w:sz w:val="20"/>
          <w:lang w:val="en-US" w:eastAsia="en-US" w:bidi="ar-SA"/>
        </w:rPr>
        <w:cr/>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relationship between the </w:t>
      </w:r>
      <w:r>
        <w:rPr>
          <w:rFonts w:ascii="arial" w:eastAsia="arial" w:hAnsi="arial" w:cs="arial"/>
          <w:i/>
          <w:color w:val="000000"/>
          <w:sz w:val="20"/>
          <w:lang w:val="en-US" w:eastAsia="en-US" w:bidi="ar-SA"/>
        </w:rPr>
        <w:t>United Nations Convention on Contracts for the International Sale of Goods</w:t>
      </w:r>
      <w:r>
        <w:rPr>
          <w:rFonts w:ascii="arial" w:eastAsia="arial" w:hAnsi="arial" w:cs="arial"/>
          <w:color w:val="000000"/>
          <w:sz w:val="20"/>
          <w:lang w:val="en-US" w:eastAsia="en-US" w:bidi="ar-SA"/>
        </w:rPr>
        <w:t>, 11 April 1980, 1489 UNTS 59,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and either or both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Krause the agent of C &amp; 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rescission of the Trac Chile Contract available to C &amp; F?</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Imbamar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for value of the Steel Rail without notice of C &amp; F's interests, or did Trac Chile's sale of the Steel Rail to Imbamar occur in the "ordinary course of its business"?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Imbamar Contract, in substance, a security agreement; and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Imbamar abandon possession of the Steel Rail so that 029's registration of its interest in the Steel Rail took priority over Imbamar's interests?</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An Understanding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 &amp; F is a German company that was formed in 2008 as a result of the merger of three existing entities. It is one of the largest steel trading companies in the world. It trades approximately 2.2 million metric tonnes of steel annually. It generates revenues in excess of $1 billion annually, and it has more than 300 employees. Approximately $200 million to $300 million of its annual business is conducted in South America. It has offices in various locations throughout the world, but it has no offices in South America and, in particular, in Chile.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Mitarakis and Ms. Namias were the shareholders of each of Trac Canada and Trac Chile. In the years leading into 2009, Mr. Mitarakis had been involved in the Latin American scrap-metal business. Trac Canada was apparently formed to access approximately 20,000 MT of used scrap rail that Canadian Pacific had put up for bid. Trac Canada was successful in its bid for that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Imbamar is a relatively small company that was incorporated in Uruguay. It had three employees in Uruguay and one in Chile. It was formed in 2007 to explore opportunities in various businesses, including businesses involved in steel plates and rails. It was incorporated in Uruguay to take advantage of various tax efficiencies. Its shareholders were Mr. Bezmalinovic and Mr. Solar, each of whom lives in Chile and each of whom was a witness at trial. Each is entrepreneurial by nature and each has a history of involvement in various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Bezmalinovic had significantly more experience in the used rail business, and he had been involved in the sale and purchase of new and used rail, through a company called Excedindus, for almost 40 years. Mr. Solar had no involvement with scrap steel prior to the formation of Imbamar, and he had had only limited involvement with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029 is a Manitoba company whose principal shareholder is Mr. Lazarus. Mr. Lazarus is a gentleman, likely in his 70s, who at one time owned and operated a scrapyard in Winnipeg, another in Montreal and two in Newfoundland. He and Mr. Mitarakis became friends. 029 made a series of loans to Trac Canada which are evidenced by various promissory notes and agreements that I will return to.</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Background and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history which follows develops a chronology that is largely uncontested. There are numerous facts, relevant to particular legal issues, which I intend to address more fully in the context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some point in April 2009, Mr. Krause, who resides in Santiago, Chile, contacted a Mr. Schwarzhaupt, who worked within C &amp; F, and advised him that Trac Chile was looking for financing to acquire approximately 20,000 MT of used rail from Canadian Pacific. Trac Canada had entered into a contract to acquire this rail from Canadian Pacific in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matter was referred to Mr. Doelle. Mr. Doelle was one of two C &amp; F representatives who gave evidence at trial. His 25-year work history has focused on international banking, credit facilities and import and export transactions. He had been employed by one of the entities that were merged into C &amp; F when that company was formed in 2008 and, at that time, he became C &amp; F's Managing Director. He has since become its Chief Financial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Doelle explained that under German law, German companies cannot lend money. Accordingly, Mr. Doelle advised Mr. Krause that C &amp; F could not provide financing to Trac Chile. It was, however, prepared to enter into a "back-to-back" transaction if it could obtain "credit insurance" for that transaction. Each component of this evidence requires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"back-to-back" transaction is a set of two contracts that are concluded in tandem. C &amp; F will, for example, acquire steel through one contract and then, almost simultaneously, enter into a second contract with a purchaser for that same steel. These contracts are concluded concurrently to avoid price risk. Approximately 90% of C &amp; F's business is conducted through "back-to-back" contracts. Approximately 70% of such "back-to-back" contracts involve an export component, meaning that the steel in question crosses an international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Federal Republic of Germany, in support of German businesses that are involved in international trade, provides export insurance through a legislated product. Thus, C &amp; F, as is the case with many other German companies, has in place a general insurance policy for transactions that involve an export component. The mandated broker for this government programme is an entity called Euler Hermes. Such export insurance covers a variety of risks such as war, conversion of the insured product, or the insolvency or non-payment by a customer. It is an essential pre-condition of such insurance, as "export insurance", that the goods in question cross an international border. It is C &amp; F's policy to endeavour to obtain export insurance for all transactions where such insurance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in this case, C &amp; F eventually entered into "back-to-back" contracts with the following components and requirements:</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22, 2009, Trac Canada and C &amp; F entered into a contract for the purchase of the Steel Rail. C &amp; F purchased the Steel Rail for $1,134,856.80 CA. This equates to $318.78 CA per MT. Importantly, this contract also required that certain documents, including bills of lading and a certificate of origin, would have to be provided to C &amp; F before payment was made to Trac Canada.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that same day, C &amp; F sold the Steel Rail to Trac Chile for $1,252,586 CA as per the Trac Chile Contract. Trac Chile was provided 90 days to make payment. Under the terms of the Trac Chile Contract, though Trac Chile had possession of the Steel Rail, title to the Steel Rail remained with C &amp; F until the Steel Rail was paid for.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these contracts that the Steel Rail be transported to Tacoma, Washington. The reality is that the Steel Rail was never shipped to Tacoma, Washington and it had, instead, remained in storage yards in Abbotsford, British Columbia.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transaction with Trac Chile, C &amp; F required the company to sign a "pagare". The precise nature and legal effect of a pagare is an issue I will return to. The position of C &amp; F is that it is a promissory note that merely evidences a debt. The position of Imbamar is that it is a negotiable instrument provided in substitution for a primary obligation. Thus, for example, Imbamar says that, in this case, when Trac Chile provided the signed pagare to C &amp; F, C &amp; F's ownership interest in the Steel Rail came to an end, and its ability to sue Trac Chile for its outstanding obligations was limited to the pagare and did not extend to any obligation contained in the Trac Chile Contract.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&amp; F obtained credit insurance for EUR800,000, or between $1.1 - $1.2 million US for the Trac Chile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should be noted that in this "back-to-back" transaction both the seller of the Steel Rail to C &amp; F, and the purchaser of the Steel Rail from C &amp; F, were related companies. Mr. Doelle accepted that this was unusual. He had only been involved in a handful of such transactions in the past. Mr. Doelle said, however, and I accept, that this aspect of the transaction was expressly brought to the attention of Euler Hermes and did not cause the insurer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Throughout early August 2009, C &amp; F received, through Mr. Krause, various shipping documents such as a master bill of lading and packing lists. It understood and believed, based on these documents, that the Steel Rail had been shipped to Tacoma. Nevertheless, Ms. Jansen, a C &amp; F trading manager, who was charged with overseeing this transaction and who gave evidence at trial, required that C &amp; F be provided individual bills of lading. Until then, all of Ms. Jansen's interactions with Trac Canada and Trac Chile had been through Mr. Krause. Ms. Jansen was then supplied with 155 individual bills of lading from Mr. Mitarakis and Mr. Ocampo.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Ocampo is a Chilean financier, associated with an entity named South World Kapital, who had endeavoured to assist Mr. Mitarakis to obtain financing. It appears that it was Mr. Ocampo who introduced Mr. Mitarakis to Mr. Krause. The master bill of lading, the 155 individual bills of lading, a "packing list", a document known as a certificate of origin, as well as other materials, were all consistent with the Steel Rail having been shipped to Tacoma, Washington. At that point, C &amp; F paid Trac Canada for the Steel Rail under the first half of the "back-to-back"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Trac Chile did not make the November 2009, payment for the Steel Rail that was required of it under the Trac Chile Contract. C &amp; F provided Trac Chile with a new payment proposal that would have had Trac Chile pay the amount it owed C &amp; F in three installments by mid-February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reality is that the financial circumstances of Mr. Mitarakis and of the Tracomex companies were extremely strained. Unbeknownst to C &amp; F or Imbamar, 029 had made a series of loans to Trac Canada over the period from December 2008 to March 2009. Thereafter, Trac Canada and/or Trac Chile had provided 029 with various general security agreements purporting to charge all or part of the Steel Rail located in Abbotsford,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Furthermore, C &amp; F was unaware that, in the latter part of November 2009, Mr. Ocampo, on behalf of Mr. Mitarakis and the Tracomex companies, had discussions with Mr. Solar about obtaining financing to assist those companies with their businesses and to repay money, which Mr. Solar was told that a German company had either provided to facilitate the purchase of the Steel Rail or had lent to the Tracomex companies. Mr. Solar was also told that Mr. Mitarakis and/or Trac Canada had the exclusive right to purchase further significant quantities of used steel rail from Canadian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detailed discussions that Mr. Solar had with Messrs. Mitarakis, Ocampo, Krause and others about the Steel Rail, and about Imbamar financing or purchasing those rails, are central to several of the legal issues that I identified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is important, for present purposes, is that very early on Mr. Solar, and the individuals he had retained to assist him with the transaction, identified various serious difficulties and concerns with both the documentation that underlay the C &amp; F transaction with Trac Canada and Trac Chile as well as with the shipping, customs and other materials that were thereafter produced by the Tracomex companies. Mr. Mitarakis and Mr. Ocampo confirmed to Mr. Solar that these documents pertained to a "fictitious transaction" -- that they were fraudulent. They said, however, that the "fictitious transaction" or the "fictitious documents" had been created not only with the accedence of C &amp; F but at its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Solar, before being prepared to move forward with any transaction with Trac Chile, wanted confirmation of these facts. He was directed by Messrs. Ocampo and Mitarakis to Mr. Krause who, he was told, was C &amp; F's agent in Chile. In subsequent meetings and conversations with Mr. Krause, Mr. Solar and others were told by Mr. Krause that: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&amp; F had initially orchestrated a fraudulent transaction in order to obtain export insurance for the Steel Rail. They were told C &amp; F knew that the Steel Rail had never gone to Tacoma, and was aware of, or had been involved in, the creation of the fraudulent bills of lading and other documents;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&amp; F had never had title to the Steel Rail and that it's transaction with the Tracomex companies was, instead, in the nature of a loan and that, in any event, Trac Chile had paid off the loan with a pagare.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Following these discussions and various further investigations, Imbamar and Trac Chile entered into a contract in mid-January 2010, though the execution of that document was only completed on March 3, 2010, (the "Imbamar Contract"). The Imbamar Contract provided,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Imbamar:</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3,496.29 MT of steel rail from Trac Chile, that was then warehoused at the facilities of Super H. Holdings ("Super H"), in Abbotsford, for the price of $462,494.40 US;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Trac Chile could repurchase that same steel rail within 185 days for a purchase price of $554,993.18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February 2010, Track Chile made a single payment of $100,000 US to C &amp; F. In June 2010, C &amp; F "protested" or sued on the pagare. In early 2011, C &amp; F began to make a claim on its export insurance with Euler Hermes. Euler Hermes required additional confirmation that the Steel Rail had moved over the U.S. border. On June 8, 2011, Ms. Jansen made further inquiries with Whizdom International Freight Services Inc. ("Whizdom"), the shipper named on the bills of lading that Ms. Jansen had earlier received, and asked for additional confirmation that the Steel Rail had "crossed the U.S.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Carberry, who founded Whizdom with her husband, and who gave evidence at trial, advised Ms. Jansen that the goods described in the bills of lading had never been shipped, and that the bills of lading were improperly dated and signed. At trial, Ms. Carberry confirmed that in May or June 2009, Mr. Mitarakis had come to her office asking about shipping steel to the United States. She had given him a sample bill of lading, and she confirmed that she had never signed the document or included much of the information on it. She confirmed that there were numerous errors in the bills of lading that had been sent to C &amp; F. She said that the documents were "fraudulently completed," that Whizdom had never shipped any steel for Trac Canada or Trac Chile, and that she never saw Mr. Mitarakis again after that first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Jansen advised her superiors of what she learned. C &amp; F retained Vancouver counsel, and on July 6, 2011, counsel wrote to the Tracomex companies and others, putting them on notice of C &amp; F's ownership of the Steel Rail. C &amp; F commenced its action on September 12, 2011.</w:t>
      </w:r>
      <w:r>
        <w:rPr>
          <w:rFonts w:ascii="arial" w:eastAsia="arial" w:hAnsi="arial" w:cs="arial"/>
          <w:sz w:val="20"/>
          <w:lang w:val="en-US" w:eastAsia="en-US" w:bidi="ar-SA"/>
        </w:rPr>
        <w:cr/>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Changes in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position of Imbamar changed in several ways during the course of the trial. First, and importantly, it was originally the position of Imbamar that C &amp; F had engineered a fraud, and that it had directed that numerous documents be prepared that misrepresented the nature of the transaction it had entered into with the Tracomex companies. One aspect of this falsehood or fiction was that the agreement entered into between C &amp; F and the Tracomex companies was, in fact, a loan rather than two separate sales contracts. The second focus of this fraudulent enterprise was directed to obtaining credit insurance from Euler Hermes in circumstances where such credit insurance would not normally be available. Thus, C &amp; F engineered the creation of documents which would make it appear that Steel Rail had crossed the Canadian border into the United States when it knew, at all times, that this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position was succinctly captured in the cross-examination of Mr. Araya, the solicitor who was retained by Imbamar to first investigate, and then document, its transaction with Trac Chile: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you didn't know how to prove it, Mr. Araya, but you knew that those sales documents were false documents and you told your client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told my client that they -- the documents were anomalous; that they were not regular documents or normal documents. And then when we had the meeting with Mr. Mitarakis and Mr. Krause we were told that those documents had to do with a sale that had not taken place. Whether the purchase order from Coutinho was false or not there was no way that I could determine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WeIl, you were told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was told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discussed that with Mr. Solar.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gave the information that I had, the conclusion that I came to after reviewing the documents and after interviews.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also knew that what was really going on here was a loan, not a sale.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 I was told that and it corroborated the documents -- it was corroborated with the documents I was studying.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 because of all the inconsistencies in the documents that you've told us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inconsistencies in the documents, combined with the statements from Mitarakis, Krause, Pitters and Ocampo, was what convinced you that there was no sale and that this was a loan.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yes. It was mainly because of the conversations I had with those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all these documents, false documents, were created so that Ferrostaal could get credit insurance or export insurance from Euler Hermes on its loan.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people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what you understood and that's what you discussed with Mr. Solar.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 have for Mr. Solar,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I didn't hear the answer.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Mr. Solar,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reached that conclusion and you told that conclusion to Mr. Solar.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Mr. Solar understood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 to be sure about the timing here, Mr. Araya. After the meeting with Mr. Krause your understanding was confirmed that many false documents had been created for the purpose of evidencing a sale, when really what was happening was a loan by Tracomex -- was a loan by Coutinho &amp; Ferrostaal to Tracomex (Canada) so it could purchase the steel from CP.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This operation created a loan and that is what the operation was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your understanding was also confirmed that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reason this was being done was so Coutinho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&amp; Ferrostaal could obtain credit insurance from Euler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Hermes on its loan to Tracomex (Canada).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 what I understood was that it was for Coutinho Ferrostaal to be able to get an insurance that would pay in case-- in case that Tracomex didn't pay. I don't know if this is a problem matter of translation, but I can get any number of insurance policies if you want to see.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 conclusions are expressed in a report authored by Mr. Araya for Imbamar in January 2010 (the "Araya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5.3 Other Documents that Accompany the Operations.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5.3.1 There are numerous documents provided by the seller Metales Tracomex Ltda. which indicates that they are part of the sales/purchase activities accounted for in the above mentioned invoices. However, a quick review of them led to conclusions showing a reasonable doubt with regard to the assertions of the seller, and the real relationship of the buying and selling operations; either because of their content, description of the operations, conditions of the delivery locations, measurements, weights, etc. These documents are described below together with their particulars, the main conclusions that can be drawn from them, and their relationship with the operations. The assertions of the Grupo Tracomex representative, Jorge Mitarakis Lopez and his financial consultant, Rodrigo Ocampo do not represent the truth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same theme is reflected in the evidence of Mr. Solar who, on discovery,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going into the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They told us that all these documents actually are not -- not part of a real sale, that actually we are talking about here about the loan of money from Ferrostaal to Tracomex (Canada) and that they use the -- that Ferrostaal told them that they need to do this way, that induce them that they need to do this way in order that it should like -- it should like the export business in order that Ferrostaal can obtain insurance with Euler Hermes.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position that C &amp; F was actively involved in a fraud was maintained by Imbamar throughout the trial and, indeed, in the final written submissions of Imbamar. This position was, however, abandoned on the last day of argument. The new position of Imbamar accepted that C &amp; F was innocent of any fraud and that the fraud, which is evidenced in numerous documents, had been undertaken by Messrs. Krause, Ocampo and Mitarakis. Imbamar continued to assert, however, that C &amp; F was bound by the representations of its agent, Mr. Krause.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should say that it appears quite clear, on the objective record, that C &amp; F was innocent of any fraud. I no longer need to review the evidence that supports this conclusion in any detail. It is clear, however, that Mr. Krause routinely misled C &amp; F on his dealings with Mr. Mitarakis and that Mr. Krause was concurrently telling Imbamar's representatives, and others, one thing when he was telling C &amp; F another. Two examples of this will suffice. Mr. Krause is said to have told Messrs. Solar and Araya in December 2009, and January 2010, that C &amp; F had no title to the Steel Rail. In his email communications to C &amp; F in mid-2010, Mr. Krause reported that he had reconfirmed C &amp; F's interest and ownership of the Steel Rail to Mr. Mitarakis. In December 2009, Mr. Krause is said to have told Messrs. Solar and Araya that C &amp; F knew the Steel Rail had never left Canada. In an email dated May 18, 2010, Mr. Krause raises the prospect of the Steel Rail still being in Canada with C &amp; F and questions whether those rails had, perhaps, been returned to Canada from the United States by Trac Chile.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Apart from accepting that C &amp; F was innocent of any wrongdoing, Imbamar's position recognizes, as a fact, that Imbamar, in interacting and negotiating with Messrs. Ocampo, Krause and Mitarakis, knew these three individuals had been involved in and/or been prepared to proceed with a fraud. This recognition is also significant. It means that i) in addressing Mr. Krause's status as agent and ii) in assessing whether Imbamar acted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or whether Trac Chile's interactions with it were "in the ordinary course of business", the starting point is that Imbamar knew that Messrs. Ocampo, Mitarakis and Krause were not honest individuals and that they were, at a minimum, prepared to be complicit in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 acknowledgment that C &amp; F was not part of any fraud means that the intended focus of the fraud shifts from C &amp; F improperly trying to obtain export insurance, to C &amp; F being duped into making a payment to Trac Canada, and to allowing Trac Chile to take possession of the Steel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change in position on the part of Imbamar was more subtle. This trial was heard in three segments on May 26 to June 6, August 18-20, 2014, and intermittently from January 12 to 30, 2015. The early position of Imbamar, and the questions that were directed to C &amp; F's representatives, seemed to recognize that a "fraud" had been intended. Certainly, the evidence of Mr. Solar, on discovery, was unequivocal.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guess Mr. Krause also confirmed for you your sixth concern as expressed by Mr. Ocampo and Mr. Mitarakis, namely, that the whole purpose of the fabricated bills of ladings was to get credit insurance?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Over time, the emphasis from "fraudulent documents" appears to shift to "anomalous documents", or "strange documents", or "fictitious documents". Mr. Solar described various documents as "amateurish" or "Donald Duck" documents. Mr. Araya, at times, suggested that the documents contained errors, or that they were "poorly prepared" because the documents had been prepared "in a rush". There remained no doubt, however, that what was being discussed was a fraud or an intended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say "intended fraud" because this reflected the third shift in the focus of the evidence at trial. Imbamar's last two witnesses were Messrs. Solar and Araya. They testified that at a meeting on December 24, 2009, which several other individuals also attended (the "December 24 Meeting"), Mr. Krause showed them an email that had apparently been authored by Ms. Jansen. Messrs. Solar and Araya said that the email was in English and that Mr. Krause translated the email for them. Each of Messrs. Solar and Araya can read some English, and they said that they followed along as the email was being read to them. The email directed that the bills of lading, certificate of origin, and other documents that had been prepared, were not to be used in any way or shown to any third party. Mr. Solar said that after reading the email he understood, and Mr. Krause said, that C &amp; F's planned action -- the fraud -- had been "aborted".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such document from Ms. Jansen was ever produced, and I do not accept that Ms. Jansen ever authored such a document. The proposition that Ms. Jansen had prepared such an email was never put to her. The communications between Mr. Krause and Ms. Jansen were overwhelmingly in German, not English. Furthermore, the contents of the email make no sense. The fact is that the fraudulent documents that Trac Chile had provided to C &amp; F were delivered by C &amp; F to Euler Hermes, and that C &amp; F did thereafter obtain credit insurance. Finally, Imbamar's acceptance that C &amp; F, and Mr. Doelle and Ms. Jansen, did not participate in any fraud is inconsistent with Ms. Jansen having authored such an email. There would be no basis for her to direct that such documents not be delivered or disclosed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accept that Messrs. Solar and Araya were shown some document by Mr. Krause, which purported to be an instruction from C &amp; F not to show the fraudulent materials to any third parties. The Araya Report refers to Mr. Araya having been shown such an email, albeit without any reference to Ms. Jansen. As a matter of inference, that email appears to have been part of the rather elaborate fraud that Mr. Mitarakis and Mr. Krause engaged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early parts of Imbamar's case said nothing about the intended fraud having been "aborted". When Imbamar still advanced the thesis that C &amp; F had orchestrated a fraud, it was never suggested to C &amp; F's witnesses that they had abandoned or aborted their intended fraud. Such evidence was also not referred to by earlier Imbamar witnesses and it is, in fact, inconsistent with their evidence. Still further, it is somewhat inconsistent with other objective evidence. In an early email from Mr. Ocampo to Mr. Solar dated November 28, 2009, Mr. Ocampo indicates that he had obtained a "Hermes-backed line of credit for Tracomex". In a January 3, 2010, email from Mr. Solar to his partner, Mr. Bezmalinovic, which would have been written on the heels of the December 24 Meeting, Mr. Solar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regards to the funny B/L's and the "strange operation" of exporting the rails from Canada to the US they undertook, he told me that it was done under instructions from his superiors in Germany, because all their operations have to be insured by Euler Hermes, with standard export insurance to ensure that they are not incurring any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Solar concluded the email with links to Euler Hermes' websites. There is nothing in this portion of the email, or in the balance of the email, which suggests that the intended use of the fraudulent documents was "aborted". Indeed, the document is far more consistent with Mr. Solar understanding that those documents had, in fact, made their way to Euler Hermes.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What remains is some discomfort with the evidence of Messrs. Araya and Solar and, in particular, with those aspects of their evidence that emphasized the importance of both the Jansen email and of the Araya Report to Imbamar's decision to acquire the Steel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clear, and not disputed, that the evidence relating to the Jansen email and the Araya Report were unknown to Imbamar's counsel until relatively late in the trial. The Araya Report was only produced after the second adjournment of the trial and after more than two-thirds of the evidence at trial had been adduced. It was never referred to by Mr. Solar during his examination for discovery. Furthermore, neither Mr. Bezmalinovic nor Mr. Pitters, both of whom gave evidence before Messrs. Solar and Araya, made reference to either the Jansen email, or to any instruction from C &amp; F that the intended fraud was to be "aborted" or to the Araya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say that Messrs. Araya and Solar were dishonest as it relates to these issues. Mr. Araya is a lawyer in Chile and I do not consider that I need to make any adverse findings on his credibility. I will address Mr. Solar's credibility on other issues separately. I do consider, however, that both individuals sought to downplay, or make benign, the nature of the fraud that they had discovered. Both were reluctant to acknowledge the true nature of some of the documents that underlay the transaction between C &amp; F and the Tracomex companies. The bills of lading, for example, were not "an error", or "anomalous", or "childish" documents, or the product of either a lack of care or undue haste. They were completely fraudulent documents that contained forged signatures, false information, reflected transactions that had never occurred, and were intended to perpetrate a fraud on C &amp; F. The ongoing unwillingness of Messrs. Solar and Araya, and indeed Mr. Bezmalinovic, to acknowledge these and other similar documents for what they were, and to overstate the importance of other materials, has affected my assessment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 xml:space="preserve">5) </w:t>
      </w:r>
      <w:r>
        <w:rPr>
          <w:rFonts w:ascii="arial" w:eastAsia="arial" w:hAnsi="arial" w:cs="arial"/>
          <w:b/>
          <w:i/>
          <w:color w:val="000000"/>
          <w:sz w:val="20"/>
          <w:u w:val="single"/>
          <w:lang w:val="en-US" w:eastAsia="en-US" w:bidi="ar-SA"/>
        </w:rPr>
        <w:t>The United Nations Convention on Contracts for the International Sale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C &amp; F argues that, under the Trac Chile Contract, C &amp; F retained title to the Steel Rail at all times. He further argues that because the Trac Chile contract was made subject to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and because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does not protect the rights of third-party purchasers, even if such purchasers acted in good faith and without notice of any defect in title, it does not matter whether Mr. Krause was C &amp; F's agent or what representations he may have made to Imbamar. Counsel argues that the reservation of title clause in the Trac Chile Contract, under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supersedes all such concerns. Counsel accepts that the interaction between reservation of title clauses and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with domestic Sale of Goods or Personal Property Security legislation has not previously been expressly addressed by a Canadian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Trac Chile Contract contains several relevant terms. Clauses 5.1 and 5.2 under the heading "Retention of Title"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Product shall remain the property of the Seller until full payment of the price has been received by Seller to his unrestricted disposal. Until </w:t>
      </w:r>
      <w:r>
        <w:rPr>
          <w:rFonts w:ascii="arial" w:eastAsia="arial" w:hAnsi="arial" w:cs="arial"/>
          <w:color w:val="000000"/>
          <w:sz w:val="20"/>
          <w:u w:val="single"/>
          <w:lang w:val="en-US" w:eastAsia="en-US" w:bidi="ar-SA"/>
        </w:rPr>
        <w:t>title</w:t>
      </w:r>
      <w:r>
        <w:rPr>
          <w:rFonts w:ascii="arial" w:eastAsia="arial" w:hAnsi="arial" w:cs="arial"/>
          <w:color w:val="000000"/>
          <w:sz w:val="20"/>
          <w:lang w:val="en-US" w:eastAsia="en-US" w:bidi="ar-SA"/>
        </w:rPr>
        <w:t xml:space="preserve"> passes the Buyer shall hold the Product </w:t>
      </w:r>
      <w:r>
        <w:rPr>
          <w:rFonts w:ascii="arial" w:eastAsia="arial" w:hAnsi="arial" w:cs="arial"/>
          <w:color w:val="000000"/>
          <w:sz w:val="20"/>
          <w:u w:val="single"/>
          <w:lang w:val="en-US" w:eastAsia="en-US" w:bidi="ar-SA"/>
        </w:rPr>
        <w:t>in trust for Seller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case the above </w:t>
      </w:r>
      <w:r>
        <w:rPr>
          <w:rFonts w:ascii="arial" w:eastAsia="arial" w:hAnsi="arial" w:cs="arial"/>
          <w:color w:val="000000"/>
          <w:sz w:val="20"/>
          <w:u w:val="single"/>
          <w:lang w:val="en-US" w:eastAsia="en-US" w:bidi="ar-SA"/>
        </w:rPr>
        <w:t>reservation of title</w:t>
      </w:r>
      <w:r>
        <w:rPr>
          <w:rFonts w:ascii="arial" w:eastAsia="arial" w:hAnsi="arial" w:cs="arial"/>
          <w:color w:val="000000"/>
          <w:sz w:val="20"/>
          <w:lang w:val="en-US" w:eastAsia="en-US" w:bidi="ar-SA"/>
        </w:rPr>
        <w:t xml:space="preserve"> is not effective according to the law of the country wherein the Product is located, a security corresponding to the </w:t>
      </w:r>
      <w:r>
        <w:rPr>
          <w:rFonts w:ascii="arial" w:eastAsia="arial" w:hAnsi="arial" w:cs="arial"/>
          <w:color w:val="000000"/>
          <w:sz w:val="20"/>
          <w:u w:val="single"/>
          <w:lang w:val="en-US" w:eastAsia="en-US" w:bidi="ar-SA"/>
        </w:rPr>
        <w:t>reservation of title</w:t>
      </w:r>
      <w:r>
        <w:rPr>
          <w:rFonts w:ascii="arial" w:eastAsia="arial" w:hAnsi="arial" w:cs="arial"/>
          <w:color w:val="000000"/>
          <w:sz w:val="20"/>
          <w:lang w:val="en-US" w:eastAsia="en-US" w:bidi="ar-SA"/>
        </w:rPr>
        <w:t xml:space="preserve"> shall be deemed agreed upon. ... During the period of the </w:t>
      </w:r>
      <w:r>
        <w:rPr>
          <w:rFonts w:ascii="arial" w:eastAsia="arial" w:hAnsi="arial" w:cs="arial"/>
          <w:color w:val="000000"/>
          <w:sz w:val="20"/>
          <w:u w:val="single"/>
          <w:lang w:val="en-US" w:eastAsia="en-US" w:bidi="ar-SA"/>
        </w:rPr>
        <w:t>retention of title</w:t>
      </w:r>
      <w:r>
        <w:rPr>
          <w:rFonts w:ascii="arial" w:eastAsia="arial" w:hAnsi="arial" w:cs="arial"/>
          <w:color w:val="000000"/>
          <w:sz w:val="20"/>
          <w:lang w:val="en-US" w:eastAsia="en-US" w:bidi="ar-SA"/>
        </w:rPr>
        <w:t xml:space="preserve"> the Buyer shall on his own maintain the Product and insure the Product </w:t>
      </w:r>
      <w:r>
        <w:rPr>
          <w:rFonts w:ascii="arial" w:eastAsia="arial" w:hAnsi="arial" w:cs="arial"/>
          <w:color w:val="000000"/>
          <w:sz w:val="20"/>
          <w:u w:val="single"/>
          <w:lang w:val="en-US" w:eastAsia="en-US" w:bidi="ar-SA"/>
        </w:rPr>
        <w:t>for the benefit of the Seller</w:t>
      </w:r>
      <w:r>
        <w:rPr>
          <w:rFonts w:ascii="arial" w:eastAsia="arial" w:hAnsi="arial" w:cs="arial"/>
          <w:color w:val="000000"/>
          <w:sz w:val="20"/>
          <w:lang w:val="en-US" w:eastAsia="en-US" w:bidi="ar-SA"/>
        </w:rPr>
        <w:t xml:space="preserve"> against theft, breakage, fire, water and other risks. Buyer shall further take all measures to ensure, that Seller's title is in no way prejudiced or impaired.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Clause 12.1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shall be governed by and construed in accordance with the United Nations Convention on Contracts for the International Sales of Good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Canada, Chile and Germany are all "Contracting States" under art. 1 of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International 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ISGA</w:t>
      </w:r>
      <w:r>
        <w:rPr>
          <w:rFonts w:ascii="arial" w:eastAsia="arial" w:hAnsi="arial" w:cs="arial"/>
          <w:color w:val="000000"/>
          <w:sz w:val="20"/>
          <w:lang w:val="en-US" w:eastAsia="en-US" w:bidi="ar-SA"/>
        </w:rPr>
        <w:t xml:space="preserve">], states that the "Convention applies in British Columbia" and appends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to the </w:t>
      </w:r>
      <w:r>
        <w:rPr>
          <w:rFonts w:ascii="arial" w:eastAsia="arial" w:hAnsi="arial" w:cs="arial"/>
          <w:i/>
          <w:color w:val="000000"/>
          <w:sz w:val="20"/>
          <w:lang w:val="en-US" w:eastAsia="en-US" w:bidi="ar-SA"/>
        </w:rPr>
        <w:t>ISGA</w:t>
      </w:r>
      <w:r>
        <w:rPr>
          <w:rFonts w:ascii="arial" w:eastAsia="arial" w:hAnsi="arial" w:cs="arial"/>
          <w:color w:val="000000"/>
          <w:sz w:val="20"/>
          <w:lang w:val="en-US" w:eastAsia="en-US" w:bidi="ar-SA"/>
        </w:rPr>
        <w:t xml:space="preserve"> as a schedule.</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Romalpa</w:t>
      </w:r>
      <w:r>
        <w:rPr>
          <w:rFonts w:ascii="arial" w:eastAsia="arial" w:hAnsi="arial" w:cs="arial"/>
          <w:b/>
          <w:color w:val="000000"/>
          <w:sz w:val="20"/>
          <w:lang w:val="en-US" w:eastAsia="en-US" w:bidi="ar-SA"/>
        </w:rPr>
        <w:t xml:space="preserve">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Clause 5.2 of the Trac Chile Contract, which speaks of a "reservation of title", requires some further description. Such clauses, within international commerce, are known as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succinct summary of the legal nature on attributes of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 is found in M. Bridge et al, eds, </w:t>
      </w:r>
      <w:r>
        <w:rPr>
          <w:rFonts w:ascii="arial" w:eastAsia="arial" w:hAnsi="arial" w:cs="arial"/>
          <w:i/>
          <w:color w:val="000000"/>
          <w:sz w:val="20"/>
          <w:lang w:val="en-US" w:eastAsia="en-US" w:bidi="ar-SA"/>
        </w:rPr>
        <w:t>Benjamin's Sale of Goods</w:t>
      </w:r>
      <w:r>
        <w:rPr>
          <w:rFonts w:ascii="arial" w:eastAsia="arial" w:hAnsi="arial" w:cs="arial"/>
          <w:color w:val="000000"/>
          <w:sz w:val="20"/>
          <w:lang w:val="en-US" w:eastAsia="en-US" w:bidi="ar-SA"/>
        </w:rPr>
        <w:t>, 8th ed. (London, UK: Sweet &amp; Maxwell,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5-141 </w:t>
      </w:r>
      <w:r>
        <w:rPr>
          <w:rFonts w:ascii="arial" w:eastAsia="arial" w:hAnsi="arial" w:cs="arial"/>
          <w:i/>
          <w:color w:val="000000"/>
          <w:sz w:val="20"/>
          <w:lang w:val="en-US" w:eastAsia="en-US" w:bidi="ar-SA"/>
        </w:rPr>
        <w:t>Romalpa clauses</w:t>
      </w:r>
      <w:r>
        <w:rPr>
          <w:rFonts w:ascii="arial" w:eastAsia="arial" w:hAnsi="arial" w:cs="arial"/>
          <w:color w:val="000000"/>
          <w:sz w:val="20"/>
          <w:lang w:val="en-US" w:eastAsia="en-US" w:bidi="ar-SA"/>
        </w:rPr>
        <w:t xml:space="preserve">. Reservation of the right of disposal of the goods greatly increased in importance as the result of the decision of the Court of Appeal in </w:t>
      </w:r>
      <w:r>
        <w:rPr>
          <w:rFonts w:ascii="arial" w:eastAsia="arial" w:hAnsi="arial" w:cs="arial"/>
          <w:i/>
          <w:color w:val="000000"/>
          <w:sz w:val="20"/>
          <w:lang w:val="en-US" w:eastAsia="en-US" w:bidi="ar-SA"/>
        </w:rPr>
        <w:t>Aluminium Industrie Vaassen BV v Romalpa Aluminium Ltd</w:t>
      </w:r>
      <w:r>
        <w:rPr>
          <w:rFonts w:ascii="arial" w:eastAsia="arial" w:hAnsi="arial" w:cs="arial"/>
          <w:color w:val="000000"/>
          <w:sz w:val="20"/>
          <w:lang w:val="en-US" w:eastAsia="en-US" w:bidi="ar-SA"/>
        </w:rPr>
        <w:t xml:space="preserve">. ... The Court of Appeal held that, by virtue of the relationship of bailor and bailee, and as expressly contemplated in the claimants' conditions, a fiduciary relationship arose and the claimants were entitled to trace and claim the proceeds of the sub-sales in priority to the general body of the defendants' creditors and in priority to the defendant's bankers under their debenture. As a result of this decision, it has become extremely common for sellers to insert in their standard conditions of sale a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 which, as a minimum, stipulates that the seller is to retain ownership of the goods until payment of the price, but which may contain more extensive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5-142 Since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 may take many forms, and since the case-law on their validity and interpretation has become progressively complex and refined, this area of the law is, in the words of Staughton J., "presently a maze if not a minefield". It will therefore be necessary to consider separately the various provisions that may be inserted in such clauses.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Canada, no such priority is given to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 Instead, security interests are broadly addressed within the framework of the various pieces of provincial Personal Property Security legislation. This is confirmed in G.H.L. Fridman, </w:t>
      </w:r>
      <w:r>
        <w:rPr>
          <w:rFonts w:ascii="arial" w:eastAsia="arial" w:hAnsi="arial" w:cs="arial"/>
          <w:i/>
          <w:color w:val="000000"/>
          <w:sz w:val="20"/>
          <w:lang w:val="en-US" w:eastAsia="en-US" w:bidi="ar-SA"/>
        </w:rPr>
        <w:t>Sale of Goods in Canada</w:t>
      </w:r>
      <w:r>
        <w:rPr>
          <w:rFonts w:ascii="arial" w:eastAsia="arial" w:hAnsi="arial" w:cs="arial"/>
          <w:color w:val="000000"/>
          <w:sz w:val="20"/>
          <w:lang w:val="en-US" w:eastAsia="en-US" w:bidi="ar-SA"/>
        </w:rPr>
        <w:t>, 6th ed. (Toronto: Thomson Reuters Canada Ltd., 2013) at 291 [Fridman</w:t>
      </w:r>
      <w:r>
        <w:rPr>
          <w:rFonts w:ascii="arial" w:eastAsia="arial" w:hAnsi="arial" w:cs="arial"/>
          <w:i/>
          <w:color w:val="000000"/>
          <w:sz w:val="20"/>
          <w:lang w:val="en-US" w:eastAsia="en-US" w:bidi="ar-SA"/>
        </w:rPr>
        <w:t>, Sale of Goods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England an attempt was made, in </w:t>
      </w:r>
      <w:r>
        <w:rPr>
          <w:rFonts w:ascii="arial" w:eastAsia="arial" w:hAnsi="arial" w:cs="arial"/>
          <w:i/>
          <w:color w:val="000000"/>
          <w:sz w:val="20"/>
          <w:lang w:val="en-US" w:eastAsia="en-US" w:bidi="ar-SA"/>
        </w:rPr>
        <w:t>Aluminium Industrie Vaassen B.V. v. Romalpa Aluminium Ltd</w:t>
      </w:r>
      <w:r>
        <w:rPr>
          <w:rFonts w:ascii="arial" w:eastAsia="arial" w:hAnsi="arial" w:cs="arial"/>
          <w:color w:val="000000"/>
          <w:sz w:val="20"/>
          <w:lang w:val="en-US" w:eastAsia="en-US" w:bidi="ar-SA"/>
        </w:rPr>
        <w:t>., to create another way of protecting an unpaid seller in the event of the buyer's insolvency. This turned upon the inclusion in the contract of a "reservation of title" or similar clause. The approach that was adopted in that decision has not been followed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Provincial legislation has dealt with the problem of providing unpaid sellers with protection in the event that a buyer becomes insolvent, or disposes of the goods to a third party ... in all provinces and territories by a Personal Property Security 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Focus of the </w:t>
      </w:r>
      <w:r>
        <w:rPr>
          <w:rFonts w:ascii="arial" w:eastAsia="arial" w:hAnsi="arial" w:cs="arial"/>
          <w:b/>
          <w:i/>
          <w:color w:val="000000"/>
          <w:sz w:val="20"/>
          <w:lang w:val="en-US" w:eastAsia="en-US" w:bidi="ar-SA"/>
        </w:rPr>
        <w:t>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for C &amp; F argued that because C &amp; F and Trac Chile agreed that their relations should be governed by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the retention of title clause in the Trac Chile Contract operates regardless of the existence of any potential third-party purchaser rights whether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or not. Counsel argues that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is notable because it does not codify the doctrine of </w:t>
      </w:r>
      <w:r>
        <w:rPr>
          <w:rFonts w:ascii="arial" w:eastAsia="arial" w:hAnsi="arial" w:cs="arial"/>
          <w:i/>
          <w:color w:val="000000"/>
          <w:sz w:val="20"/>
          <w:lang w:val="en-US" w:eastAsia="en-US" w:bidi="ar-SA"/>
        </w:rPr>
        <w:t>nemo dat quod non habet</w:t>
      </w:r>
      <w:r>
        <w:rPr>
          <w:rFonts w:ascii="arial" w:eastAsia="arial" w:hAnsi="arial" w:cs="arial"/>
          <w:color w:val="000000"/>
          <w:sz w:val="20"/>
          <w:lang w:val="en-US" w:eastAsia="en-US" w:bidi="ar-SA"/>
        </w:rPr>
        <w:t xml:space="preserve"> or any of its exceptions. As such, it is argued that there is no means for a third party to obtain title to goods under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This is only partly correct. It is true that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does not address third-party rights. Its focus is on the "formation of the contract of sale and the rights and obligations of the seller and buyer arising from such a contract"; see </w:t>
      </w:r>
      <w:r>
        <w:rPr>
          <w:rFonts w:ascii="arial" w:eastAsia="arial" w:hAnsi="arial" w:cs="arial"/>
          <w:i/>
          <w:color w:val="000000"/>
          <w:sz w:val="20"/>
          <w:lang w:val="en-US" w:eastAsia="en-US" w:bidi="ar-SA"/>
        </w:rPr>
        <w:t>Castel &amp; Walker: Canadian Conflict of Laws</w:t>
      </w:r>
      <w:r>
        <w:rPr>
          <w:rFonts w:ascii="arial" w:eastAsia="arial" w:hAnsi="arial" w:cs="arial"/>
          <w:color w:val="000000"/>
          <w:sz w:val="20"/>
          <w:lang w:val="en-US" w:eastAsia="en-US" w:bidi="ar-SA"/>
        </w:rPr>
        <w:t xml:space="preserve">, loose-leaf, 6th ed. (Markham, Ont.: LexisNexis, 2005) vol. 2 at 31-30; see also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art. 4. This does not, however, necessarily mean that a vendor who has "retained" title is immune from competing third-party claims.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398-399,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 paucity of the case-law on this subject, it is difficult to do more than put forward tentative views. For this purpose, it may be necessary to differentiate claims to goods as between seller and buyer from claims to goods as between either of the parties to the original contract of sale of goods and some stranger, for example,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for value without notice of the prior contract, or the rights of the unpaid seller.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The Interaction of </w:t>
      </w:r>
      <w:r>
        <w:rPr>
          <w:rFonts w:ascii="arial" w:eastAsia="arial" w:hAnsi="arial" w:cs="arial"/>
          <w:b/>
          <w:i/>
          <w:color w:val="000000"/>
          <w:sz w:val="20"/>
          <w:lang w:val="en-US" w:eastAsia="en-US" w:bidi="ar-SA"/>
        </w:rPr>
        <w:t>Romalpa</w:t>
      </w:r>
      <w:r>
        <w:rPr>
          <w:rFonts w:ascii="arial" w:eastAsia="arial" w:hAnsi="arial" w:cs="arial"/>
          <w:b/>
          <w:color w:val="000000"/>
          <w:sz w:val="20"/>
          <w:lang w:val="en-US" w:eastAsia="en-US" w:bidi="ar-SA"/>
        </w:rPr>
        <w:t xml:space="preserve"> Clauses, The </w:t>
      </w:r>
      <w:r>
        <w:rPr>
          <w:rFonts w:ascii="arial" w:eastAsia="arial" w:hAnsi="arial" w:cs="arial"/>
          <w:b/>
          <w:i/>
          <w:color w:val="000000"/>
          <w:sz w:val="20"/>
          <w:lang w:val="en-US" w:eastAsia="en-US" w:bidi="ar-SA"/>
        </w:rPr>
        <w:t>Convention</w:t>
      </w:r>
      <w:r>
        <w:rPr>
          <w:rFonts w:ascii="arial" w:eastAsia="arial" w:hAnsi="arial" w:cs="arial"/>
          <w:b/>
          <w:color w:val="000000"/>
          <w:sz w:val="20"/>
          <w:lang w:val="en-US" w:eastAsia="en-US" w:bidi="ar-SA"/>
        </w:rPr>
        <w:t xml:space="preserve"> and Domestic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400,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third party is introduced, for example, where goods sold by S to B are then sold by S to X while S is in possession of them, despite the passing of property to B under the contract of sale, or where title is reserved in S but B has possession and purports to dispose of the goods to X, the question arises whether such third party acquires title as against B or S respectively, on the assumption that he would under one system of law, such as </w:t>
      </w:r>
      <w:r>
        <w:rPr>
          <w:rFonts w:ascii="arial" w:eastAsia="arial" w:hAnsi="arial" w:cs="arial"/>
          <w:i/>
          <w:color w:val="000000"/>
          <w:sz w:val="20"/>
          <w:lang w:val="en-US" w:eastAsia="en-US" w:bidi="ar-SA"/>
        </w:rPr>
        <w:t>lex situs</w:t>
      </w:r>
      <w:r>
        <w:rPr>
          <w:rFonts w:ascii="arial" w:eastAsia="arial" w:hAnsi="arial" w:cs="arial"/>
          <w:color w:val="000000"/>
          <w:sz w:val="20"/>
          <w:lang w:val="en-US" w:eastAsia="en-US" w:bidi="ar-SA"/>
        </w:rPr>
        <w:t xml:space="preserve"> of the goods, but not under another, for example, the proper law of the original sale to B, the proper law of the contract between S and X or B and X, or the law of the original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of the goods, where they have been moved between the time of the first transaction and the time of the subsequent sale by S or B to X. One view was that a title acquired by the </w:t>
      </w:r>
      <w:r>
        <w:rPr>
          <w:rFonts w:ascii="arial" w:eastAsia="arial" w:hAnsi="arial" w:cs="arial"/>
          <w:i/>
          <w:color w:val="000000"/>
          <w:sz w:val="20"/>
          <w:lang w:val="en-US" w:eastAsia="en-US" w:bidi="ar-SA"/>
        </w:rPr>
        <w:t>lex situs</w:t>
      </w:r>
      <w:r>
        <w:rPr>
          <w:rFonts w:ascii="arial" w:eastAsia="arial" w:hAnsi="arial" w:cs="arial"/>
          <w:color w:val="000000"/>
          <w:sz w:val="20"/>
          <w:lang w:val="en-US" w:eastAsia="en-US" w:bidi="ar-SA"/>
        </w:rPr>
        <w:t xml:space="preserve"> (or the proper law if the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is casual or unknown) will be good until displaced by a new title "acquired in accordance with the law of the country to which [the goods] are removed." The cases seem to suggest that, where divesting of title is concerned, for example, by seizure by creditors, stoppage </w:t>
      </w:r>
      <w:r>
        <w:rPr>
          <w:rFonts w:ascii="arial" w:eastAsia="arial" w:hAnsi="arial" w:cs="arial"/>
          <w:i/>
          <w:color w:val="000000"/>
          <w:sz w:val="20"/>
          <w:lang w:val="en-US" w:eastAsia="en-US" w:bidi="ar-SA"/>
        </w:rPr>
        <w:t>in transitu</w:t>
      </w:r>
      <w:r>
        <w:rPr>
          <w:rFonts w:ascii="arial" w:eastAsia="arial" w:hAnsi="arial" w:cs="arial"/>
          <w:color w:val="000000"/>
          <w:sz w:val="20"/>
          <w:lang w:val="en-US" w:eastAsia="en-US" w:bidi="ar-SA"/>
        </w:rPr>
        <w:t xml:space="preserve">, resale by the seller, and, where appropriate, by a sale in market overt, the </w:t>
      </w:r>
      <w:r>
        <w:rPr>
          <w:rFonts w:ascii="arial" w:eastAsia="arial" w:hAnsi="arial" w:cs="arial"/>
          <w:i/>
          <w:color w:val="000000"/>
          <w:sz w:val="20"/>
          <w:lang w:val="en-US" w:eastAsia="en-US" w:bidi="ar-SA"/>
        </w:rPr>
        <w:t>lex situs</w:t>
      </w:r>
      <w:r>
        <w:rPr>
          <w:rFonts w:ascii="arial" w:eastAsia="arial" w:hAnsi="arial" w:cs="arial"/>
          <w:color w:val="000000"/>
          <w:sz w:val="20"/>
          <w:lang w:val="en-US" w:eastAsia="en-US" w:bidi="ar-SA"/>
        </w:rPr>
        <w:t xml:space="preserve"> governs, whatever the proper law of the original or any subsequent transaction may have been. If the seller in one country has reserved title in himself, a sale by the buyer in another country under the local law which does not recognize the reservation in the other jurisdiction, or has an overriding effect, thereby creating a title in the innocent third party, may effectively destroy the original seller's title. To determine the result, much may depend upon whether the court of the forum gives extra-territorial effect to the law of the original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of the goods, in regard to the reservation of the seller's title, or gives paramount effect to its own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Clemens W. Pauly, "Is Avoidance Under CISG Article 64 A Powerful Remedy? Comparison of The CISG Remedy With Third-Party Rights" (2004) [unpublished, archived at Pace Law School: CISG Database], online: &lt;http://cpauly.com/wp-content/uploads/2011/12/CISG-essay-Pauly-October-200 4.pdf&gt;, the author addresses the interaction between retention of title clauses and third-party rights directly. The author also advances the following conclusions: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likely does not govern the rights of third parties who are not parties to the contract at issue (at 11);</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effectiveness of title retention clauses "must be measured against the laws of the jurisdiction to which the goods have been delivered" (at 12);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validity of title retention or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 are not governed by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Instead, domestic law governs the validity of such clauses (at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author thereafter addresses such clauses, and their efficacy, in each of the United States, Germany and France. Based on the case law reviewed, the author concludes that in Germany and France title retention clauses supersede the interests of third parties, in the United States they do not; at 15,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efficacy of cls. 5.1 and 5.2, and of title retention clauses generally, as against intervening third-party rights, appear to be governed by the location of the Steel Rail or, in this case, the laws of British Columbia. This is consistent with the conclusions of the Pauly paper and with the "tentative views" of Professor Fridman in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In addition, the opening words of cl. 5.2 are "[i]n case the above reservation of title is not effective according to the law of the country wherein the Product is located", thereby again directing or focusing the inquiry to the laws of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ISGA</w:t>
      </w:r>
      <w:r>
        <w:rPr>
          <w:rFonts w:ascii="arial" w:eastAsia="arial" w:hAnsi="arial" w:cs="arial"/>
          <w:color w:val="000000"/>
          <w:sz w:val="20"/>
          <w:lang w:val="en-US" w:eastAsia="en-US" w:bidi="ar-SA"/>
        </w:rPr>
        <w:t xml:space="preserve"> provides, "[i]f there is a conflict between this Act and any other enactment this Act prevails".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does not, as I have said, expressly address either third-party rights or the efficacy of title retention clauses. Accordingly, to the extent that either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address the rights of third-party purchasers in various circumstances, no "conflict" arises as between these enactments and the </w:t>
      </w:r>
      <w:r>
        <w:rPr>
          <w:rFonts w:ascii="arial" w:eastAsia="arial" w:hAnsi="arial" w:cs="arial"/>
          <w:i/>
          <w:color w:val="000000"/>
          <w:sz w:val="20"/>
          <w:lang w:val="en-US" w:eastAsia="en-US" w:bidi="ar-SA"/>
        </w:rPr>
        <w:t>ISGA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 the Trac Chile Contract and/or the Title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Reservation Clause Governed by the </w:t>
      </w:r>
      <w:r>
        <w:rPr>
          <w:rFonts w:ascii="arial" w:eastAsia="arial" w:hAnsi="arial" w:cs="arial"/>
          <w:b/>
          <w:i/>
          <w:color w:val="000000"/>
          <w:sz w:val="20"/>
          <w:lang w:val="en-US" w:eastAsia="en-US" w:bidi="ar-SA"/>
        </w:rPr>
        <w:t>PPSA</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have focused on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rather than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because it was this legislation that counsel for Imbamar relied on.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is drafted broadly to capture conditional sales agreements as well as agreements that engage trust concepts:</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"Collateral"</w:t>
      </w:r>
      <w:r>
        <w:rPr>
          <w:rFonts w:ascii="arial" w:eastAsia="arial" w:hAnsi="arial" w:cs="arial"/>
          <w:color w:val="000000"/>
          <w:sz w:val="20"/>
          <w:lang w:val="en-US" w:eastAsia="en-US" w:bidi="ar-SA"/>
        </w:rPr>
        <w:t xml:space="preserve"> means personal property that is subject to a security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"security interest"</w:t>
      </w:r>
      <w:r>
        <w:rPr>
          <w:rFonts w:ascii="arial" w:eastAsia="arial" w:hAnsi="arial" w:cs="arial"/>
          <w:color w:val="000000"/>
          <w:sz w:val="20"/>
          <w:lang w:val="en-US" w:eastAsia="en-US" w:bidi="ar-SA"/>
        </w:rPr>
        <w:t xml:space="preserve"> means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interest in goods, chattel paper, investment property, a document of title, an instrument, money or an intangible that secures payment or performance of an obligation, but does not include the interest of a seller who has shipped goods to a buyer under a negotiable bill of lading or its equivalent to the order of the seller or to the order of an agent of the seller, unless the parties have otherwise evidenced an intention to create or provide for a security interest in the goods,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4, this Act applies</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every transaction that in substance creates a security interest, without regard to its form and without regard to the person who has title to the collateral,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paragraph (a), to a chattel mortgage, a conditional sale, a floating charge, a pledge, a trust indenture, a trust receipt, an assignment, a consignment, a lease, a trust, and a transfer of chattel paper if they secure payment or performance of an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When determining whether a particular interest falls within the scope of s. 2(1)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the court looks to the substance of the transaction (rather than its form), as revealed by: its purpose, the relationship between the parties, the practicality and commercial reality and the intention of the parties; </w:t>
      </w:r>
      <w:r>
        <w:rPr>
          <w:rFonts w:ascii="arial" w:eastAsia="arial" w:hAnsi="arial" w:cs="arial"/>
          <w:i/>
          <w:color w:val="000000"/>
          <w:sz w:val="20"/>
          <w:lang w:val="en-US" w:eastAsia="en-US" w:bidi="ar-SA"/>
        </w:rPr>
        <w:t>Manning Jamison Ltd. v. Registrar of Travel Services</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1999 BCCA 185</w:t>
        </w:r>
      </w:hyperlink>
      <w:r>
        <w:rPr>
          <w:rFonts w:ascii="arial" w:eastAsia="arial" w:hAnsi="arial" w:cs="arial"/>
          <w:color w:val="000000"/>
          <w:sz w:val="20"/>
          <w:lang w:val="en-US" w:eastAsia="en-US" w:bidi="ar-SA"/>
        </w:rPr>
        <w:t xml:space="preserve">, at paras. 26-27. If it is sufficiently akin in substance to one of the enumerated interests in 2(1)(b), then it is considered to be a security agreement and will be governed by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Contech Enterprises Inc. (Re.)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2015 BCSC 129</w:t>
        </w:r>
      </w:hyperlink>
      <w:r>
        <w:rPr>
          <w:rFonts w:ascii="arial" w:eastAsia="arial" w:hAnsi="arial" w:cs="arial"/>
          <w:color w:val="000000"/>
          <w:sz w:val="20"/>
          <w:lang w:val="en-US" w:eastAsia="en-US" w:bidi="ar-SA"/>
        </w:rPr>
        <w:t xml:space="preserve">, at para. 61; rev'd on other grounds, </w:t>
      </w:r>
      <w:hyperlink r:id="rId866" w:history="1">
        <w:r>
          <w:rPr>
            <w:rFonts w:ascii="arial" w:eastAsia="arial" w:hAnsi="arial" w:cs="arial"/>
            <w:i/>
            <w:color w:val="0077CC"/>
            <w:sz w:val="20"/>
            <w:u w:val="single"/>
            <w:shd w:val="clear" w:color="auto" w:fill="FFFFFF"/>
            <w:lang w:val="en-US" w:eastAsia="en-US" w:bidi="ar-SA"/>
          </w:rPr>
          <w:t>2015 BCCA 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expressly identifies that, if used to secure payment, both conditional sales agreements (described as "an agreement by which a seller retains title to goods until the buyer pays the full price for the goods" in </w:t>
      </w:r>
      <w:r>
        <w:rPr>
          <w:rFonts w:ascii="arial" w:eastAsia="arial" w:hAnsi="arial" w:cs="arial"/>
          <w:i/>
          <w:color w:val="000000"/>
          <w:sz w:val="20"/>
          <w:lang w:val="en-US" w:eastAsia="en-US" w:bidi="ar-SA"/>
        </w:rPr>
        <w:t>In the Matter of the Bankruptcy of Anderson's Engineering Ltd.,</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2001 BCSC 1476</w:t>
        </w:r>
      </w:hyperlink>
      <w:r>
        <w:rPr>
          <w:rFonts w:ascii="arial" w:eastAsia="arial" w:hAnsi="arial" w:cs="arial"/>
          <w:color w:val="000000"/>
          <w:sz w:val="20"/>
          <w:lang w:val="en-US" w:eastAsia="en-US" w:bidi="ar-SA"/>
        </w:rPr>
        <w:t xml:space="preserve">, at para. 84), and trusts (considered in </w:t>
      </w:r>
      <w:r>
        <w:rPr>
          <w:rFonts w:ascii="arial" w:eastAsia="arial" w:hAnsi="arial" w:cs="arial"/>
          <w:i/>
          <w:color w:val="000000"/>
          <w:sz w:val="20"/>
          <w:lang w:val="en-US" w:eastAsia="en-US" w:bidi="ar-SA"/>
        </w:rPr>
        <w:t>Manning Jamison</w:t>
      </w:r>
      <w:r>
        <w:rPr>
          <w:rFonts w:ascii="arial" w:eastAsia="arial" w:hAnsi="arial" w:cs="arial"/>
          <w:color w:val="000000"/>
          <w:sz w:val="20"/>
          <w:lang w:val="en-US" w:eastAsia="en-US" w:bidi="ar-SA"/>
        </w:rPr>
        <w:t>), are security interests. These attributes capture the substance of the title retention clause and, as such, that clause would constitute a "security interest". I note that counsel for C &amp; F accepted that the title retention clause in the Trac Chile Contract was in the nature of a conditional sales agreement.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Interests Under the </w:t>
      </w:r>
      <w:r>
        <w:rPr>
          <w:rFonts w:ascii="arial" w:eastAsia="arial" w:hAnsi="arial" w:cs="arial"/>
          <w:b/>
          <w:i/>
          <w:color w:val="000000"/>
          <w:sz w:val="20"/>
          <w:lang w:val="en-US" w:eastAsia="en-US" w:bidi="ar-SA"/>
        </w:rPr>
        <w:t>PPSA</w:t>
      </w:r>
      <w:r>
        <w:rPr>
          <w:rFonts w:ascii="arial" w:eastAsia="arial" w:hAnsi="arial" w:cs="arial"/>
          <w:b/>
          <w:color w:val="000000"/>
          <w:sz w:val="20"/>
          <w:lang w:val="en-US" w:eastAsia="en-US" w:bidi="ar-SA"/>
        </w:rPr>
        <w:t xml:space="preserve"> that are not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Security interests, under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are only enforceable against third parties if they have attached. Under s. 12, a security interest generally attaches when value is given, the debtor has rights in the collateral and the interest is enforceable under s. 10. Section 10(1) states, for example, that a security interest is only enforceable against a third party if:</w:t>
      </w:r>
      <w:r>
        <w:rPr>
          <w:rFonts w:ascii="arial" w:eastAsia="arial" w:hAnsi="arial" w:cs="arial"/>
          <w:sz w:val="20"/>
          <w:lang w:val="en-US" w:eastAsia="en-US" w:bidi="ar-SA"/>
        </w:rPr>
        <w:cr/>
      </w:r>
    </w:p>
    <w:p>
      <w:pPr>
        <w:numPr>
          <w:numId w:val="6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debtor has signed a security agreement that contains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collateral by item or kind, or by reference to one or more of the following: goods, investment property, instruments, documents of title, chattel paper, intangibles, money, crops or licences,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If a security interest has attached, it can also be perfected through other mechanisms set out in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such as registration or possession, and then, once perfected, it would generally take priority over attached but unperfected interests;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ss. 19, 35.</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 generally establish that a seller retains title to goods covered by the clause and that the buyer of the goods holds them on trust for the seller; see </w:t>
      </w:r>
      <w:r>
        <w:rPr>
          <w:rFonts w:ascii="arial" w:eastAsia="arial" w:hAnsi="arial" w:cs="arial"/>
          <w:i/>
          <w:color w:val="000000"/>
          <w:sz w:val="20"/>
          <w:lang w:val="en-US" w:eastAsia="en-US" w:bidi="ar-SA"/>
        </w:rPr>
        <w:t>Benjamin's Sale of Goods</w:t>
      </w:r>
      <w:r>
        <w:rPr>
          <w:rFonts w:ascii="arial" w:eastAsia="arial" w:hAnsi="arial" w:cs="arial"/>
          <w:color w:val="000000"/>
          <w:sz w:val="20"/>
          <w:lang w:val="en-US" w:eastAsia="en-US" w:bidi="ar-SA"/>
        </w:rPr>
        <w:t xml:space="preserve"> at 5-141 - 4-142.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clauses are not expressly recognized in Canadian law but, rather, are addressed under various provincial </w:t>
      </w:r>
      <w:r>
        <w:rPr>
          <w:rFonts w:ascii="arial" w:eastAsia="arial" w:hAnsi="arial" w:cs="arial"/>
          <w:i/>
          <w:color w:val="000000"/>
          <w:sz w:val="20"/>
          <w:lang w:val="en-US" w:eastAsia="en-US" w:bidi="ar-SA"/>
        </w:rPr>
        <w:t>Personal Property Security Acts</w:t>
      </w:r>
      <w:r>
        <w:rPr>
          <w:rFonts w:ascii="arial" w:eastAsia="arial" w:hAnsi="arial" w:cs="arial"/>
          <w:color w:val="000000"/>
          <w:sz w:val="20"/>
          <w:lang w:val="en-US" w:eastAsia="en-US" w:bidi="ar-SA"/>
        </w:rPr>
        <w:t xml:space="preserve">;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substance of cls. 5.1 and 5.2 of the Trac Chile Contract create a security interest as defined in s. 2(1)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Manning Jamison</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Contech</w:t>
      </w:r>
      <w:r>
        <w:rPr>
          <w:rFonts w:ascii="arial" w:eastAsia="arial" w:hAnsi="arial" w:cs="arial"/>
          <w:color w:val="000000"/>
          <w:sz w:val="20"/>
          <w:lang w:val="en-US" w:eastAsia="en-US" w:bidi="ar-SA"/>
        </w:rPr>
        <w:t xml:space="preserve"> at para. 61; </w:t>
      </w:r>
      <w:r>
        <w:rPr>
          <w:rFonts w:ascii="arial" w:eastAsia="arial" w:hAnsi="arial" w:cs="arial"/>
          <w:i/>
          <w:color w:val="000000"/>
          <w:sz w:val="20"/>
          <w:lang w:val="en-US" w:eastAsia="en-US" w:bidi="ar-SA"/>
        </w:rPr>
        <w:t>Anderson's Engineering</w:t>
      </w:r>
      <w:r>
        <w:rPr>
          <w:rFonts w:ascii="arial" w:eastAsia="arial" w:hAnsi="arial" w:cs="arial"/>
          <w:color w:val="000000"/>
          <w:sz w:val="20"/>
          <w:lang w:val="en-US" w:eastAsia="en-US" w:bidi="ar-SA"/>
        </w:rPr>
        <w:t xml:space="preserve"> at para. 84. They are therefore governed by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C &amp; F would need to establish that the Trac Chile Contract meets the requirements of attachment, as set out in ss. 10 and 12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before it was enforceable as against third parties and, in this case, Imbamar.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Attachment, without perfection, provides some limited rights as against third parties; however, that protection is limited as against third-party buyers of goods;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ss. 20, 30(2).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Both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broadly speaking, seek to protect innocent third parties who purchase goods, either in good faith and without notice of any defect in title, or who do so in the ordinary course of the seller's business. These provisions are intended to enhance commercial certainty and are an essential part of the fabric of commercial activity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do not, therefore, accept that either cls. 5.1 or 5.2 of the Trac Chile Contract or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provide C &amp; F with a right to rescission of the Trac Chile Contract that would be immune from any consideration of intervening third-party rights. Instead, I consider that the right to or remedy of rescission is circumscribed by either or both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to the extent that those enactments address the rights of third-party purchasers. Whether Imbamar falls within the relevant provisions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in the circumstances of this case, is a separate question.</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Agency</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Imbamar's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Imbamar argues that Mr. Krause was C &amp; F's agent. This arises, it says, either expressly or impliedly from a letter agreement made between C &amp; F and Mr. Krause on July 29, 2009, (the "Letter Agreement"), or by virtue of Mr. Krause's ostensible authority. If Mr. Krause was C &amp; F's agent, C &amp; F is bound, Imbamar argues, by Mr. Krause's various representations to it; see G.H.L. Fridman, </w:t>
      </w:r>
      <w:r>
        <w:rPr>
          <w:rFonts w:ascii="arial" w:eastAsia="arial" w:hAnsi="arial" w:cs="arial"/>
          <w:i/>
          <w:color w:val="000000"/>
          <w:sz w:val="20"/>
          <w:lang w:val="en-US" w:eastAsia="en-US" w:bidi="ar-SA"/>
        </w:rPr>
        <w:t>Canadian Agency Law</w:t>
      </w:r>
      <w:r>
        <w:rPr>
          <w:rFonts w:ascii="arial" w:eastAsia="arial" w:hAnsi="arial" w:cs="arial"/>
          <w:color w:val="000000"/>
          <w:sz w:val="20"/>
          <w:lang w:val="en-US" w:eastAsia="en-US" w:bidi="ar-SA"/>
        </w:rPr>
        <w:t xml:space="preserve">, 2d ed. (Markham, Ont.: LexisNexis Canada Inc., 2012), at para. 10.2, [Fridman, </w:t>
      </w:r>
      <w:r>
        <w:rPr>
          <w:rFonts w:ascii="arial" w:eastAsia="arial" w:hAnsi="arial" w:cs="arial"/>
          <w:i/>
          <w:color w:val="000000"/>
          <w:sz w:val="20"/>
          <w:lang w:val="en-US" w:eastAsia="en-US" w:bidi="ar-SA"/>
        </w:rPr>
        <w:t>Agency</w:t>
      </w:r>
      <w:r>
        <w:rPr>
          <w:rFonts w:ascii="arial" w:eastAsia="arial" w:hAnsi="arial" w:cs="arial"/>
          <w:color w:val="000000"/>
          <w:sz w:val="20"/>
          <w:lang w:val="en-US" w:eastAsia="en-US" w:bidi="ar-SA"/>
        </w:rPr>
        <w:t xml:space="preserve">]. Alternatively, Imbamar argues that it was reasonable for it to rely on what it was told by C &amp; F's agent about the Steel Rail and, in particular, about the nature of C &amp; F's interest in the Steel Rail. That, in turn, is relevant to determining whether Imbamar acted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and/or whether its transaction with Trac Chile took place in the ordinary course of Trac Chile's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onus to prove that Mr. Krause had actual, or implied, or ostensible authority to act for C &amp; F lies with Imbamar. To establish that Mr. Krause had ostensible authority to act for C &amp; F, Imbamar must establish that C &amp; F "deliberately, or intentionally, 'held out'" Mr. Krause as its agent; Fridman, </w:t>
      </w:r>
      <w:r>
        <w:rPr>
          <w:rFonts w:ascii="arial" w:eastAsia="arial" w:hAnsi="arial" w:cs="arial"/>
          <w:i/>
          <w:color w:val="000000"/>
          <w:sz w:val="20"/>
          <w:lang w:val="en-US" w:eastAsia="en-US" w:bidi="ar-SA"/>
        </w:rPr>
        <w:t>Agency,</w:t>
      </w:r>
      <w:r>
        <w:rPr>
          <w:rFonts w:ascii="arial" w:eastAsia="arial" w:hAnsi="arial" w:cs="arial"/>
          <w:color w:val="000000"/>
          <w:sz w:val="20"/>
          <w:lang w:val="en-US" w:eastAsia="en-US" w:bidi="ar-SA"/>
        </w:rPr>
        <w:t xml:space="preserve"> at para. 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Before addressing these alternative positions, I wish to turn to an initial matter that places these legal issues into context, and that prevents Imbamar from advancing the issue in the way that it wishes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the normal case, a principal is liable for the torts of an agent acting within the scope of their authority. This extends, for example, to an agent who, without the knowledge of his principal, but acting within the scope of their authority, makes a false statement that is intended to deceive; Fridman, </w:t>
      </w:r>
      <w:r>
        <w:rPr>
          <w:rFonts w:ascii="arial" w:eastAsia="arial" w:hAnsi="arial" w:cs="arial"/>
          <w:i/>
          <w:color w:val="000000"/>
          <w:sz w:val="20"/>
          <w:lang w:val="en-US" w:eastAsia="en-US" w:bidi="ar-SA"/>
        </w:rPr>
        <w:t>Agency,</w:t>
      </w:r>
      <w:r>
        <w:rPr>
          <w:rFonts w:ascii="arial" w:eastAsia="arial" w:hAnsi="arial" w:cs="arial"/>
          <w:color w:val="000000"/>
          <w:sz w:val="20"/>
          <w:lang w:val="en-US" w:eastAsia="en-US" w:bidi="ar-SA"/>
        </w:rPr>
        <w:t xml:space="preserve"> at para.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result aligns with the policy considerations that drive or underlie many issues of vicarious liability. In the leading case of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those policy objectives, albeit in the context of master and servant, and in a non-commercial setting, are discussed at length. The Court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emphasized the need to work towards "a just and practical remedy"; at para. 29. Similar policy objectives underlie the vicarious liability of a principal for the acts of an agent who acts within the scope of their ostensible authority; </w:t>
      </w:r>
      <w:r>
        <w:rPr>
          <w:rFonts w:ascii="arial" w:eastAsia="arial" w:hAnsi="arial" w:cs="arial"/>
          <w:i/>
          <w:color w:val="000000"/>
          <w:sz w:val="20"/>
          <w:lang w:val="en-US" w:eastAsia="en-US" w:bidi="ar-SA"/>
        </w:rPr>
        <w:t>Thiessen v. Clarica Life Insurance Co.</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2002 BCCA 501</w:t>
        </w:r>
      </w:hyperlink>
      <w:r>
        <w:rPr>
          <w:rFonts w:ascii="arial" w:eastAsia="arial" w:hAnsi="arial" w:cs="arial"/>
          <w:color w:val="000000"/>
          <w:sz w:val="20"/>
          <w:lang w:val="en-US" w:eastAsia="en-US" w:bidi="ar-SA"/>
        </w:rPr>
        <w:t>, at paras. 24,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Ultimately, these policy objectives align with the somewhat imprecise dictum in </w:t>
      </w:r>
      <w:r>
        <w:rPr>
          <w:rFonts w:ascii="arial" w:eastAsia="arial" w:hAnsi="arial" w:cs="arial"/>
          <w:i/>
          <w:color w:val="000000"/>
          <w:sz w:val="20"/>
          <w:lang w:val="en-US" w:eastAsia="en-US" w:bidi="ar-SA"/>
        </w:rPr>
        <w:t>Lickbarrow v. Mason</w:t>
      </w:r>
      <w:r>
        <w:rPr>
          <w:rFonts w:ascii="arial" w:eastAsia="arial" w:hAnsi="arial" w:cs="arial"/>
          <w:color w:val="000000"/>
          <w:sz w:val="20"/>
          <w:lang w:val="en-US" w:eastAsia="en-US" w:bidi="ar-SA"/>
        </w:rPr>
        <w:t xml:space="preserve"> (1787), 2 T.R. 63 at 70, 100 E.R. 35, "wherever one or two innocent persons must suffer by the acts of a third, he who has enabled such third party to occasion the loss must sustain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consider that the policy objectives which would normally support the liability of a principal for the acts of his/her agent have any place in circumstances where a third party purports to rely on the statements of an agent who the third party knows to be either dishonest or a fraudster. This extends, I would say, to those circumstances where the agent purports to have engaged in the fraud on the instructions of his or her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Simply put, Imbamar says it uncovered a fraud. It was then provided with various assurances by Messrs. Ocampo and Mitarakis, who it knew had been involved in some wrong. It did not fully trust these individuals, was dissatisfied with or unsure of what it was told, and it either asked to speak to Mr. Krause,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the agent of C &amp; F, or was directed to Mr. Krause by these two fraudsters. Mr. Solar gave the following answers at his examination for discovery about his meeting with Mr. Krause: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Did you ask during the meeting who fabricated these documents?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ask at the meeting. First I asked them who fabricated these documents and is it true. I asked Mr. Krause is it true that everything is done according to your instructions.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stick with the answer you got at the meeting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about who fabricated them. Was there an answer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said -- they -- I mean, Mitarakis said that, "We did," but "we" was not clear, who is "we".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 you said, "Who fabricated these documents"?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he says "we".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Mitarakis says, "We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"We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left it at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asked them, I asked them again on the meeting who did that. He repeated that, "We did according to Ferrostaal instructions."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"we" included him, obviously?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Most probably,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part of the fraud, you understood?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Definitely.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before you purchased the steel you knew that there had been a fraud taken place involving the man you were purchasing the steel from?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 yes.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clear, on the whole of the evidence, that Mr. Solar understood, either that Mr. Krause had been involved in or had overseen this fraud, albeit, Mr. Krause said, at the direction of C &amp; F. Thus, at a minimum, Mr. Solar also knew that Mr. Krause had been complicit in the intended fraud. I note, parenthetically, that the foregoing excerpt appears to be inconsistent with the fraud having been aborted. Even if, however, Mr. Solar was told that C &amp; F decided to "abort" the fraudulent transaction, and to not make use of the fraudulent documents that had been created, this would not change things. Mr. Solar knew he was dealing with dishonest individuals who had been prepared to engage in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Apart from the fraudulent nature of the documents given by the Tracomex companies to C &amp; F, there is significant other evidence of circumstances that should have cried out to Imbamar's representatives that they were dealing with dishonest individuals. Mr. Pitters' evidence, though he was not employed by Imbamar, was that Mr. Mitarakis was angry when he was asked for the documents that related to the C &amp; F transaction. Mr. Araya's evidence was that Mr. Krause became angry when he learned that some of the fraudulent documents had been disclosed to Imbamar. Mr. Solar admitted that when he asked Mr. Krause to confirm, in writing, certain assurances or information that he had been given, Mr. Krause declined to do so. In May 2010, admittedly after Imbamar entered into its agreement with Trac Chile, Mr. Solar became aware of an email authored by Ms. Jansen in which she confirmed to Trac Chile that the Steel Rail continued to be the property of C &amp; F. Mr. Solar said that Mr. Krause assured him that the email was only strategic and was intended to put pressure on Trac Chile. That email should, again, have caused Mr. Solar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was advised by counsel for Imbamar that she had been unable to find any case law that addressed circumstances such as those that are present in this case. I am not surprised. It would be a curious result if third parties could rely on the assurances of an agent, known to them to be dishonest, in relation to the very transaction at issue, to bind an innocent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however, considerable jurisprudence that militates against Imbamar's position. First, the broad guidance provided in various relevant texts does not support Imbamar. In H.G. Beale et al, eds.,</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31st ed., (London, U.K.: Thomson Reuters, 2012), vol. 2, at para. 31-057, under the heading "Apparent Authority", the authors note that a third party cannot hold a principal liable for the representations of an agent in circumstances where the third party "was put on inquiry by the facts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Bowstead and Reynolds on Agency,</w:t>
      </w:r>
      <w:r>
        <w:rPr>
          <w:rFonts w:ascii="arial" w:eastAsia="arial" w:hAnsi="arial" w:cs="arial"/>
          <w:color w:val="000000"/>
          <w:sz w:val="20"/>
          <w:lang w:val="en-US" w:eastAsia="en-US" w:bidi="ar-SA"/>
        </w:rPr>
        <w:t xml:space="preserve"> 18th ed. (London, U.K.: Sweet &amp; Maxwell, 2006), at para. 8-041, the author similarly confirms that the doctrine of apparent authority does not apply to a person who "is put on inquiry by the facts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Houghton and Company v. Nothard, Lowe and Wills, Limited</w:t>
      </w:r>
      <w:r>
        <w:rPr>
          <w:rFonts w:ascii="arial" w:eastAsia="arial" w:hAnsi="arial" w:cs="arial"/>
          <w:color w:val="000000"/>
          <w:sz w:val="20"/>
          <w:lang w:val="en-US" w:eastAsia="en-US" w:bidi="ar-SA"/>
        </w:rPr>
        <w:t>, [1927] 1 K.B. 246 (C.A.), the court dealt with an agreement to apply the money of one company in payment of the debt of another, and concluded that the plaintiffs were put on inquiry to ascertain whether the person or persons making the contract had any authority in fact to do so. At 260, Bankes L.J. described the appropriate test as being that the person "must not have been put upon inquiry as to whether the transaction was in order." In concluding that the plaintiff should have been put on notice, Bankes L.J. said, "there was, I think, abundant cause for making Mr. Dart suspicious and putting him upon inquiry"; at 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 Underwood, Limited v. Bank of Liverpool</w:t>
      </w:r>
      <w:r>
        <w:rPr>
          <w:rFonts w:ascii="arial" w:eastAsia="arial" w:hAnsi="arial" w:cs="arial"/>
          <w:color w:val="000000"/>
          <w:sz w:val="20"/>
          <w:lang w:val="en-US" w:eastAsia="en-US" w:bidi="ar-SA"/>
        </w:rPr>
        <w:t>, [1924] 1 K.B. 776 (C.A.), a merchant who was the sole director of a company placed a cheque, made out in the name of the company, into his own account. The defendant bank argued it had acted on the apparent authority of the merchant to act for his company. Bankes L.J. said at 788-789: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what are the facts? The cheques were plainly, on the face of them, the property of the company. They were endorsed by Underwood as sole director, a fact which, instead of absolving the cashiers from inquiry, appears to me to demand the exercise of greater caution on their part, having regard to the fact that the cheques were being paid in to Underwood's private account. Many of the cheques were marked in a way which, of itself, ought to have put the cashiers on inquiry. I entirely accept the view of the learned judge with regard to the conduct of the cashiers, and I think his conclusion establishes not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but such an absence of ordinary inquiry as to disentitle the appellants from relying on a defence founded on the ostensible authority of Underwood.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Hazelwood v. West Coast Securities Ltd</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(1974), 49 D.L.R. (3d) 46</w:t>
        </w:r>
      </w:hyperlink>
      <w:r>
        <w:rPr>
          <w:rFonts w:ascii="arial" w:eastAsia="arial" w:hAnsi="arial" w:cs="arial"/>
          <w:color w:val="000000"/>
          <w:sz w:val="20"/>
          <w:lang w:val="en-US" w:eastAsia="en-US" w:bidi="ar-SA"/>
        </w:rPr>
        <w:t xml:space="preserve"> (B.C.S.C.), rev'd on other grounds, </w:t>
      </w:r>
      <w:hyperlink r:id="rId870" w:history="1">
        <w:r>
          <w:rPr>
            <w:rFonts w:ascii="arial" w:eastAsia="arial" w:hAnsi="arial" w:cs="arial"/>
            <w:i/>
            <w:color w:val="0077CC"/>
            <w:sz w:val="20"/>
            <w:u w:val="single"/>
            <w:shd w:val="clear" w:color="auto" w:fill="FFFFFF"/>
            <w:lang w:val="en-US" w:eastAsia="en-US" w:bidi="ar-SA"/>
          </w:rPr>
          <w:t>68 D.L.R. (3d) 172</w:t>
        </w:r>
      </w:hyperlink>
      <w:r>
        <w:rPr>
          <w:rFonts w:ascii="arial" w:eastAsia="arial" w:hAnsi="arial" w:cs="arial"/>
          <w:color w:val="000000"/>
          <w:sz w:val="20"/>
          <w:lang w:val="en-US" w:eastAsia="en-US" w:bidi="ar-SA"/>
        </w:rPr>
        <w:t xml:space="preserve"> (B.C.C.A.), a director purported to act on behalf of a company with a third party. The transaction, for various reasons, was "unusual in nature". Fulton J., after referring to several authorities, said at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before me, I have to ask whether, there being no express authority, the facts of these transactions were such as to put the plaintiffs on inquiry as to the actual authority of Hunter. There is no doubt in my mind that the transactions surrounding all four advances were of such a nature. They were unusual in a high degree. They conferred on the face of them no benefit upon the defendant: its obligation consisted exclusively of receiving and holding the moneys in trust. The defendant did not operate a trust or clients' account, nor is it usual for stockbrokers to do so. The payment of interest at the unusual rates in question -- as high as 60% per annum -- was guaranteed only by Ash Enterprises Ltd. and Benson Hunter, not by the defendant, a fact which on the face of it suggests that Benson Hunter had some personal interest in the transactions apart from his employer, which is hardly in keeping with the normal relationship of an agent and principal, whether that agent is a director or not of the principal. There is surely something very unusual in an agreement binding stockbrokers to hold money for investment as long as six months while one of their officers and one of his trading accounts guarantees the payment of interest. All of these facts were enough to -- and should have -- put the plaintiffs on inquiry as to whether the transactions were in fact entered into on behalf of the defendant within the limits of Hunter's authority, or were entered into by Hunter on his own and for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Similar conclusions were expressed in each of </w:t>
      </w:r>
      <w:r>
        <w:rPr>
          <w:rFonts w:ascii="arial" w:eastAsia="arial" w:hAnsi="arial" w:cs="arial"/>
          <w:i/>
          <w:color w:val="000000"/>
          <w:sz w:val="20"/>
          <w:lang w:val="en-US" w:eastAsia="en-US" w:bidi="ar-SA"/>
        </w:rPr>
        <w:t>Jas Forwarding v. Int'l Fastline Forwarding Inc.</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2002 BCSC 326</w:t>
        </w:r>
      </w:hyperlink>
      <w:r>
        <w:rPr>
          <w:rFonts w:ascii="arial" w:eastAsia="arial" w:hAnsi="arial" w:cs="arial"/>
          <w:color w:val="000000"/>
          <w:sz w:val="20"/>
          <w:lang w:val="en-US" w:eastAsia="en-US" w:bidi="ar-SA"/>
        </w:rPr>
        <w:t xml:space="preserve">, at para. 62, and in </w:t>
      </w:r>
      <w:r>
        <w:rPr>
          <w:rFonts w:ascii="arial" w:eastAsia="arial" w:hAnsi="arial" w:cs="arial"/>
          <w:i/>
          <w:color w:val="000000"/>
          <w:sz w:val="20"/>
          <w:lang w:val="en-US" w:eastAsia="en-US" w:bidi="ar-SA"/>
        </w:rPr>
        <w:t>Ulmer v. Schlang</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2003 BCSC 1283</w:t>
        </w:r>
      </w:hyperlink>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none of these cases do the facts, which were considered by the court to be "unusual", come close to the circumstances of this case. This is so for two primary reasons. First, Imbamar, through Mr. Solar, had good and objective reason to be suspicious of each of Messrs. Ocampo, Mitarakis and Krause. He knew, at a minimum, that they had been prepared to engage in a fraud in relation to the Steel Rail. Second, and in a related vein, Imbamar knew that many of the documents that Trac Chile relied on to establish its title to the Steel Rail were fraudulent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fact that Imbamar made further inquiries of Mr. Krause to confirm what Messrs. Ocampo and Mitarakis had told it does not advance matters. Imbamar effectively looked to one dishonest person to confirm the statements of other dishonest individuals. It was necessary, in such circumstances, to do more and, indeed, to speak to C &amp; F. Nor do I consider the fact that Imbamar, through either Mr. Solar or Mr. Araya, made other inquiries, alters this conclusion. For example, Imbamar examined Trac Chile's accounts and financial records, and it searched property registries in British Columbia. The fact remains that it knew that the very foundation of Trac Chile's purported ownership of the Steel Rail was tainted.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turn to a further point. In </w:t>
      </w:r>
      <w:r>
        <w:rPr>
          <w:rFonts w:ascii="arial" w:eastAsia="arial" w:hAnsi="arial" w:cs="arial"/>
          <w:i/>
          <w:color w:val="000000"/>
          <w:sz w:val="20"/>
          <w:lang w:val="en-US" w:eastAsia="en-US" w:bidi="ar-SA"/>
        </w:rPr>
        <w:t>Thiesse,</w:t>
      </w:r>
      <w:r>
        <w:rPr>
          <w:rFonts w:ascii="arial" w:eastAsia="arial" w:hAnsi="arial" w:cs="arial"/>
          <w:color w:val="000000"/>
          <w:sz w:val="20"/>
          <w:lang w:val="en-US" w:eastAsia="en-US" w:bidi="ar-SA"/>
        </w:rPr>
        <w:t xml:space="preserve"> at para. 31, the court quoted from the 1996 edition of Fridman, </w:t>
      </w:r>
      <w:r>
        <w:rPr>
          <w:rFonts w:ascii="arial" w:eastAsia="arial" w:hAnsi="arial" w:cs="arial"/>
          <w:i/>
          <w:color w:val="000000"/>
          <w:sz w:val="20"/>
          <w:lang w:val="en-US" w:eastAsia="en-US" w:bidi="ar-SA"/>
        </w:rPr>
        <w:t>Agency</w:t>
      </w:r>
      <w:r>
        <w:rPr>
          <w:rFonts w:ascii="arial" w:eastAsia="arial" w:hAnsi="arial" w:cs="arial"/>
          <w:color w:val="000000"/>
          <w:sz w:val="20"/>
          <w:lang w:val="en-US" w:eastAsia="en-US" w:bidi="ar-SA"/>
        </w:rPr>
        <w:t>, where the author, at 116,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agent was acting in his own interests does not affect this question. For 'the principal ... cannot escape from liability merely because the agent may have abused the authority or betrayed his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agent must appear to be acting in a way in which a person in his position would normally act: otherwise it will not be possible to assert that to the outside world he quite reasonably appeared to have the necessary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This presupposes that there is nothing to the "outside world" that would be a source of obvious concern. In this case, it cannot be said that Mr. Krause acted "as a person in his position would normally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xml:space="preserve"> the court also considered that the trial judge had focused only on the principal's perspective and not on the "vulnerable customer of that principal"; at para. 33. In this case, it cannot be said that Imbamar was vulnerable. It chose to do business with persons who it knew, from the outset, were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consider that these conclusions are dispositive of Imbamar's assertion that C &amp; F is bound by the representations of its "agent", Mr. Krause, at least on the basis that Mr. Krause had ostensible authority to act for C &amp; F. Because it was I who raised this issue in argument, and because counsel for Imbamar had focused, instead, on the narrower question of whether Mr. Krause was C &amp; F's agent, I have also addressed that issue.</w:t>
      </w:r>
      <w:r>
        <w:rPr>
          <w:rFonts w:ascii="arial" w:eastAsia="arial" w:hAnsi="arial" w:cs="arial"/>
          <w:sz w:val="20"/>
          <w:lang w:val="en-US" w:eastAsia="en-US" w:bidi="ar-SA"/>
        </w:rPr>
        <w:cr/>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Was Mr. Krause C &amp; F's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Imbamar argues, as I have said, that Mr. Krause was either C &amp; F's actual agent, express or implied, or that he had ostensible authority to act for C &amp;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Keddie v. Canada Life Assurance Co.</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1999 BCCA 541</w:t>
        </w:r>
      </w:hyperlink>
      <w:r>
        <w:rPr>
          <w:rFonts w:ascii="arial" w:eastAsia="arial" w:hAnsi="arial" w:cs="arial"/>
          <w:color w:val="000000"/>
          <w:sz w:val="20"/>
          <w:lang w:val="en-US" w:eastAsia="en-US" w:bidi="ar-SA"/>
        </w:rPr>
        <w:t>, at para. 24, Rowles J.A., for the court, said, "[a]ctual authority turns on the relationship between the principal and agent. Apparent or ostensible authority is concerned primarily with representations and manifestations made by the principal to third parties".</w:t>
      </w:r>
      <w:r>
        <w:rPr>
          <w:rFonts w:ascii="arial" w:eastAsia="arial" w:hAnsi="arial" w:cs="arial"/>
          <w:sz w:val="20"/>
          <w:lang w:val="en-US" w:eastAsia="en-US" w:bidi="ar-SA"/>
        </w:rPr>
        <w:cr/>
      </w:r>
    </w:p>
    <w:p>
      <w:pPr>
        <w:numPr>
          <w:numId w:val="7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Actual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Express agency is created when a principal expressly appoints an agent "either by deed, by writing under hand, or by parol"; </w:t>
      </w:r>
      <w:r>
        <w:rPr>
          <w:rFonts w:ascii="arial" w:eastAsia="arial" w:hAnsi="arial" w:cs="arial"/>
          <w:i/>
          <w:color w:val="000000"/>
          <w:sz w:val="20"/>
          <w:lang w:val="en-US" w:eastAsia="en-US" w:bidi="ar-SA"/>
        </w:rPr>
        <w:t>Halsbury's Laws of Canada - Commercial Law III (Agency)</w:t>
      </w:r>
      <w:r>
        <w:rPr>
          <w:rFonts w:ascii="arial" w:eastAsia="arial" w:hAnsi="arial" w:cs="arial"/>
          <w:color w:val="000000"/>
          <w:sz w:val="20"/>
          <w:lang w:val="en-US" w:eastAsia="en-US" w:bidi="ar-SA"/>
        </w:rPr>
        <w:t xml:space="preserve"> (Markham Ont.: LexisNexis Canada Inc., 2011) at 111, </w:t>
      </w:r>
      <w:hyperlink r:id="rId874" w:history="1">
        <w:r>
          <w:rPr>
            <w:rFonts w:ascii="arial" w:eastAsia="arial" w:hAnsi="arial" w:cs="arial"/>
            <w:i/>
            <w:color w:val="0077CC"/>
            <w:sz w:val="20"/>
            <w:u w:val="single"/>
            <w:shd w:val="clear" w:color="auto" w:fill="FFFFFF"/>
            <w:lang w:val="en-US" w:eastAsia="en-US" w:bidi="ar-SA"/>
          </w:rPr>
          <w:t>HAY-12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xml:space="preserve"> at para. 23. Here Imbamar relies on the Letter Agreement that was made between Coditeq Maquinera S.A. (Coditeq) and C &amp; F. Coditeq is a company that Mr. Krause appears to have had an interest in. The Letter Agreement, which is on C &amp; F letterhead,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Krause,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herewith agree that you have assisted us in concluding the above mentioned order by informing us about Tracomex' requirement and arranging the contact between Tracomex and Coutinho &amp; Ferrostaal.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will follow up the execution of the above mentioned order and support us in case problems may occur at no additional cost to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your service we will pay you a commission of CAD $/mt 6.40 (including all taxes, duties and dues, if any). This commission shall be paid in full and complete satisfaction as to any works and services to be rendered by yourself in connection with or relating to the preparation, development and implementation of the above mentioned order as well as covering the possible costs and expenses and no further claims shall be made by yourself against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commission shall become due and payable upon receipt of the payment by Tracomex to Coutinho &amp; Ferrostaal GmbH covering the total price of the above-mentioned order and will be transferred to the account of Consulting Pro Ltda,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Germany has signed the "Convention on Combating Bribery of Foreign Public Officials in International Business Transactions" dated December 17, 1997 which was incorporated on February 15, 1999, into German law as "Act on Combating International Bribery" (hereinafter "ACIB") The Agent confirms that it will not take any action related to the performance of this Agreement in violation of the ACIB or that may be regarded as violation by Coutinho &amp; Ferrostaal or any of its employees to criminal proceedings under German laws, regulations or administrative requirements related to the ACIB.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cooperation is purely based on a case-to-case basis. The letter agreement is governed by German laws and the courts of Essen, Germany, shall be solely competent to decide any disputes arising out of or in connection herewith.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confirm acceptance hereof by counter-signing this letter and returning it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Doelle confirmed that C &amp; F provided Mr. Krause with no separate authority to make representations for C &amp; F or to bind C &amp; F to any contract. Nor did it provide him with any separate signing authority on behalf of C &amp;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Though the Letter Agreement states that it is to be interpreted according to the laws of Germany, no counsel addressed the agreement through this lens. Instead, all parties proceeded as though the laws of British Columbia governed the interpretation and legal consequences of the Letter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addressing the Letter Agreement, I consider it appropriate to consider the surrounding circumstances, or factual matrix, in which that agreement was created. In doing so, I am mindful of the limitations to which such evidence can properly be used. In the second, </w:t>
      </w:r>
      <w:r>
        <w:rPr>
          <w:rFonts w:ascii="arial" w:eastAsia="arial" w:hAnsi="arial" w:cs="arial"/>
          <w:i/>
          <w:color w:val="000000"/>
          <w:sz w:val="20"/>
          <w:lang w:val="en-US" w:eastAsia="en-US" w:bidi="ar-SA"/>
        </w:rPr>
        <w:t>Reardon Smith Line Ltd. v. Hansen-Tangen</w:t>
      </w:r>
      <w:r>
        <w:rPr>
          <w:rFonts w:ascii="arial" w:eastAsia="arial" w:hAnsi="arial" w:cs="arial"/>
          <w:color w:val="000000"/>
          <w:sz w:val="20"/>
          <w:lang w:val="en-US" w:eastAsia="en-US" w:bidi="ar-SA"/>
        </w:rPr>
        <w:t>, [1976] 3 All E.R. 570 at 574 (H.L.), Lord Wilberforce elaborated on the importance, to the interpretive process, of an understanding of the commercial circumstances underlying a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contracts are made in a vacuum: there is always a setting in which they have to be placed. The nature of what is legitimate to have regard to is usually described as 'the surrounding circumstances' but this phrase is imprecise: it can be illustrated but hardly defined. In a commercial contract it is certainly right that the court should know the commercial purpose of the contract and this in turn presupposes knowledge of the genesis of the transaction, the background, the context, the market in which the parties are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 number of circumstances which properly constitute factual matrix evidence are relevant. Mr. Doelle said that C &amp; F entered into the Letter Agreement with Mr. Krause because he had introduced the Tracomex opportunity to C &amp; F. C &amp; F had never made use of or dealt with Mr. Krause in the past, though Mr. Krause had previously done work for CCC Steel, a shareholder in C &amp; F. C &amp; F also had no existing or other relationship with Coditeq. In 2009, C &amp; F had no offices in South America. Instead, it used "consultants" to assist it with the business it did there. Again, the volume of that business was some $200 - 300 million US annually. The Letter Agreement was in the nature of a standard document and it was described as being for a "single-purpose business", meaning that it was for a single transaction. C &amp; F also had other forms of agreement that it used in circumstances that involved several different transactions or where the "consultant" provided assistance to C &amp; F more regularly. The contents of such agreements were more detailed.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Though Mr. Doelle and Ms. Jansen tended to use the word "consultant" in their evidence rather than "agent", the Letter Agreement does describe Mr. Krause as an "agent". Mr. Doelle explained, however, that the German understanding of these two concepts is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Doelle also said that the role of "consultants", such as Mr. Krause, was limited to communicating information to a third party and to then relaying such information back to C &amp; F. Mr. Krause was, in a sense, a "postman".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this case, I am satisfied that the Letter Agreement authorized Mr. Krause to interact with the Tracomex companies, or their principals, in relation to the single transaction identified in the documents. He was paid a finite commission for a finite task. His commission was limited to the single transaction identified in the Letter Agreement. He was only being retained on a "case-to-case" basis. There is, however, no express limitation in the Letter Agreement on Mr. Krause only being permitted to communicate what he was told to communicate. I do consider, therefore, that Mr. Krause was C &amp; F's agent, albeit an agent with a limited or finite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this case, the question is whether the express terms of the Letter Agreement, or this limited mandate, authorized Mr. Krause to interact with, or negotiate with, or represent C &amp; F with third parties who were interested in the Steel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do not consider that it did. Mr. Krause's role was to "follow up the execution" of the Trac Chile Contract and to support C &amp; F in case of "problems" that might occur thereafter. Those problems clearly extended to Mr. Krause communicating with Trac Chile and Mr. Mitarakis in relation to its failure to pay C &amp; F the monies it was owed. Those problems also arguably extended to thereafter commencing an action in Chile or to assisting C &amp; F with collection proceedings. Interestingly, however, Mr. Krause was given a separate power of attorney by C &amp; F to enable him to deal with Chilean counsel when C &amp; F decided to sue on or "protest" the pagare it held. Mr. Krause's express authority did not extend to his interacting or negotiating with third parties who were interested in the Steel Rail.</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Implied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Fridman</w:t>
      </w:r>
      <w:r>
        <w:rPr>
          <w:rFonts w:ascii="arial" w:eastAsia="arial" w:hAnsi="arial" w:cs="arial"/>
          <w:i/>
          <w:color w:val="000000"/>
          <w:sz w:val="20"/>
          <w:lang w:val="en-US" w:eastAsia="en-US" w:bidi="ar-SA"/>
        </w:rPr>
        <w:t>, Agency</w:t>
      </w:r>
      <w:r>
        <w:rPr>
          <w:rFonts w:ascii="arial" w:eastAsia="arial" w:hAnsi="arial" w:cs="arial"/>
          <w:color w:val="000000"/>
          <w:sz w:val="20"/>
          <w:lang w:val="en-US" w:eastAsia="en-US" w:bidi="ar-SA"/>
        </w:rPr>
        <w:t xml:space="preserve"> advances the following legal propositions: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3.10 It is possible, indeed in some instances necessary, to read into the agent's express authority a certain implied authority. This may be because what has been expressly stated when the agency relationship was created does not cover the acts performed or required to be performed by the agent. It may be because the only way of construing the document which contains the agent's express authority is by inferring necessary implications.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If there is no statement which clarifies exactly what is the agent's authority, the only way of knowing what authority can properly be attributed to the agent is by inferring a certain implied authority. This is part of an agent's actual authority, which the principal has consented, by implication, that the agent should have. Where such an implication can be made, it is made on the basis that the principal has in fact consented to the agent's having authority to act in such a manner or as regards such a transaction.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3.12 Every agent has implied authority to do everything necessary for, and ordinarily incidental to, carrying out his express authority according to the usual way in which such authority is executed.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this case, there is no need to construe or to imply additional authority into the Letter Agreement in order for it to achieve its intended purpose. What Imbamar seeks is an "implied term" that would authorize Mr. Krause, on behalf of C &amp; F, to deal with third parties, such as Imbamar, in relation to the Steel Rail. This would not reflect any implied authority -- it would rewrite the Letter Agreement. What Imbamar really argues here is that Mr. Krause appeared to have authority to act for C &amp; F or that he had ostensible authority to do so. This, however, is a different matter conceptually.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was no plea or evidence of any "customary authority", and I need not address this matter.</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Ostensible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Fridman</w:t>
      </w:r>
      <w:r>
        <w:rPr>
          <w:rFonts w:ascii="arial" w:eastAsia="arial" w:hAnsi="arial" w:cs="arial"/>
          <w:i/>
          <w:color w:val="000000"/>
          <w:sz w:val="20"/>
          <w:lang w:val="en-US" w:eastAsia="en-US" w:bidi="ar-SA"/>
        </w:rPr>
        <w:t>, Agency</w:t>
      </w:r>
      <w:r>
        <w:rPr>
          <w:rFonts w:ascii="arial" w:eastAsia="arial" w:hAnsi="arial" w:cs="arial"/>
          <w:color w:val="000000"/>
          <w:sz w:val="20"/>
          <w:lang w:val="en-US" w:eastAsia="en-US" w:bidi="ar-SA"/>
        </w:rPr>
        <w:t xml:space="preserve"> describes the nature of apparent or ostensible authority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3.22 When the doctrine of agency by estoppel operates to give rise to an agency relationship, in the manner explained in the previous chapter, the agent is regarded as being endowed with what is termed the "apparent" or "ostensible" authority of the principal. Unlike the previous kinds of authority discussed, an agent's apparent or ostensible authority is not an actual or real authority. It does not result, as do express and implied authority, from the express or implied consent on the part of the principal that the agent should have any authority, or the kind of authority the agent has purported to exercise. Apparent or ostensible authority is the product of the principal's conduct, a representation that the person acting as an agent is authorized to act on his or her behalf. It is an authority which "apparently" exists, having regard to the conduct of the parties. In fact, it does not exist; but as a matter of law, arising out of the factual position, the agent is said to have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3.23 In </w:t>
      </w:r>
      <w:r>
        <w:rPr>
          <w:rFonts w:ascii="arial" w:eastAsia="arial" w:hAnsi="arial" w:cs="arial"/>
          <w:i/>
          <w:color w:val="000000"/>
          <w:sz w:val="20"/>
          <w:lang w:val="en-US" w:eastAsia="en-US" w:bidi="ar-SA"/>
        </w:rPr>
        <w:t>Freeman and Lockyer v. Buckhurst Park Properties (MangaI) Ltd</w:t>
      </w:r>
      <w:r>
        <w:rPr>
          <w:rFonts w:ascii="arial" w:eastAsia="arial" w:hAnsi="arial" w:cs="arial"/>
          <w:color w:val="000000"/>
          <w:sz w:val="20"/>
          <w:lang w:val="en-US" w:eastAsia="en-US" w:bidi="ar-SA"/>
        </w:rPr>
        <w:t>., a case that has frequently been cited and followed in Canada, Diplock L.J. explained that an "apparent" or "ostensible" authority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legal relationship between the principal and the contractor created by a representation, made by the principal to the contractor, intended to be and in fact: acted upon by the contractor, that the agent has authority to enter on behalf of the principal into a contract of a kind within the scope of the "apparent" authority, so as to render the principal liable to perform any obligations imposed on him by such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relationship that is created in this way the agent is a stranger. He need not be aware of the existence of the representation, though, often, he is. The representation, when acted upon by the contractor by entering into a contract with the agent, operates as an estoppel, preventing the principal from asserting that he is not bound by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this province the leading authorities which address the requirements and ambit of the ostensible authority of an agent are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Rowles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finding of apparent authority depends on some representation through words or conduct on the part of the principal that leads a third party to believe that the agent has the authority in question. Apparent authority is a product of the principal's outward conduct with respect to third parties, not of the principal's internal agreements or arrangements with its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this case, there were no direct statements or representations made by C &amp; F to Imbamar about Mr. Krause's authority. Mr. Doelle said that C &amp; F was unaware of the existence of Imbamar. Though this does not address the finite legal issue I am now considering, I note that during the period from November 2009, when Imbamar first became aware of Trac Chile and the Steel Rail, to January 2010, when Imbamar signed the Imbamar Contract, Ms. Jansen was ill and away from C &amp; F's offices. There are simply no communications reflected in the exhibits at trial, or referred to in evidence, between Mr. Krause and C &amp; F during this time which would have alerted C &amp; F to Imbamar's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Imbamar argues, however, that there were representations or conduct "emanating from [C &amp; F] which would suggest to persons in the position of [Imbamar] that [Mr. Krause] was acting as [C &amp; F's] agent";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xml:space="preserve"> at para.31.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in relation to these representations was diverse and confused and often irrelevant to the legal issue I have identified. The following evidence of Mr. Araya reflects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my question, sir, is how your review of the public record satisfied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the public registry showed him as a partner in Coutinho Caro in Chile and he has a power of attorney to represent Coutinho Caro in Chile. He had photographs of Mr. -- of himself and Mr. Benjamin Schroeder in his office, because he gave me a card saying that he was a representative of Coutinho &amp; Ferrostaal, and because the logo on photographs of Coutinho &amp; Ferrostaal were in his office, because Mr. Rodrigo Ocampo was the previous representative of Coutinho &amp; Ferrostaal and Mr. Mitarakis told me that he dealt with Coutinho &amp; Ferrostaal in Chile with him and because Mr. Pitters told me that he was in charge of Coutinho &amp; Ferrostaal in Chile. So with all that information I didn't doubt that he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Araya Report contains similar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3.2.5 It is a German style house, with 8 to 10 interior parking slots and three stories of offices. In the reception area, foreign companies can be easily identified, with the names and logos of the company on the wall, desks and even magazines with information on the companies from the "Grupo Coutinho". Photographs of directors and executives of the Group in different facilities with political and government representatives can be observed. Staff walking around the offices; some of them clearly German, can be heard talking in the same language... The meetings with the representative of "Coutinho &amp; Ferrostaal GmbH" Mr. Bernd Krause are held in these offices. He is a partner of "Coutinho Caro Co. International Trading GmbH" in the companies of the Group in Chile.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Much of this evidence is simply inaccurate. Mr. Ocampo was never a representative of C &amp; F. What Mr. Pitters, Trac Chile's controller, said to Mr. Araya is irrelevant. The fact that Mr. Araya saw various things that were written in German, or heard persons speaking German, or that the offices of Mr. Krause were in a German-style building, cannot usefully inform the present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Both Mr. Araya and Mr. Solar repeated a number of things that Mr. Krause had said to them about his authority and status. Thus, Messrs. Solar and Araya said that Mr. Krause told them he was C &amp; F's agent in Chile. Mr. Pitters also said that Mr. Ocampo introduced Mr. Krause to him as C &amp; F's representative in Chile. What Mr. Krause or non-C &amp; F representatives said to Imbamar's representatives or to others to bolster or elevate his status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Next, there was much evidence about various other companies that Mr. Krause had some relationship with and that were somehow related to C &amp; F. Thus, for example, Mr. Krause apparently is, or has been, an agent of CCC Steel. Mr. Araya believed CCC Steel to be the owner of C &amp; F. It is, in fact, based on the evidence of Mr. Doelle, one of several shareholders of C &amp; F. In any event, Mr. Araya said that he saw a grant of authority, at a public registry, from CCC Steel to Mr. Krause.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consider it largely irrelevant that subsidiary or related companies or shareholders of C &amp; F may have given Mr. Krause some authority to act for them at different times. Mr. Solar is a relatively sophisticated businessman. Mr. Araya is a lawyer. The nature of separate corporate identity would be well-understood by both. More relevant and important was Mr. Araya's acknowledgment that he was unable to locate any grant of authority from C &amp; F to Mr. Krause at the public registry that he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Similarly, Mr. Araya said that he had understood, from his review of various internet sites, that CCC Steel and Mr. Krause formed Coditeq, the company that signed the Letter Agreement with C &amp; F. Even if I accepted that that was accurate, it would not, again, reflect any behaviour or conduct on the part of C &amp; F that held out Mr. Krause as its agent. Mr. Solar gave similar evidence relating to his review of various internet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most difficult aspect of this issue is the fact that both Messrs. Solar and Araya said that they were given business cards by Mr. Krause that had the C &amp; F logo on it. In addition, when they went to Mr. Krause's office for the December 24 Meeting, the vehicles in the driveway to that office had a C &amp; F logo on their side panels, and they saw C &amp; F "banners" on the premises. Imbamar also called evidence to establish that these logos or banners continue to remain in place at Mr. Krause's offices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This is, again, evidence that surfaced quite late in the trial. No such evidence was given by an earlier Imbamar witness, Mr. Pitters, who attended the December 24 Meeting. It is also clear that Imbamar's counsel had not been aware of these issues or this evidence at earlier stages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These issues are particularly troublesome because Mr. Doelle's direct evidence was that Mr. Krause was never given business cards, letterhead or signage. He also said there was no reference to Mr. Krause or to Coditeq on C &amp; F's website. He was never cross-examined on these aspects of his evidence and the second aspect of his evidence, relating to C &amp; F's website, remains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that Messrs. Solar and Araya saw what they said they did at Mr. Krause's offices, and that they were given a business card with a C &amp; F logo on it. I do not consider, however, that this evidence satisfies the onus that rests with Imbamar.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 similar situation arose in </w:t>
      </w:r>
      <w:r>
        <w:rPr>
          <w:rFonts w:ascii="arial" w:eastAsia="arial" w:hAnsi="arial" w:cs="arial"/>
          <w:i/>
          <w:color w:val="000000"/>
          <w:sz w:val="20"/>
          <w:lang w:val="en-US" w:eastAsia="en-US" w:bidi="ar-SA"/>
        </w:rPr>
        <w:t>Keddie</w:t>
      </w:r>
      <w:r>
        <w:rPr>
          <w:rFonts w:ascii="arial" w:eastAsia="arial" w:hAnsi="arial" w:cs="arial"/>
          <w:color w:val="000000"/>
          <w:sz w:val="20"/>
          <w:lang w:val="en-US" w:eastAsia="en-US" w:bidi="ar-SA"/>
        </w:rPr>
        <w:t>. In that case, the purported agent for Canada Life had a "Canada Life folder" that the third-party plaintiff had seen. The court, however, observed at para. 34, "[i]t [the folder] does not appear to have been issued to him by Canada Life, as the company led evidence that these documents are closely guarded, even within the company organization." How the Canada Life folder had made its way to the purported agent apparently remained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So too in this case, I accept that C &amp; F never issued or authorized Mr. Krause to use materials with C &amp; F's insignia. How or why Mr. Krause, an apparently brazen fraudster, came into possession of, or fabricated such corporate materials,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Imbamar relies on one last group of facts. Various documents were sent by C &amp; F to Euler Hermes, which refer to Mr. Krause as C &amp; F's "agent" or "representative". C &amp; F objected to these documents being marked as exhibits. I considered, however, that they should go into evidence, and that they might provide some circumstantial evidence on the issue of Mr. Krause's agency from which proper inferences might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My subsequent review of these documents does not, however, support Imbamar's position. They are not documents that Imbamar ever saw or was aware of, and they cannot establish a foundation for Mr. Krause's ostensible authority. I note that several of the relevant emails appear to be authored by persons not directly associated with C &amp; F, and so the weight given to any assertion of Mr. Krause's legal status within such documents is questionable. Finally, and importantly, the assertion that Mr. Krause was C &amp; F's agent, in the context of C &amp; F's claim to Euler Hermes, accords with the findings I have made. I have said that Mr. Krause was C &amp; F's agent, albeit for a limited or finite purpose. That limited purpose extended to C &amp; F's dealings with the Tracomex companies and its efforts to secure payment for the Steel Rail from Trac Chile. It did not go beyond this, and did not extend to any dealings with third parties who were interested in the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Whether the apparent authority of an agent is established is a question of fact; </w:t>
      </w:r>
      <w:r>
        <w:rPr>
          <w:rFonts w:ascii="arial" w:eastAsia="arial" w:hAnsi="arial" w:cs="arial"/>
          <w:i/>
          <w:color w:val="000000"/>
          <w:sz w:val="20"/>
          <w:lang w:val="en-US" w:eastAsia="en-US" w:bidi="ar-SA"/>
        </w:rPr>
        <w:t>Québec Federated Co-op Co. v. Farmers Fence Co</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[1925] 2 D.L.R. 574</w:t>
        </w:r>
      </w:hyperlink>
      <w:r>
        <w:rPr>
          <w:rFonts w:ascii="arial" w:eastAsia="arial" w:hAnsi="arial" w:cs="arial"/>
          <w:color w:val="000000"/>
          <w:sz w:val="20"/>
          <w:lang w:val="en-US" w:eastAsia="en-US" w:bidi="ar-SA"/>
        </w:rPr>
        <w:t>, at 575 (S.C.C.). I find, as a fact, that Imbamar has not satisfied the burden of proof that rests with it, and that C &amp; F did not represent that Mr. Krause had ostensible authority to act on its behalf.</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Agency and Section 26 of the </w:t>
      </w:r>
      <w:r>
        <w:rPr>
          <w:rFonts w:ascii="arial" w:eastAsia="arial" w:hAnsi="arial" w:cs="arial"/>
          <w:b/>
          <w:i/>
          <w:color w:val="000000"/>
          <w:sz w:val="20"/>
          <w:lang w:val="en-US" w:eastAsia="en-US" w:bidi="ar-SA"/>
        </w:rPr>
        <w:t>SGA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foregoing conclusions are relevant to s. 26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which was referred to by counsel for C &amp; F and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(1) Subject to this Act, if goods are sold by a person who is not the owner of them, and who does sell them under the authority or with the consent of the owner, the buyer acquires no better title to the goods than the seller had, unless the owner's conduct precludes the owner from denying the seller's authority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Generally, this provision has relevance in circumstances where an owner has given a seller the appearance of acting as the owner's agent;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109. Section 26 also pertains where an owner's agent, apart from the intended seller, appears to have authority to sell. These circumstances do not, based on the findings I have made,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Imbamar did argue that C &amp; F was estopped from denying Trac Chile's right to sell the Steel Rail, albeit without reference to s. 26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because it knew that Trac Chile was marketing the Steel Rail. While this is factually correct, I do not consider that this circumstance engages the operation of s. 26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First, the Trac Chile contract contained a "</w:t>
      </w:r>
      <w:r>
        <w:rPr>
          <w:rFonts w:ascii="arial" w:eastAsia="arial" w:hAnsi="arial" w:cs="arial"/>
          <w:i/>
          <w:color w:val="000000"/>
          <w:sz w:val="20"/>
          <w:lang w:val="en-US" w:eastAsia="en-US" w:bidi="ar-SA"/>
        </w:rPr>
        <w:t>Romalpa</w:t>
      </w:r>
      <w:r>
        <w:rPr>
          <w:rFonts w:ascii="arial" w:eastAsia="arial" w:hAnsi="arial" w:cs="arial"/>
          <w:color w:val="000000"/>
          <w:sz w:val="20"/>
          <w:lang w:val="en-US" w:eastAsia="en-US" w:bidi="ar-SA"/>
        </w:rPr>
        <w:t xml:space="preserve"> Clause" with the legal significance and attributes that I have described. The very purpose of such clauses is to allow a purchaser to market the goods in its possession though title is, throughout, retained by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Furthermore,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109,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it would seem clear from the cases that the principle of estoppel is not confined to instances of apparent or ostensible </w:t>
      </w:r>
      <w:r>
        <w:rPr>
          <w:rFonts w:ascii="arial" w:eastAsia="arial" w:hAnsi="arial" w:cs="arial"/>
          <w:i/>
          <w:color w:val="000000"/>
          <w:sz w:val="20"/>
          <w:lang w:val="en-US" w:eastAsia="en-US" w:bidi="ar-SA"/>
        </w:rPr>
        <w:t>agency</w:t>
      </w:r>
      <w:r>
        <w:rPr>
          <w:rFonts w:ascii="arial" w:eastAsia="arial" w:hAnsi="arial" w:cs="arial"/>
          <w:color w:val="000000"/>
          <w:sz w:val="20"/>
          <w:lang w:val="en-US" w:eastAsia="en-US" w:bidi="ar-SA"/>
        </w:rPr>
        <w:t xml:space="preserve"> but may extend to cases of apparent or ostensible </w:t>
      </w:r>
      <w:r>
        <w:rPr>
          <w:rFonts w:ascii="arial" w:eastAsia="arial" w:hAnsi="arial" w:cs="arial"/>
          <w:i/>
          <w:color w:val="000000"/>
          <w:sz w:val="20"/>
          <w:lang w:val="en-US" w:eastAsia="en-US" w:bidi="ar-SA"/>
        </w:rPr>
        <w:t>ownership</w:t>
      </w:r>
      <w:r>
        <w:rPr>
          <w:rFonts w:ascii="arial" w:eastAsia="arial" w:hAnsi="arial" w:cs="arial"/>
          <w:color w:val="000000"/>
          <w:sz w:val="20"/>
          <w:lang w:val="en-US" w:eastAsia="en-US" w:bidi="ar-SA"/>
        </w:rPr>
        <w:t xml:space="preserve"> on the part of the seller of the goods, where such appearance results from the conduct of the true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Professor Fridman, in explaining the ambit of this further aspect of s. 26 at 109,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seller is alleged to have the appearance of an agent or an owner, the cases show that something more than mere possession of the goods in question is required before estoppel can be pleaded. It is necessary for the seller to be armed "with some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which made it appear that he was either the owner or had the right to sell". The mere handing over of a chattel to another does not create an estoppel. There will be no estoppel unless the doctrine of ostensible ownership applies, for example, where the owner gives the recipient a document of title, or invests him with the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ownership. If the owner of a car gives possession of it to another person, who is not a mercantile agent or purchaser, in respect of whom, as will be seen later, special, and different, considerations are applicable, he does not hold out or represent that other person as being entitled to sell.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this case, Imbamar did not plead, or otherwise refer to s. 26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Imbamar's submissions did not suggest that C &amp; F gave Trac Chile any "indicia of ownership" beyond allowing it to be in possession of the Steel Rail. Finally, Trac Chile was in the business of buying and selling used rail. Addressing Imbamar's right to the Steel Rail, as a third-party purchaser, is best addressed through other provisions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C &amp; F Entitled to Rescission of the Trac Chile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(Toronto: Thomson Reuters Canada Limited, 2011) at 291-292 [Fridman</w:t>
      </w:r>
      <w:r>
        <w:rPr>
          <w:rFonts w:ascii="arial" w:eastAsia="arial" w:hAnsi="arial" w:cs="arial"/>
          <w:i/>
          <w:color w:val="000000"/>
          <w:sz w:val="20"/>
          <w:lang w:val="en-US" w:eastAsia="en-US" w:bidi="ar-SA"/>
        </w:rPr>
        <w:t>, Contract</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Fraud has effects both at common law and in equity, and gives rise to remedies under the law of tort and the law of contract. A fraudulent misrepresentation amounts to the tort of deceit, for which the injured party will receive damages from the misrepresentor. A contract induced by fraud is voidable at the election of the defrauded party. It is not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it is liable to be upset. Rescission may be granted. But the equitable remedy of rescission is discretionary.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Did the Tracomex Companies Make a Fraudulent Misrepresentation to C &amp; F that Induced it to Enter into the Trac Chile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Both the facts and the law, in relation to this issue, are straightforward and were not challenged in any way. In </w:t>
      </w:r>
      <w:r>
        <w:rPr>
          <w:rFonts w:ascii="arial" w:eastAsia="arial" w:hAnsi="arial" w:cs="arial"/>
          <w:i/>
          <w:color w:val="000000"/>
          <w:sz w:val="20"/>
          <w:lang w:val="en-US" w:eastAsia="en-US" w:bidi="ar-SA"/>
        </w:rPr>
        <w:t>Catalyst Pulp and Paper Sales Inc. v. Universal Paper Export Company Ltd.</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Bauman J.A.,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Each of these elements is readily established. The Tracomex companies, Mr. Mitarakis and his wife, Ms. Namias, who signed some of the documents in question, made a series of fraudulent representations to C &amp; F. Those fraudulent misrepresentations of fact included,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i) a fraudulently prepared master bill of lading and 155 fraudulently prepared bills of lading that indicated that the Steel Rail had been transported from Abbotsford, British Columbia, to Tacoma, Washington, between late July and early August 2009, when this was not so; ii) false correspondence indicating that the Steel Rail had been received "in conformity" with requirements; iii) various false packing lists that dealt with loading and unloading points in Abbotsford and Tacoma; and iv) a false certificate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It is clear on the evidence that Mr. Mitarakis knew that the materials were false and fraudulent. The uncontradicted evidence of Ms. Jansen was that without these documents C &amp; F would not have paid Trac Canada and would not have entered into the Trac Chile Contract.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Limits on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There are several potential impediments to the remedy of rescission. The authors of Peter D. Maddaugh &amp; John D. McCamus, </w:t>
      </w:r>
      <w:r>
        <w:rPr>
          <w:rFonts w:ascii="arial" w:eastAsia="arial" w:hAnsi="arial" w:cs="arial"/>
          <w:i/>
          <w:color w:val="000000"/>
          <w:sz w:val="20"/>
          <w:lang w:val="en-US" w:eastAsia="en-US" w:bidi="ar-SA"/>
        </w:rPr>
        <w:t>Law of Restitution</w:t>
      </w:r>
      <w:r>
        <w:rPr>
          <w:rFonts w:ascii="arial" w:eastAsia="arial" w:hAnsi="arial" w:cs="arial"/>
          <w:color w:val="000000"/>
          <w:sz w:val="20"/>
          <w:lang w:val="en-US" w:eastAsia="en-US" w:bidi="ar-SA"/>
        </w:rPr>
        <w:t>, loose-leaf (Toronto: Canada Law Book, 2014) vol. 1, 5-52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availability of rescissionary relief is subject to a number of limitations. Apart from the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requirement referred to above, those of general application appear to be three in number. Relief will not be allowed if the impugned the transaction has been affirmed, if there has been laches or undue delay in seeking relief, or if a third-party's rights have intervened.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Though Imbamar did not plead either laches or affirmation, it referred to both considerations in final argument.</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C &amp; F's evidence, which I accept, was that it learned of the Tracomex fraud in June 2011. Its counsel wrote to the Tracomex companies and others alerting them of its concerns on July 6, 2011. It commenced this action in September 2011. The assertion of laches, thus, has no foundation. To the extent Imbamar argues that C &amp; F should have been more diligent, or that it could have learned of the fraud earlier, it is clear that such considerations do not serve to ground an assertion of laches; Fridman,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 xml:space="preserve"> at 293.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and in any event, it would only be Trac Chile that could raise the issue of laches and not a third party to the Trac Chile Contract.</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Affirmation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Imbamar also argues that because C &amp; F first sued Trac Chile on the Trac Chile Contract, and only later amended its claim to seek rescission, it affirmed the Trac Chile Contract. Leaving aside the merits of this submission, it is again clear that only Trac Chile could advance this argument, rather than a third party to the Trac Chile Contract; see Dominic O'Sullivan, Steven Elliott &amp; Rafal Zakrsewski, </w:t>
      </w:r>
      <w:r>
        <w:rPr>
          <w:rFonts w:ascii="arial" w:eastAsia="arial" w:hAnsi="arial" w:cs="arial"/>
          <w:i/>
          <w:color w:val="000000"/>
          <w:sz w:val="20"/>
          <w:lang w:val="en-US" w:eastAsia="en-US" w:bidi="ar-SA"/>
        </w:rPr>
        <w:t>The Law of Rescission</w:t>
      </w:r>
      <w:r>
        <w:rPr>
          <w:rFonts w:ascii="arial" w:eastAsia="arial" w:hAnsi="arial" w:cs="arial"/>
          <w:color w:val="000000"/>
          <w:sz w:val="20"/>
          <w:lang w:val="en-US" w:eastAsia="en-US" w:bidi="ar-SA"/>
        </w:rPr>
        <w:t xml:space="preserve"> (New York: Oxford University Press, 2008) at paras. 23.54, 23.102, 23.103.</w:t>
      </w:r>
      <w:r>
        <w:rPr>
          <w:rFonts w:ascii="arial" w:eastAsia="arial" w:hAnsi="arial" w:cs="arial"/>
          <w:sz w:val="20"/>
          <w:lang w:val="en-US" w:eastAsia="en-US" w:bidi="ar-SA"/>
        </w:rPr>
        <w:cr/>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Third-Party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primary issue before me is whether it can be said that "third-party rights", here Imbamar's interest in the Steel Rail, have intervened. At common law, </w:t>
      </w:r>
      <w:r>
        <w:rPr>
          <w:rFonts w:ascii="arial" w:eastAsia="arial" w:hAnsi="arial" w:cs="arial"/>
          <w:i/>
          <w:color w:val="000000"/>
          <w:sz w:val="20"/>
          <w:lang w:val="en-US" w:eastAsia="en-US" w:bidi="ar-SA"/>
        </w:rPr>
        <w:t>a bona fide</w:t>
      </w:r>
      <w:r>
        <w:rPr>
          <w:rFonts w:ascii="arial" w:eastAsia="arial" w:hAnsi="arial" w:cs="arial"/>
          <w:color w:val="000000"/>
          <w:sz w:val="20"/>
          <w:lang w:val="en-US" w:eastAsia="en-US" w:bidi="ar-SA"/>
        </w:rPr>
        <w:t xml:space="preserve"> purchaser of a legal title was given no protection. Instead, that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only obtained the interest held by his vendor -- the governing principle being </w:t>
      </w:r>
      <w:r>
        <w:rPr>
          <w:rFonts w:ascii="arial" w:eastAsia="arial" w:hAnsi="arial" w:cs="arial"/>
          <w:i/>
          <w:color w:val="000000"/>
          <w:sz w:val="20"/>
          <w:lang w:val="en-US" w:eastAsia="en-US" w:bidi="ar-SA"/>
        </w:rPr>
        <w:t>nemo dat quod non habet</w:t>
      </w:r>
      <w:r>
        <w:rPr>
          <w:rFonts w:ascii="arial" w:eastAsia="arial" w:hAnsi="arial" w:cs="arial"/>
          <w:color w:val="000000"/>
          <w:sz w:val="20"/>
          <w:lang w:val="en-US" w:eastAsia="en-US" w:bidi="ar-SA"/>
        </w:rPr>
        <w:t>: a man can transfer no more than he has; O'Sullivan, at para. 21.52.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a matter of commercial or mercantile necessity, however, it became apparent that commerce required the protection of persons who bought goods in good faith through a seller who might, in fact, have no right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 &amp; F relies on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in its pleadings. In its argument it referred to and addressed each of s. 28, s. 30 and s. 59. These sections respectively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Sale under voidable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the seller of goods has a voidable title to them, but the seller's title has not been avoided at the time of the sale, the buyer acquires a good title to the goods, if they are bought in good faith and without notice of the seller's defect of title.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Seller or buyer in possession after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(1) If a person having sold goods continues or is in possession of the goods, or of the documents of title to the goods, the delivery or transfer by that person, or by a mercantile agent acting for that person, of the goods or documents of title under any sale, pledge or other disposition of them, or under any agreement for the sale, pledge or other disposition of them, to any person receiving the same in good faith and without notice of the previous sale has the same effect as if the person making the delivery or transfer were expressly authorized by the owner of the goods to make the delivery or transfer.</w:t>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to a sale, pledge or other disposition of</w:t>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goods, or</w:t>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of title to goods, other than negotiable documents of title,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is out of the ordinary course of business of the seller, pledger or disposer if, before the sale, pledge or disposition, the owner's interest in the goods is registered in the personal property registry in accordance with the regulations made under the Personal Property Security Act, and Part 4 of that Act applies to the registration.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Disposition by mercantile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59(1) If a mercantile agent is, with the consent of the owner, in possession of goods or of the documents of title to goods, any sale, pledge or other disposition of the goods made by the mercantile agent when acting in the ordinary course of business of a mercantile agent is, subject to this Act, as valid as if the mercantile agent were expressly authorized by the owner of the goods to make the sale, pledge or other disposition, if the person taking under the disposition acts in good faith, and has not at the time of the disposition notice that the person making the disposition has not authority to make it.</w:t>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mercantile agent has, with the consent of the owner, been in possession of goods, or of the documents of title to goods, any sale, pledge or other disposition that would have been valid if the consent had continued is valid despite the termination of the consent, if the person taking under the disposition has not at that time notice that the consent has been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Conversely, Imbamar, in its pleadings, referred to neither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It argued, however, that because the Trac Chile Contract was a conditional sales agreement, a proposition that counsel for C &amp; F accepts,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applies to that contract;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s. 2. Imbamar's submissions thus focussed primarily on s. 30(2)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buyer or lessee of goods sold or leased in the ordinary course of business of the seller or lessor takes free of any perfected or unperfected security interest in the goods given by the seller or lessor or arising under section 28 or 29, whether or not the buyer or lessee knows of it, unless the buyer or lessee also knows that the sale or lease constitutes a breach of the security agreement under which the security interest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To some extent then, the respective positions of the parties addressed different language in different statutory provisions. At bottom, however, counsel for Imbamar and C &amp; F agreed that the legal issue before me was much the same in any event. Thus, ss. 28, 30 and 59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each reference "the good faith" of the buyer, and ss. 30 and 59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refer to the transaction being "in the ordinary course of business" of the vendor. Section 30(2)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also relies on the transaction having been "in the ordinary course of business of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Counsel for Imbamar also agreed that the price paid for the goods in issue was relevant to both the "good faith" of the buyer and to whether a seller was acting "in the ordinary course of business"; see e.g. </w:t>
      </w:r>
      <w:r>
        <w:rPr>
          <w:rFonts w:ascii="arial" w:eastAsia="arial" w:hAnsi="arial" w:cs="arial"/>
          <w:i/>
          <w:color w:val="000000"/>
          <w:sz w:val="20"/>
          <w:lang w:val="en-US" w:eastAsia="en-US" w:bidi="ar-SA"/>
        </w:rPr>
        <w:t>Alberta Pacific Leasing Inc. v. Petro Equipment Sales Ltd.</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(1995), 175 A.R. 175</w:t>
        </w:r>
      </w:hyperlink>
      <w:r>
        <w:rPr>
          <w:rFonts w:ascii="arial" w:eastAsia="arial" w:hAnsi="arial" w:cs="arial"/>
          <w:color w:val="000000"/>
          <w:sz w:val="20"/>
          <w:lang w:val="en-US" w:eastAsia="en-US" w:bidi="ar-SA"/>
        </w:rPr>
        <w:t xml:space="preserve"> at para. 11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Counsel for Imbamar further accepted that case law from the sale of goods context, which addresses whether a transaction occurred "in the ordinary course" of a seller's business, was pertinent to that same issue under the </w:t>
      </w:r>
      <w:r>
        <w:rPr>
          <w:rFonts w:ascii="arial" w:eastAsia="arial" w:hAnsi="arial" w:cs="arial"/>
          <w:i/>
          <w:color w:val="000000"/>
          <w:sz w:val="20"/>
          <w:lang w:val="en-US" w:eastAsia="en-US" w:bidi="ar-SA"/>
        </w:rPr>
        <w:t>PPSA.</w:t>
      </w:r>
      <w:r>
        <w:rPr>
          <w:rFonts w:ascii="arial" w:eastAsia="arial" w:hAnsi="arial" w:cs="arial"/>
          <w:sz w:val="20"/>
          <w:lang w:val="en-US" w:eastAsia="en-US" w:bidi="ar-SA"/>
        </w:rPr>
        <w:cr/>
      </w:r>
    </w:p>
    <w:p>
      <w:pPr>
        <w:numPr>
          <w:numId w:val="8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Ordinary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 propose to first address s. 30(2)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and whether it can be said that the sale of the Steel Rail from Trac Chile to Imbamar was in the ordinary course of its business. In </w:t>
      </w:r>
      <w:r>
        <w:rPr>
          <w:rFonts w:ascii="arial" w:eastAsia="arial" w:hAnsi="arial" w:cs="arial"/>
          <w:i/>
          <w:color w:val="000000"/>
          <w:sz w:val="20"/>
          <w:lang w:val="en-US" w:eastAsia="en-US" w:bidi="ar-SA"/>
        </w:rPr>
        <w:t>Northwest Equipment Inc. v. Daewoo Heavy Industries America Corp</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2002 ABCA 79</w:t>
        </w:r>
      </w:hyperlink>
      <w:r>
        <w:rPr>
          <w:rFonts w:ascii="arial" w:eastAsia="arial" w:hAnsi="arial" w:cs="arial"/>
          <w:color w:val="000000"/>
          <w:sz w:val="20"/>
          <w:lang w:val="en-US" w:eastAsia="en-US" w:bidi="ar-SA"/>
        </w:rPr>
        <w:t>, Fruman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Under s. 30(2), a buyer of goods sold in the ordinary course of the seller's business takes the goods free from any perfected or unperfected security interest given by the seller. Its purpose "is to avoid disruption to commerce and injustice to unsuspecting ordinary course buyers which would otherwise result if such buyers were required in every case to conduct a search of the Personal Property Registry before buying goods": Cuming and Wood,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213. The focus is on commercial practicality: </w:t>
      </w:r>
      <w:r>
        <w:rPr>
          <w:rFonts w:ascii="arial" w:eastAsia="arial" w:hAnsi="arial" w:cs="arial"/>
          <w:i/>
          <w:color w:val="000000"/>
          <w:sz w:val="20"/>
          <w:lang w:val="en-US" w:eastAsia="en-US" w:bidi="ar-SA"/>
        </w:rPr>
        <w:t>Fairline Boats Ltd. v. Leger</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(1980), 1 P.P.S.A.C. 218</w:t>
        </w:r>
      </w:hyperlink>
      <w:r>
        <w:rPr>
          <w:rFonts w:ascii="arial" w:eastAsia="arial" w:hAnsi="arial" w:cs="arial"/>
          <w:color w:val="000000"/>
          <w:sz w:val="20"/>
          <w:lang w:val="en-US" w:eastAsia="en-US" w:bidi="ar-SA"/>
        </w:rPr>
        <w:t xml:space="preserve"> at 220-21 (Ont. H.C.J.). The ordinary course exception applies whether or not the buyer knew of the security interest, and even though the security agreement limited the seller's rights to dispose of the goods. The exception does not apply if the buyer was aware that the transaction was in breach of the security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Accordingly, if Trainer Bros. sold the excavator in the ordinary course of its business, Northwest would acquire it free from Daewoo's security interest. Sales in the ordinary course of business are usually "carried out under normal terms and consistent with general commercial practices": Cuming and Wood,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Imbamar focuses on the fact that Trac Chile was in the business of selling scrap steel and that the sale of the Steel Rail to Imbamar was in the "ordinary course" of its business. This submission applies too narrow a lens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was nothing about these transactions that were "carried out under normal terms" or that were "consistent with general commercial practice". Nor can it be said that Imbamar was an "unsuspecting ordinary course buyer". Imbamar was aware that it was dealing with individuals who were fraudsters or prepared to be fraudsters. As such, it knew it was dealing with persons who were dishonest and who it did not trust. Indeed, this is why Imbamar wanted to speak to Mr. Krause. It knew, however, that Mr. Krause had been complicit in these improper transactions. It also knew that the underlying documents that Trac Chile relied on to give it possession of the Steel Rails were fraudulent. It was aware that Mr. Mitarakis and Mr. Krause had intended that the fraudulent documents be kept a secret. It was further aware that the Tracomex companies and Mr. Mitarakis were in difficult financial circumstances, though Mr. Solar said that he believed that Mr. Mitarakis and his wife had other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John v. Horvat</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(1994), 89 B.C.L.R. (2d) 61</w:t>
        </w:r>
      </w:hyperlink>
      <w:r>
        <w:rPr>
          <w:rFonts w:ascii="arial" w:eastAsia="arial" w:hAnsi="arial" w:cs="arial"/>
          <w:color w:val="000000"/>
          <w:sz w:val="20"/>
          <w:lang w:val="en-US" w:eastAsia="en-US" w:bidi="ar-SA"/>
        </w:rPr>
        <w:t xml:space="preserve"> (C.A.), a case that focuses on s. 58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Cumming J.A., for the court, addressed the requirements of s. 58, the policy objectives that underlie the provision and the factors that determine whether or not a transaction is in the "ordinary course of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policy issue underlying the doctrine of apparent authority, i.e. whether the principal who chose the agent, or the innocent third party, ought to bear the loss, calls for an objective test to determine whether the disposal of the goods was done "in the ordinary course of business of a mercantile agent". Would a reasonable person have believed that the mercantile agent was disposing of goods in the ordinary course of business? This test protects buyers where the mercantile agent appeared to have authority to sell the goods but in so doing was acting outside his or her actual authority. Likewise, it protects the initial owner of the goods where the circumstances surrounding the sale should have put a reasonable buyer on notice that the sale was not a transaction in the ordinary course of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Section 58 was designed to deal with situations where a mercantile agent in possession with the consent of the owner acts improperly. The question, therefore, is "not whether the mercantile agent did something to take itself out of the category of mercantile agent disposing of goods in the ordinary course of business, but whether a reasonable person purchasing from the mercantile agent would have believed that the sale to him was a sale in the ordinary course of business. For example, in </w:t>
      </w:r>
      <w:r>
        <w:rPr>
          <w:rFonts w:ascii="arial" w:eastAsia="arial" w:hAnsi="arial" w:cs="arial"/>
          <w:i/>
          <w:color w:val="000000"/>
          <w:sz w:val="20"/>
          <w:lang w:val="en-US" w:eastAsia="en-US" w:bidi="ar-SA"/>
        </w:rPr>
        <w:t>Stadium Finance Ltd</w:t>
      </w:r>
      <w:r>
        <w:rPr>
          <w:rFonts w:ascii="arial" w:eastAsia="arial" w:hAnsi="arial" w:cs="arial"/>
          <w:color w:val="000000"/>
          <w:sz w:val="20"/>
          <w:lang w:val="en-US" w:eastAsia="en-US" w:bidi="ar-SA"/>
        </w:rPr>
        <w:t>., supra, the sale of a used car without the ignition key and the documentation necessary to resister the vehicle was held not to be a sale in the ordinary course of business of a mercantile agent, presumably because a reasonable buyer would have expected to receive them if it were a sale in the ordinary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mere fact that the mercantile agent has acted outside his or her actual authority does not take a sale out of the ordinary course of business; s.58 is designed to cure such a defect: see Atiyah, </w:t>
      </w:r>
      <w:r>
        <w:rPr>
          <w:rFonts w:ascii="arial" w:eastAsia="arial" w:hAnsi="arial" w:cs="arial"/>
          <w:i/>
          <w:color w:val="000000"/>
          <w:sz w:val="20"/>
          <w:lang w:val="en-US" w:eastAsia="en-US" w:bidi="ar-SA"/>
        </w:rPr>
        <w:t>The Sale of Goods</w:t>
      </w:r>
      <w:r>
        <w:rPr>
          <w:rFonts w:ascii="arial" w:eastAsia="arial" w:hAnsi="arial" w:cs="arial"/>
          <w:color w:val="000000"/>
          <w:sz w:val="20"/>
          <w:lang w:val="en-US" w:eastAsia="en-US" w:bidi="ar-SA"/>
        </w:rPr>
        <w:t>, 8th ed. (London: Pitman Publishers, 1990), at pp. 364-65. If the words "in the ordinary course of business of a mercantile agent" were defined in such a way that lack of authority to sell or fraud on the part of the mercantile agent would take the transaction out of s.58, the entire purpose of that provision -- to promote efficiency in commercial transactions and protect buyers who, without any indication that the mercantile agent does not have authority to sell, purchase goods from one who does not have such authority -- would be defeated. What takes a sale out of the ordinary course of business is conduct of the seller or other circumstances that would put a reasonable buyer on notice that this was not a sale in the ordinary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do not consider that, in the circumstances I have described, a reasonable buyer would consider that the sale of the Steel Rail from Trac Chile to Imbamar was a sale that took place in the "ordinary course of business". Nor do I consider that it can be said that there was "no indication" to Imbamar that Trac Chile might not have the ability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At trial, a considerable amount of evidence was led from numerous witnesses to address the question of whether the price that Imbamar paid for the Steel Rails was fair or market-based. This issue was somewhat complicated by different witnesses using different currencies, by some witnesses referring to "short" tons, when others referred to metric tonnes, by some prices being "delivered" prices, and others not, and by fluctuating markets. Counsel for Imbamar also argued that the real question is whether the price Imbamar paid for the Steel Rail was "within the range" of what was fair-market value for those rails. I accept this proposition. It obviates the need for me to address the detailed evidence of individual witnesses with great precision or to make many of the calculations or conversions that would otherwise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Nevertheless, there are considerable difficulties with the price that Imbamar paid Trac Chile for the Steel Rail -- a price that was but a fraction of what Trac Chile had agreed to pay C &amp; F approximately six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do not propose to address all the evidence I heard, but rather, to address certain categories of evidence that have caused me to conclude that Imbamar did not pay Trac Chile fair-market value for the Steel Rail.</w:t>
      </w:r>
      <w:r>
        <w:rPr>
          <w:rFonts w:ascii="arial" w:eastAsia="arial" w:hAnsi="arial" w:cs="arial"/>
          <w:sz w:val="20"/>
          <w:lang w:val="en-US" w:eastAsia="en-US" w:bidi="ar-SA"/>
        </w:rPr>
        <w:cr/>
      </w:r>
    </w:p>
    <w:p>
      <w:pPr>
        <w:numPr>
          <w:numId w:val="9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Imbamar agreed to pay Trac Chile the equivalent of $136 CA per MT for the Steel Rail in January 2010. Trac Canada had paid Canadian Pacific $275 CA per MT in August 2009. Between July 2009 and January 2010, the price for scrap steel in the North American market, albeit with some fluctuation, increased by perhaps 20 - 25%.</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 &amp; F purchased the Steel Rail from Trac Canada for $318 CA per MT. It sold the Steel Rail to Trac Chile for $352 CA per MT. Each of Mr. Doelle and Ms. Jansen indicated that those prices were referable to market prices. Ms. Jansen said she had referred to market sources, albeit European sources, to confirm that the original contract price paid to Trac Canada was reasonable. The Trac Chile Contract price was then determined with reference to C &amp; F's costs and a reasonable profit for itself. Euler Hermes provided credit insurance for the Steel Rail for an amount that was slightly less than these values, though what inquiries about market values, if any, Euler Hermes may have made before insuring the Steel Rail is unknown.</w:t>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correspondence from Mr. Ocampo to Mr. Solar, which introduced the opportunity for Imbamar to acquire the Steel Rail, and which I will return to later in these reasons, purported to offer the Steel Rail for about half of its market value.</w:t>
      </w:r>
    </w:p>
    <w:p>
      <w:pPr>
        <w:numPr>
          <w:numId w:val="9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Much of Imbamar's evidence focused on the price for scrap steel in Chile -- its thesis being that those prices were low, and that with the very significant transportation costs that would be incurred in transporting the Steel Rail from Vancouver to Chile, the price that Imbamar could pay was also low. There is no question that Imbamar turned its mind to the price of Chilean scrap steel. There is also no doubt, however, based on the evidence of Mr. Solar that Imbamar did not expect to sell the Steel Rail to a purchaser in Chile -- for the very reason that the freight costs attendant to such a sale would be very significant. Accordingly, I consider invoices for what scrap steel was selling for in Chile to be unpersuasive.</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Messrs. Solar and Bezmalinovic, who said that they had spoken about the price to be paid for the Steel Rail before the Imbamar Contract was signed, was inconsistent on how the price that Imbamar ultimately decided to pay was determined. Mr. Bezmalinovic said that the market price in Chile for scrap steel in December 2009, was $250 US per MT. The cost to transport steel to Chile would be approximately $110 US per MT. That cost would include cutting the steel, transporting it to port, and then shipping the steel to Chile. Mr. Solar said he had used a value of $180 US per MT, including shipping costs of $60 US and that, accordingly, he was prepared to pay $120 US per MT. The concern that the two principals of Imbamar purported to have used different calculations, though they said they had discussed the matter, is exacerbated by the fact that I do not consider that Mr. Solar was forthright with respect to this part of his evidence. He sought to revisit the $60 figure he had provided on his discovery by saying that that figure only referred to shipping costs and not to the cost of cutting or transporting the rail to port. Having regard to that discovery evidence and its context, I do not consider that that evidence is credible.</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further, Mr. Mesquita, who gave evidence at trial, and who is a person whose profession it is to buy and sell rail, primarily in the North and South-American markets, said he had been contacted by Mr. Bezmalinovic in connection with the Steel Rail and was asked to make various inquiries. He said that he had told Mr. Bezmalinovic that the American Metal Market ("AMM") prices, a standard industry source, for the Steel Rail would be approximately $300 US per MT on a delivered basis. He also appeared to indicate that he believed the value of the Steel Rail in Vancouver to be that same $300 US per MT figure. He further told Mr. Bezmalinovic that he expected the price to cut, truck and ship the Steel Rail to Peru or Chile would be about $200 US per MT. Obviously, such costs, and in particular such shipping costs, again made the prospect of shipping the Steel Rail to Chile unrealistic. Furthermore, the inconsistencies between the evidence of Mr. Mesquita, and the evidence of Mr. Bezmalinovic and Mr. Solar on a question as basic as how the price for the Steel Rail was established, again, detracted from the confidence I had in the evidence of Messrs. Bezmalinovic and Solar.</w:t>
      </w:r>
    </w:p>
    <w:p>
      <w:pPr>
        <w:numPr>
          <w:numId w:val="9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 &amp; F led evidence from Mr. Dungee, the former comptroller of Amix Salvage &amp; Sales Ltd. ("Amix"). Amix was the largest scrap-metal dealer in British Columbia in 2009 - 2010. It has since been acquired by another company. It traded approximately 300,000 tons of scrap annually and approximately 75,000 tons of that volume was rail-like material. Mr. Dungee said that Amix was paying between $180 - $280 CA per short ton for such scrap metal at the time. On a MT basis, this would be about $200 - $310 CA. Later, in his cross-examination, he said that the low end might reach $150 - $160 CA per short ton or $165 - $180 CA per metric tonne. Mr. Dungee confirmed that these were delivered prices, and he confirmed that material, such as the Steel Rail, simply did not trade in the $120 CA per MT range.</w:t>
      </w:r>
    </w:p>
    <w:p>
      <w:pPr>
        <w:numPr>
          <w:numId w:val="9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 &amp; F also filed an expert report from Mr. Parker, who spent much of his life processing and acquiring scrap rail and other products. Mr. Parker's report contained various prices for various scenarios. Mr. Parker confirms, based on his inquiries, that the average price paid for scrap rail in July 2009 - July 2010 in Abbotsford was $288 US per MT.</w:t>
      </w:r>
    </w:p>
    <w:p>
      <w:pPr>
        <w:numPr>
          <w:numId w:val="9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Solar obtained insurance for the Steel Rail located at the Super H yard. He had endeavoured to obtain insurance for $1.7 million CA, could not do so, and obtained insurance for $900,000 CA. Mr. Solar sought to explain that this $900,000 figure accounted for a possible increase in the value of the rails and for his bringing more rails into the Super H facility in the future. This latter evidence, again, did not accord with Mr. Solar's earlier discovery evidence, and I do not accept his explanation for the differences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At bottom, though there is variation in the figures and values before me, and though no single body of evidence on its own is conclusive, the reality is that none of these indicia of the value of the Steel Rail aligns with what Imbamar paid for those rails. Nor do I consider that what Imbamar paid for the Steel Rail is "generally in line" with the market value for those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One last set of considerations pertains to the issue of whether Trac Chile's transaction with Imbamar was in its "ordinary course of business". The witnesses called by Imbamar, almost without exception, agreed that the transaction was out of the ordinary course of business. Mr. Pitters, an accountant in Chile, accepted that the use of fraudulent documents was not part of any ordinary commercial transaction. Mr. Bezmalinovic accepted that he had never before been involved in a transaction with fraudulent documents. Mr. Solar also accepted that the use of fraudulent documents was not part of any ordinary commercial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question of whether Trac Chile's sale of the Steel Rail took place in the ordinary course of its business is a question of fact. Based on the circumstances and considerations I have described, I do not consider that it was.</w:t>
      </w:r>
      <w:r>
        <w:rPr>
          <w:rFonts w:ascii="arial" w:eastAsia="arial" w:hAnsi="arial" w:cs="arial"/>
          <w:sz w:val="20"/>
          <w:lang w:val="en-US" w:eastAsia="en-US" w:bidi="ar-SA"/>
        </w:rPr>
        <w:cr/>
      </w:r>
    </w:p>
    <w:p>
      <w:pPr>
        <w:numPr>
          <w:numId w:val="9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"Good Faith"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 turn briefly to the "good faith" standard referred to by C &amp; F, and in the provisions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that I have identified. If a seller of goods, here Trac Chile, has voidable title to them, "he will pass good title to a purchaser from him who buys in good faith and without notice of the seller's defective title";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confirms that an act is done in good faith if done "honestly" whether or not it is done negligently. The test of good faith is objective and from the perspective of a reasonable purchaser; Fridman,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at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There are a number of cases that provide useful guidance, both in terms of the broad standard that is relevant, and in terms of the types of markers or indicia of impropriety that ought to have been a source of concern for Imbamar. In </w:t>
      </w:r>
      <w:r>
        <w:rPr>
          <w:rFonts w:ascii="arial" w:eastAsia="arial" w:hAnsi="arial" w:cs="arial"/>
          <w:i/>
          <w:color w:val="000000"/>
          <w:sz w:val="20"/>
          <w:lang w:val="en-US" w:eastAsia="en-US" w:bidi="ar-SA"/>
        </w:rPr>
        <w:t>Whitehorn Brothers v. Davison</w:t>
      </w:r>
      <w:r>
        <w:rPr>
          <w:rFonts w:ascii="arial" w:eastAsia="arial" w:hAnsi="arial" w:cs="arial"/>
          <w:color w:val="000000"/>
          <w:sz w:val="20"/>
          <w:lang w:val="en-US" w:eastAsia="en-US" w:bidi="ar-SA"/>
        </w:rPr>
        <w:t>, [1911] 1 KB 463 at 478 (C.A.), Vaughan Williams L.J.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prove absence of good faith, you must either prove notice, or the fact that there was dishonesty, or shew that there is evidence that the defendant himself suspected the security which was being offered to him. I really think that, if the jury had been asked whether there was any evidence that the defendant suspected the goodness of the security that he was accepting, they would not have arrived at the answer which they gave. I will not lengthen my judgment by referring in detail to the passage in the judgment of Lord Blackburn in </w:t>
      </w:r>
      <w:r>
        <w:rPr>
          <w:rFonts w:ascii="arial" w:eastAsia="arial" w:hAnsi="arial" w:cs="arial"/>
          <w:i/>
          <w:color w:val="000000"/>
          <w:sz w:val="20"/>
          <w:lang w:val="en-US" w:eastAsia="en-US" w:bidi="ar-SA"/>
        </w:rPr>
        <w:t>Jones v. Gordon</w:t>
      </w:r>
      <w:r>
        <w:rPr>
          <w:rFonts w:ascii="arial" w:eastAsia="arial" w:hAnsi="arial" w:cs="arial"/>
          <w:color w:val="000000"/>
          <w:sz w:val="20"/>
          <w:lang w:val="en-US" w:eastAsia="en-US" w:bidi="ar-SA"/>
        </w:rPr>
        <w:t xml:space="preserve"> (1), in which he points out the sort of evidence you must have before you can come to the conclusion in such a case that there is notice or an absence of good faith, but, putting it shortly, it comes to this, that you will be justified in finding that there was notice, or an absence of good faith, if you find anything to shew that the person taking the security made no inquiries about it, or where it came from, because he feared the answer which he might get, and feared that he might get an answer which shewed that something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Heap v. Motori</w:t>
      </w:r>
      <w:r>
        <w:rPr>
          <w:rFonts w:ascii="arial" w:eastAsia="arial" w:hAnsi="arial" w:cs="arial"/>
          <w:color w:val="000000"/>
          <w:sz w:val="20"/>
          <w:lang w:val="en-US" w:eastAsia="en-US" w:bidi="ar-SA"/>
        </w:rPr>
        <w:t>s</w:t>
      </w:r>
      <w:r>
        <w:rPr>
          <w:rFonts w:ascii="arial" w:eastAsia="arial" w:hAnsi="arial" w:cs="arial"/>
          <w:i/>
          <w:color w:val="000000"/>
          <w:sz w:val="20"/>
          <w:lang w:val="en-US" w:eastAsia="en-US" w:bidi="ar-SA"/>
        </w:rPr>
        <w:t>ts Advisory Agency, Limited</w:t>
      </w:r>
      <w:r>
        <w:rPr>
          <w:rFonts w:ascii="arial" w:eastAsia="arial" w:hAnsi="arial" w:cs="arial"/>
          <w:color w:val="000000"/>
          <w:sz w:val="20"/>
          <w:lang w:val="en-US" w:eastAsia="en-US" w:bidi="ar-SA"/>
        </w:rPr>
        <w:t xml:space="preserve">, [1922] 1 KB 577 at 590-591, a case involving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1893 and the fraudulent transfer of a motor vehicle, Lush J. identified the following indicia of an absence of good faith:</w:t>
      </w:r>
      <w:r>
        <w:rPr>
          <w:rFonts w:ascii="arial" w:eastAsia="arial" w:hAnsi="arial" w:cs="arial"/>
          <w:sz w:val="20"/>
          <w:lang w:val="en-US" w:eastAsia="en-US" w:bidi="ar-SA"/>
        </w:rPr>
        <w:cr/>
      </w:r>
    </w:p>
    <w:p>
      <w:pPr>
        <w:numPr>
          <w:numId w:val="10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the car at "considerably under value";</w:t>
      </w:r>
    </w:p>
    <w:p>
      <w:pPr>
        <w:numPr>
          <w:numId w:val="10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known use by the fraudster/purported car owner of an intermediary to effect the sale;</w:t>
      </w:r>
    </w:p>
    <w:p>
      <w:pPr>
        <w:numPr>
          <w:numId w:val="10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suspicions about the manner in which the sale was taking place;</w:t>
      </w:r>
    </w:p>
    <w:p>
      <w:pPr>
        <w:numPr>
          <w:numId w:val="10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a registration book;</w:t>
      </w:r>
    </w:p>
    <w:p>
      <w:pPr>
        <w:numPr>
          <w:numId w:val="10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fraudster pressing the purchaser for payment of money at once; and</w:t>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fraudster's request for an open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Lush J. went on to state in </w:t>
      </w:r>
      <w:r>
        <w:rPr>
          <w:rFonts w:ascii="arial" w:eastAsia="arial" w:hAnsi="arial" w:cs="arial"/>
          <w:i/>
          <w:color w:val="000000"/>
          <w:sz w:val="20"/>
          <w:lang w:val="en-US" w:eastAsia="en-US" w:bidi="ar-SA"/>
        </w:rPr>
        <w:t>Heap</w:t>
      </w:r>
      <w:r>
        <w:rPr>
          <w:rFonts w:ascii="arial" w:eastAsia="arial" w:hAnsi="arial" w:cs="arial"/>
          <w:color w:val="000000"/>
          <w:sz w:val="20"/>
          <w:lang w:val="en-US" w:eastAsia="en-US" w:bidi="ar-SA"/>
        </w:rPr>
        <w:t xml:space="preserve"> at 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these circumstances were, in my opinion, enough to put the defendants on their guard and to fix them with notice. I do not say that they wickedly shut their eyes to an obvious fraud, but I do say that they did not do what any reasonable man would have done in this case -- namely, decline to buy this car without knowing more about it. They thought it was a good bargain and made up their minds too easily to buy the car. I think they must be taken to have had notice of some want of authority in those who purported to sell it to them. Their manager told me in evidence that he felt rather uncomfortable and suspicious about the sale. In my view the defendants ought not in the circumstances to have bought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existence of extraordinary documentation was a factor in concluding that there was a lack of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on the part of the purchaser in </w:t>
      </w:r>
      <w:r>
        <w:rPr>
          <w:rFonts w:ascii="arial" w:eastAsia="arial" w:hAnsi="arial" w:cs="arial"/>
          <w:i/>
          <w:color w:val="000000"/>
          <w:sz w:val="20"/>
          <w:lang w:val="en-US" w:eastAsia="en-US" w:bidi="ar-SA"/>
        </w:rPr>
        <w:t>International Alpaca Management Pty. Ltd. v. Ensor</w:t>
      </w:r>
      <w:r>
        <w:rPr>
          <w:rFonts w:ascii="arial" w:eastAsia="arial" w:hAnsi="arial" w:cs="arial"/>
          <w:color w:val="000000"/>
          <w:sz w:val="20"/>
          <w:lang w:val="en-US" w:eastAsia="en-US" w:bidi="ar-SA"/>
        </w:rPr>
        <w:t xml:space="preserve"> (1995), 133 A.L.R. 561, at para. 100 (F.C.A.). In that case, the majority of Australian Federal Court was considerably influenced by the fact that the contract in issue was to be kept "secret"; at paras. 89,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following "red flags" or indicia of concern have been identified in various cases:</w:t>
      </w:r>
      <w:r>
        <w:rPr>
          <w:rFonts w:ascii="arial" w:eastAsia="arial" w:hAnsi="arial" w:cs="arial"/>
          <w:sz w:val="20"/>
          <w:lang w:val="en-US" w:eastAsia="en-US" w:bidi="ar-SA"/>
        </w:rPr>
        <w:cr/>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purchaser aware of any fact that would cast doubt on the right of the seller to sell in good faith (</w:t>
      </w:r>
      <w:r>
        <w:rPr>
          <w:rFonts w:ascii="arial" w:eastAsia="arial" w:hAnsi="arial" w:cs="arial"/>
          <w:i/>
          <w:color w:val="000000"/>
          <w:sz w:val="20"/>
          <w:lang w:val="en-US" w:eastAsia="en-US" w:bidi="ar-SA"/>
        </w:rPr>
        <w:t>St. John</w:t>
      </w:r>
      <w:r>
        <w:rPr>
          <w:rFonts w:ascii="arial" w:eastAsia="arial" w:hAnsi="arial" w:cs="arial"/>
          <w:color w:val="000000"/>
          <w:sz w:val="20"/>
          <w:lang w:val="en-US" w:eastAsia="en-US" w:bidi="ar-SA"/>
        </w:rPr>
        <w:t xml:space="preserve"> at paras. 31, 44);</w:t>
      </w:r>
    </w:p>
    <w:p>
      <w:pPr>
        <w:numPr>
          <w:numId w:val="10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purchaser aware of any fact that would prompt further inquiry into the rights of the seller or provenance of the goods (</w:t>
      </w:r>
      <w:r>
        <w:rPr>
          <w:rFonts w:ascii="arial" w:eastAsia="arial" w:hAnsi="arial" w:cs="arial"/>
          <w:i/>
          <w:color w:val="000000"/>
          <w:sz w:val="20"/>
          <w:lang w:val="en-US" w:eastAsia="en-US" w:bidi="ar-SA"/>
        </w:rPr>
        <w:t>Manning v. Algard Estate</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2008 BCSC 1129</w:t>
        </w:r>
      </w:hyperlink>
      <w:r>
        <w:rPr>
          <w:rFonts w:ascii="arial" w:eastAsia="arial" w:hAnsi="arial" w:cs="arial"/>
          <w:color w:val="000000"/>
          <w:sz w:val="20"/>
          <w:lang w:val="en-US" w:eastAsia="en-US" w:bidi="ar-SA"/>
        </w:rPr>
        <w:t xml:space="preserve"> at para. 56);</w:t>
      </w:r>
    </w:p>
    <w:p>
      <w:pPr>
        <w:numPr>
          <w:numId w:val="10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anything to show the purchaser made no inquiries for fear of the answer he might get (</w:t>
      </w:r>
      <w:r>
        <w:rPr>
          <w:rFonts w:ascii="arial" w:eastAsia="arial" w:hAnsi="arial" w:cs="arial"/>
          <w:i/>
          <w:color w:val="000000"/>
          <w:sz w:val="20"/>
          <w:lang w:val="en-US" w:eastAsia="en-US" w:bidi="ar-SA"/>
        </w:rPr>
        <w:t>Whitehorn</w:t>
      </w:r>
      <w:r>
        <w:rPr>
          <w:rFonts w:ascii="arial" w:eastAsia="arial" w:hAnsi="arial" w:cs="arial"/>
          <w:color w:val="000000"/>
          <w:sz w:val="20"/>
          <w:lang w:val="en-US" w:eastAsia="en-US" w:bidi="ar-SA"/>
        </w:rPr>
        <w:t xml:space="preserve"> at 478; </w:t>
      </w:r>
      <w:r>
        <w:rPr>
          <w:rFonts w:ascii="arial" w:eastAsia="arial" w:hAnsi="arial" w:cs="arial"/>
          <w:i/>
          <w:color w:val="000000"/>
          <w:sz w:val="20"/>
          <w:lang w:val="en-US" w:eastAsia="en-US" w:bidi="ar-SA"/>
        </w:rPr>
        <w:t>Manning</w:t>
      </w:r>
      <w:r>
        <w:rPr>
          <w:rFonts w:ascii="arial" w:eastAsia="arial" w:hAnsi="arial" w:cs="arial"/>
          <w:color w:val="000000"/>
          <w:sz w:val="20"/>
          <w:lang w:val="en-US" w:eastAsia="en-US" w:bidi="ar-SA"/>
        </w:rPr>
        <w:t xml:space="preserve"> at para. 55);</w:t>
      </w:r>
    </w:p>
    <w:p>
      <w:pPr>
        <w:numPr>
          <w:numId w:val="10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goods purchased at "considerably under value" (</w:t>
      </w:r>
      <w:r>
        <w:rPr>
          <w:rFonts w:ascii="arial" w:eastAsia="arial" w:hAnsi="arial" w:cs="arial"/>
          <w:i/>
          <w:color w:val="000000"/>
          <w:sz w:val="20"/>
          <w:lang w:val="en-US" w:eastAsia="en-US" w:bidi="ar-SA"/>
        </w:rPr>
        <w:t>Heap</w:t>
      </w:r>
      <w:r>
        <w:rPr>
          <w:rFonts w:ascii="arial" w:eastAsia="arial" w:hAnsi="arial" w:cs="arial"/>
          <w:color w:val="000000"/>
          <w:sz w:val="20"/>
          <w:lang w:val="en-US" w:eastAsia="en-US" w:bidi="ar-SA"/>
        </w:rPr>
        <w:t xml:space="preserve"> at 590</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numPr>
          <w:numId w:val="1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purchaser had suspicions about the manner in which the sale was being conducted (</w:t>
      </w:r>
      <w:r>
        <w:rPr>
          <w:rFonts w:ascii="arial" w:eastAsia="arial" w:hAnsi="arial" w:cs="arial"/>
          <w:i/>
          <w:color w:val="000000"/>
          <w:sz w:val="20"/>
          <w:lang w:val="en-US" w:eastAsia="en-US" w:bidi="ar-SA"/>
        </w:rPr>
        <w:t>Heap</w:t>
      </w:r>
      <w:r>
        <w:rPr>
          <w:rFonts w:ascii="arial" w:eastAsia="arial" w:hAnsi="arial" w:cs="arial"/>
          <w:color w:val="000000"/>
          <w:sz w:val="20"/>
          <w:lang w:val="en-US" w:eastAsia="en-US" w:bidi="ar-SA"/>
        </w:rPr>
        <w:t xml:space="preserve"> at 591);</w:t>
      </w:r>
    </w:p>
    <w:p>
      <w:pPr>
        <w:numPr>
          <w:numId w:val="1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transaction lacked documentation normally available (</w:t>
      </w:r>
      <w:r>
        <w:rPr>
          <w:rFonts w:ascii="arial" w:eastAsia="arial" w:hAnsi="arial" w:cs="arial"/>
          <w:i/>
          <w:color w:val="000000"/>
          <w:sz w:val="20"/>
          <w:lang w:val="en-US" w:eastAsia="en-US" w:bidi="ar-SA"/>
        </w:rPr>
        <w:t>Heap</w:t>
      </w:r>
      <w:r>
        <w:rPr>
          <w:rFonts w:ascii="arial" w:eastAsia="arial" w:hAnsi="arial" w:cs="arial"/>
          <w:color w:val="000000"/>
          <w:sz w:val="20"/>
          <w:lang w:val="en-US" w:eastAsia="en-US" w:bidi="ar-SA"/>
        </w:rPr>
        <w:t xml:space="preserve"> at 591);</w:t>
      </w:r>
    </w:p>
    <w:p>
      <w:pPr>
        <w:numPr>
          <w:numId w:val="1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vendor required a particular method of payment (</w:t>
      </w:r>
      <w:r>
        <w:rPr>
          <w:rFonts w:ascii="arial" w:eastAsia="arial" w:hAnsi="arial" w:cs="arial"/>
          <w:i/>
          <w:color w:val="000000"/>
          <w:sz w:val="20"/>
          <w:lang w:val="en-US" w:eastAsia="en-US" w:bidi="ar-SA"/>
        </w:rPr>
        <w:t>Heap</w:t>
      </w:r>
      <w:r>
        <w:rPr>
          <w:rFonts w:ascii="arial" w:eastAsia="arial" w:hAnsi="arial" w:cs="arial"/>
          <w:color w:val="000000"/>
          <w:sz w:val="20"/>
          <w:lang w:val="en-US" w:eastAsia="en-US" w:bidi="ar-SA"/>
        </w:rPr>
        <w:t xml:space="preserve"> at 591);</w:t>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purchaser aware of potential duplicity by the vendor (</w:t>
      </w:r>
      <w:r>
        <w:rPr>
          <w:rFonts w:ascii="arial" w:eastAsia="arial" w:hAnsi="arial" w:cs="arial"/>
          <w:i/>
          <w:color w:val="000000"/>
          <w:sz w:val="20"/>
          <w:lang w:val="en-US" w:eastAsia="en-US" w:bidi="ar-SA"/>
        </w:rPr>
        <w:t>International Alpaca</w:t>
      </w:r>
      <w:r>
        <w:rPr>
          <w:rFonts w:ascii="arial" w:eastAsia="arial" w:hAnsi="arial" w:cs="arial"/>
          <w:color w:val="000000"/>
          <w:sz w:val="20"/>
          <w:lang w:val="en-US" w:eastAsia="en-US" w:bidi="ar-SA"/>
        </w:rPr>
        <w:t xml:space="preserve"> at paras. 91, 100);</w:t>
      </w:r>
    </w:p>
    <w:p>
      <w:pPr>
        <w:numPr>
          <w:numId w:val="1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extraordinary documentation existed (</w:t>
      </w:r>
      <w:r>
        <w:rPr>
          <w:rFonts w:ascii="arial" w:eastAsia="arial" w:hAnsi="arial" w:cs="arial"/>
          <w:i/>
          <w:color w:val="000000"/>
          <w:sz w:val="20"/>
          <w:lang w:val="en-US" w:eastAsia="en-US" w:bidi="ar-SA"/>
        </w:rPr>
        <w:t>International Alpaca</w:t>
      </w:r>
      <w:r>
        <w:rPr>
          <w:rFonts w:ascii="arial" w:eastAsia="arial" w:hAnsi="arial" w:cs="arial"/>
          <w:color w:val="000000"/>
          <w:sz w:val="20"/>
          <w:lang w:val="en-US" w:eastAsia="en-US" w:bidi="ar-SA"/>
        </w:rPr>
        <w:t xml:space="preserve"> at para. 100); and</w:t>
      </w:r>
    </w:p>
    <w:p>
      <w:pPr>
        <w:numPr>
          <w:numId w:val="1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transaction took place in the ordinary course of business (</w:t>
      </w:r>
      <w:r>
        <w:rPr>
          <w:rFonts w:ascii="arial" w:eastAsia="arial" w:hAnsi="arial" w:cs="arial"/>
          <w:i/>
          <w:color w:val="000000"/>
          <w:sz w:val="20"/>
          <w:lang w:val="en-US" w:eastAsia="en-US" w:bidi="ar-SA"/>
        </w:rPr>
        <w:t>St. John</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Heap</w:t>
      </w:r>
      <w:r>
        <w:rPr>
          <w:rFonts w:ascii="arial" w:eastAsia="arial" w:hAnsi="arial" w:cs="arial"/>
          <w:color w:val="000000"/>
          <w:sz w:val="20"/>
          <w:lang w:val="en-US" w:eastAsia="en-US" w:bidi="ar-SA"/>
        </w:rPr>
        <w:t xml:space="preserve"> at 590).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Similar factors pertain to the question of Imbamar's good faith, many of which I have identified earlier. It knew it was dealing with dishonest individuals. It did not trust those individuals. It knew the documents Trac Chile relied on were fraudulent. It understood those documents were to be kept secret and were not to be disclosed to third parties. It knew Mr. Krause was unprepared to confirm his statements in writing. It knew the price that Trac Chile was prepared to accept for the Steel Rail, in the marketplace where those rails were located, was well under market value. It knew Trac Chile and Mr. Mitarakis were pressed for funds and delinquent in the payments they owed to others. I also observe that several of the payments made to Trac Chile under the Imbamar Contract were cash payments. Still further, under the repurchase option in the Imbamar Contract, which I will return to later in these Reasons, Trac Chile was to repurchase the Steel Rail from Imbamar for a cash payment of more than $500,000 US. In such circumstances, it cannot be said that Imbamar's conduct was undertaken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should address two further-related issues that Imbamar pressed with some vigor. First, it argues that it relied on the Araya Report. It says it obtained and relied on legal advice from Mr. Araya that it could acquire good title to the Steel Rail, and it asks what more a purchaser could do to establish its good faith than to secure such an opinion. In many circumstances such evidence would be persuasive. In this case, that evidence suffers from several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One aspect of these deficiencies arises from the various inconsistencies in the Araya Report and, in fact, in Mr. Araya's evidence. These inconsistencies arose, I believe, because Mr. Araya and Imbamar sought to walk a tightrope through the various difficulties with the theory of Imbamar's case. That theory is incoherent.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have earlier identified, at para. 29, that Mr. Araya initially accepted that he understood, and had communicated to Mr. Solar, that the transaction between C &amp; F and the Tracomex companies was in the nature of a loan. Following the break in the evidence and the production of the Araya Report, Mr. Araya's evidence appeared to shift. Mr. Araya now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I'll ask you again. You were of the understanding that Coutinho &amp; Ferrostaal never acquired the steel but just loaned money to Tracomex (Canada) so it could purchase the steel from CP?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say again that is something that I was told.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that was your belief. You believed them. You said you earlier, you had no reason to not believe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think they were lying,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believed them when they said they had never acquired the steel, they just loaned the money;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think that they were lying, but then I wasn't sure that they were telling me the truth.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It was your belief that Coutinho &amp; Ferrostaal never acquired the steel, it just loaned money so Tracomex (Canada) could purchase the steel?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believed that a buy and sell operation had taken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foregoing evidence is significant, not just because of the inconsistency in Mr. Araya's evidence, but also because of Mr. Araya's comment that he was not certain he was being told the truth. I have earlier referred to a portion of the Araya Report, at para. 5.3.1, where Mr. Araya concluded "the assertions of ... Mitarakis and ... Ocampo do not represent the truth of the events." It is clear from the context of the foregoing evidence that this uncertainty extended to what Mr. Krause was saying to Messrs. Solar and Araya. This evidence belies any unequivocal assertion of reliance on Mr. Krause. It also, again, properly frames Imbamar's dealings with Messrs. Krause, Ocampo and Mitarakis. Imbamar was dealing with a collection of individuals who, at a minimum, had been prepared to perpetrate a fraud and who it could not be "sure were ... telling ...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Still further, if Mr. Araya did believe a "buy-and-sell" operation had taken place, when he accepts that he and Mr. Solar were being told that the transaction was really a loan, then it is self-evident he did not believe Messrs. Ocampo, Mitarakis and Krause and what he was told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other reason that this evidence is important is because if the transaction between C &amp; F and the Tracomex companies was a loan, as Imbamar was being told, then there was no documentation to reflect this loan. The entire "real" transaction, for practical purposes, lacked any documentary foundation. Nor is it clear, in concept, how title to the Steel Rail would have moved from Trac Canada, who acquired that rail from Canadian Pacific, to Trac Chile. If the transaction was truly a loan, ownership of the Steel Rail would never have moved to C &amp; F, and C &amp; F would have been unable to pass title to Trac Chile.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Araya's evidence on this further issue was also inconsistent. He stated, at one point, that there was no transfer of ownership from Trac Canada to C &amp; F. At a later time, he said that C &amp; F had, in fact, acquired ownership of the Steel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Let me turn to the second matter that Imbamar relies on. It argues that in Chile a "pagare" can be used to pay off a principal obligation, and that that pagare thereafter becomes a freestanding obligation that can be independently enforced. Its legal consequence is described in the Araya Report as a form of novation. It says that Trac Chile paid off the invoice that C &amp; F delivered to it for the Steel Rail with a pagare, that Trac Chile acquired title, and that C &amp; F's recourse to Trac Chile for non-payment thereafter was limited to enforcement of the pagare.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 &amp; F, who undertakes transactions in South America worth hundreds of millions of dollars annually, and who uses pagares in virtually all such transactions, advanced a very different understanding of the legal nature of a pagare. It is simply a promissory note. It is an additional form of security that supplements a primary obligation. C &amp; F's receipt of a pagare from Trac Chile would not, therefore, have extinguished C &amp; F's title to the Steel Rail until that rail was actually paid for. The email communications between Mr. Krause and C &amp; F are consistent with the position of C &amp; F, that being that C &amp; F continued to retain title to the rail after receipt of the pagare. I observe that the translation I received for a pagare was, in fact, a "promissory note". I also note that Imbamar did not pay Trac Chile for the Steel Rail with a pagare but, rather, it paid by cash and other more conventional forms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Finally, I note that I received no expert evidence on the legal nature or effect of a pagare in Chile, or elsewhere, and that the Trac Chile Contract had a choice of law provision within it that made the law of Switzerland relevant to that contract. No party raised this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Imbamar argues, however, that the true legal nature of a pagare is not directly relevant. What is relevant is that Imbamar and its principals understood, from their own commercial experience, and were advised by Mr. Araya, that the pagare Trac Chile gave to C &amp; F paid off its obligation to C &amp; F. The evidence of a number of Imbamar's witnesses on the legal effect of a pagare, all such evidence being tendered as relevant to Imbamar's state of mind, was consistent with the description I have given. These witnesses also said that when an invoice is signed by a seller, this too confirms that the invoice has been paid. In this case, C &amp; F's invoice to Trac Chile was signed by C &amp;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Imbamar's assertion that it honestly believed the pagare and the signed invoice had the legal effect it contends ties back to the problems with Mr. Araya's evidence and with the Araya Report. If the transaction was, in fact, in the nature of a loan, the sales invoice that C &amp; F delivered to Trac Chile was part of the "fiction", part of the illusion that a sale of the Steel Rail from C &amp; F to Trac Chile had occurred. What value would a fraudulent document that had been signed have? How could an honest third-party purchaser take any comfort from such a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At one point in his evidence, Mr. Araya appeared to accept that the invoice C &amp; F had delivered to Trac Chile was a "false" document. He then suggested, instead, that it was a "fictitious" document. He explained the difference between these two things in the following terms: "to me false is something that has to be adulterated and is fraudulent. And fictitious is something that looks like, or appears like but is not real". Mr. Araya later explained that a "fictitious" document is one that "contains information that is not real". Still later, he accepted that a "fictitious" document is "one that does not represent the true state of affairs". For present purposes, the difference between "false" and "fictitious" is thus more apparent than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Later, Mr. Araya confirmed that he believed numerous documents were "fictitious", but he now said that this did not include the invoice that C &amp; F delivered to Trac Chile. It is not clear that this evidence accords with the Araya Report: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5.4.4.14 The representative "Coutinho &amp; Ferrostaal GmbH" pointed out that he was not displaying the promissory note, but that it was a negotiable instrument in the Chilean market, and issued 'to the order'; and that it does not indicate any relationship with Sales Invoice number 5900923516/ 90206877 to Metales Tracomex Ltda. </w:t>
      </w:r>
      <w:r>
        <w:rPr>
          <w:rFonts w:ascii="arial" w:eastAsia="arial" w:hAnsi="arial" w:cs="arial"/>
          <w:color w:val="000000"/>
          <w:sz w:val="20"/>
          <w:u w:val="single"/>
          <w:lang w:val="en-US" w:eastAsia="en-US" w:bidi="ar-SA"/>
        </w:rPr>
        <w:t>by reason that the operation they carried out was a loan</w:t>
      </w:r>
      <w:r>
        <w:rPr>
          <w:rFonts w:ascii="arial" w:eastAsia="arial" w:hAnsi="arial" w:cs="arial"/>
          <w:color w:val="000000"/>
          <w:sz w:val="20"/>
          <w:lang w:val="en-US" w:eastAsia="en-US" w:bidi="ar-SA"/>
        </w:rPr>
        <w:t xml:space="preserve"> that originated with the payment of the invoice to the seller, "Coutinho &amp; Ferrostaal GmbH", </w:t>
      </w:r>
      <w:r>
        <w:rPr>
          <w:rFonts w:ascii="arial" w:eastAsia="arial" w:hAnsi="arial" w:cs="arial"/>
          <w:color w:val="000000"/>
          <w:sz w:val="20"/>
          <w:u w:val="single"/>
          <w:lang w:val="en-US" w:eastAsia="en-US" w:bidi="ar-SA"/>
        </w:rPr>
        <w:t>since the merchandise was always the property of the Tracomex Group of companies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5.4.4.15 With regards to the conditions and other facts included in the Offer of Merchandise, the Confirmation of Offer, the purchase order, the Cargo Manifests or "Bill of Lading" </w:t>
      </w:r>
      <w:r>
        <w:rPr>
          <w:rFonts w:ascii="arial" w:eastAsia="arial" w:hAnsi="arial" w:cs="arial"/>
          <w:color w:val="000000"/>
          <w:sz w:val="20"/>
          <w:u w:val="single"/>
          <w:lang w:val="en-US" w:eastAsia="en-US" w:bidi="ar-SA"/>
        </w:rPr>
        <w:t>and the sales invoice, both parties acknowledge that they do not coincide with the events that took place</w:t>
      </w:r>
      <w:r>
        <w:rPr>
          <w:rFonts w:ascii="arial" w:eastAsia="arial" w:hAnsi="arial" w:cs="arial"/>
          <w:color w:val="000000"/>
          <w:sz w:val="20"/>
          <w:lang w:val="en-US" w:eastAsia="en-US" w:bidi="ar-SA"/>
        </w:rPr>
        <w:t xml:space="preserve"> and that were indicated and called for in the sales contract; taking into account that it would be impossible that some of the demands made in the buying and selling contract would have taken place. However, considering that this situation affects only the relationship between the parties, as it actually happened, and not as the documents show, by virtue that neither has claimed any non-compliance by the other, and that such is allowed in the buying and sales contract since the business purpose is uppermost in the way the operation was contracted.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references in para. 5.4.4.14 confirms that Imbamar was told by the C &amp; F representative, Mr. Krause, that the transaction was in the nature of a loan, and that C &amp; F never acquired title to the Steel Rail. This gives rise to the issues I have already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underlined portion of para. 5.4.4.15 appears to refer to a "fictitious" invoice as defined by Mr. Araya. If it refers to the invoice between Trac Canada and C &amp; F, this would confirm that Mr. Araya knew the first aspect of the back-to-back agreement was fabricated. If this were so, the second part of that agreement would be without any foundation. If the reference is to the invoice between C &amp; F and Trac Chile, it would give rise to a further inconsistency in Mr. Araya's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explanation in the latter part of para. 5.4.4.15 appears to relate to other evidence given by Mr. Araya, and to other portions of the Araya Report, to the effect that the Trac Chile Contract contained a severance clause, and that that clause could be used to sever the defective portions of "fictitious" documents. Leaving aside any choice of law issues, or the choice of law provision in the Trac Chile Contract, the question of the extent to which a severance clause can be used to save an illegal contract, or to sever the objectionable parts of such a contract, is complicated; Fridman,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 xml:space="preserve"> at 410-413.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For present purposes, if the due diligence of a prospective purchaser of goods requires that the "fictitious" or "fraudulent" parts of various contracts or other documents have to be severed in order to make sense of those documents, or to preserve some portions of them, the analysis of the honesty or good faith of that purchaser becomes unreasonably strained. The question before me is not whether some path can be created to uphold the validity of a transaction. The question is whether the prospective purchaser of goods, here Imbamar, acted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 return to where I started. The fact that Imbamar received the Araya Report, which supports Trac Chile's title to the Steel Rail, is some evidence of its honesty or good faith. It is not, however, determinative of the issue. In </w:t>
      </w:r>
      <w:r>
        <w:rPr>
          <w:rFonts w:ascii="arial" w:eastAsia="arial" w:hAnsi="arial" w:cs="arial"/>
          <w:i/>
          <w:color w:val="000000"/>
          <w:sz w:val="20"/>
          <w:lang w:val="en-US" w:eastAsia="en-US" w:bidi="ar-SA"/>
        </w:rPr>
        <w:t>International Alpaca</w:t>
      </w:r>
      <w:r>
        <w:rPr>
          <w:rFonts w:ascii="arial" w:eastAsia="arial" w:hAnsi="arial" w:cs="arial"/>
          <w:color w:val="000000"/>
          <w:sz w:val="20"/>
          <w:lang w:val="en-US" w:eastAsia="en-US" w:bidi="ar-SA"/>
        </w:rPr>
        <w:t xml:space="preserve">, the fact that a lawyer had been involved on behalf of the purchaser did not establish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that purchaser. The Araya Report, and its inherent difficulties, have to be weighed together with the other detailed evidence that I have earlier identified, including the central realities that i) Imbamar knew that much of the paperwork that underlay Trac Chile's possession/ownership of the Steel Rail was "fictitious", ii) Imbamar and Mr. Araya knew they were dealing with dishonest people whom they did not fully believe or trust, and iii) Imbamar paid less than market value for the Steel Rail. In light of these central realities, I do not consider that Imbamar acted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Since I have concluded that Imbamar did not act in good faith, and that the sale of the Steel Rail to Imbamar was not in the ordinary course of Trac Chile's business, the statutory third-party rights in ss. 28, 30 and 59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s. 30(2)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are not engaged and are not an impediment to C &amp; F seeking and obtaining the remedy of rescission.</w:t>
      </w:r>
      <w:r>
        <w:rPr>
          <w:rFonts w:ascii="arial" w:eastAsia="arial" w:hAnsi="arial" w:cs="arial"/>
          <w:sz w:val="20"/>
          <w:lang w:val="en-US" w:eastAsia="en-US" w:bidi="ar-SA"/>
        </w:rPr>
        <w:cr/>
      </w:r>
    </w:p>
    <w:p>
      <w:pPr>
        <w:numPr>
          <w:numId w:val="1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Does the Imbamar Contract Create a Security Interest that is Subject to the </w:t>
      </w:r>
      <w:r>
        <w:rPr>
          <w:rFonts w:ascii="arial" w:eastAsia="arial" w:hAnsi="arial" w:cs="arial"/>
          <w:b/>
          <w:i/>
          <w:color w:val="000000"/>
          <w:sz w:val="20"/>
          <w:u w:val="single"/>
          <w:lang w:val="en-US" w:eastAsia="en-US" w:bidi="ar-SA"/>
        </w:rPr>
        <w:t>PPSA</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for 029 accepts that if C &amp; F is entitled to rescission of the Trac Chile Contract and it retained title to the Steel Rail, the nature of Imbamar's interest under the Imbamar Contract becomes academic. Counsel asked, however, that in the interest of completeness, I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Imbamar and 029 filed an agreed statement of facts which detailed the various specific loans, promissory notes, guarantees, general security agreements, and other agreements that were made between 029 and the Tracomex companies. At trial, I granted 029 default judgment against Trac Chile and Trac Canada in the amount of $2,673,273.53, plus costs on a solicitor and client basis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Of note, for present purposes, is that Trac Canada and Trac Chile provided general security agreements ("GSAs") to 029 on March 5, 2009, and July 28, 2010, respectively. Those agreements were then registered in the Personal Property Registry on June 15, 2010, and July 29, 2010, respectively.</w:t>
      </w:r>
      <w:r>
        <w:rPr>
          <w:rFonts w:ascii="arial" w:eastAsia="arial" w:hAnsi="arial" w:cs="arial"/>
          <w:sz w:val="20"/>
          <w:lang w:val="en-US" w:eastAsia="en-US" w:bidi="ar-SA"/>
        </w:rPr>
        <w:cr/>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Analytical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029 argues that it is the substance, and not the form, of a transaction that determines whether that transaction creates a security interest. Earlier, at para. 60 of these Reasons, I referred to the language of ss. 1(1) and 2(1) of the </w:t>
      </w:r>
      <w:r>
        <w:rPr>
          <w:rFonts w:ascii="arial" w:eastAsia="arial" w:hAnsi="arial" w:cs="arial"/>
          <w:i/>
          <w:color w:val="000000"/>
          <w:sz w:val="20"/>
          <w:lang w:val="en-US" w:eastAsia="en-US" w:bidi="ar-SA"/>
        </w:rPr>
        <w:t>PPSA.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Imbamar's primary conceptual response to the issue raised by 029 is that the Imbamar Contract transferred title to the Steel Rail to Imbamar. It argues that such a transfer of title is inherently inconsistent with the nature of a security interest and, accordingly, the Imbamar Contract falls outside of the ambit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 do not consider that this blunt assertion is correct. It is inconsistent with that portion of s. 2(1)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which emphasizes that the determination of whether a transaction creates a security interest is determined "without regard to the person who has title to the collateral".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Imbamar's position is also inconsistent with the relevant case law. In </w:t>
      </w:r>
      <w:r>
        <w:rPr>
          <w:rFonts w:ascii="arial" w:eastAsia="arial" w:hAnsi="arial" w:cs="arial"/>
          <w:i/>
          <w:color w:val="000000"/>
          <w:sz w:val="20"/>
          <w:lang w:val="en-US" w:eastAsia="en-US" w:bidi="ar-SA"/>
        </w:rPr>
        <w:t>Griffin (Re)</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[1998] 1 S.C.R. 91</w:t>
        </w:r>
      </w:hyperlink>
      <w:r>
        <w:rPr>
          <w:rFonts w:ascii="arial" w:eastAsia="arial" w:hAnsi="arial" w:cs="arial"/>
          <w:color w:val="000000"/>
          <w:sz w:val="20"/>
          <w:lang w:val="en-US" w:eastAsia="en-US" w:bidi="ar-SA"/>
        </w:rPr>
        <w:t>, Iacobucci J.,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Court of Appeal did not recognize that the provincial legislature, in enacting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has set aside the traditional concepts of title and ownership to a certain extent. T.M. Buckwold and R.C.C. Cuming, in their article "The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Two Solitudes or Complementary Systems?" (1997), 12 </w:t>
      </w:r>
      <w:r>
        <w:rPr>
          <w:rFonts w:ascii="arial" w:eastAsia="arial" w:hAnsi="arial" w:cs="arial"/>
          <w:i/>
          <w:color w:val="000000"/>
          <w:sz w:val="20"/>
          <w:lang w:val="en-US" w:eastAsia="en-US" w:bidi="ar-SA"/>
        </w:rPr>
        <w:t>Banking &amp; Finance L. Rev.</w:t>
      </w:r>
      <w:r>
        <w:rPr>
          <w:rFonts w:ascii="arial" w:eastAsia="arial" w:hAnsi="arial" w:cs="arial"/>
          <w:color w:val="000000"/>
          <w:sz w:val="20"/>
          <w:lang w:val="en-US" w:eastAsia="en-US" w:bidi="ar-SA"/>
        </w:rPr>
        <w:t xml:space="preserve"> 457, at pp. 469-70, underline the fact that provincial legislatures, in enacting personal property security regimes, have redefined traditional concepts of rights in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put, the property rights of persons subject to provincial legislation are what the legislature determines them to be. While a statutory definition of rights may incorporate common law concepts in whole or in part, it is open to the legislature to redefine or revise those concepts as may be required to meet the objectives of its legislation. This was done in the provincial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s which implement a new conceptual approach to the definition and assertion of rights in and to personal property falling within their scope. The priority and realization provisions of the Acts revolve around the central statutory concept of "security interest". </w:t>
      </w:r>
      <w:r>
        <w:rPr>
          <w:rFonts w:ascii="arial" w:eastAsia="arial" w:hAnsi="arial" w:cs="arial"/>
          <w:i/>
          <w:color w:val="000000"/>
          <w:sz w:val="20"/>
          <w:lang w:val="en-US" w:eastAsia="en-US" w:bidi="ar-SA"/>
        </w:rPr>
        <w:t>The rights of parties to a transaction that creates a security interest are explicitly not dependent upon either the form of the transaction or upon traditional questions of title.</w:t>
      </w:r>
      <w:r>
        <w:rPr>
          <w:rFonts w:ascii="arial" w:eastAsia="arial" w:hAnsi="arial" w:cs="arial"/>
          <w:color w:val="000000"/>
          <w:sz w:val="20"/>
          <w:lang w:val="en-US" w:eastAsia="en-US" w:bidi="ar-SA"/>
        </w:rPr>
        <w:t xml:space="preserve"> Rather, they are defined by the Act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position of Imbamar is also conceptually inaccurate. Perhaps no clearer example can be found than in a mortgage which, historically, operated as a conveyance of land that was subject to the proviso that upon repayment of the debt, title to the land was returned to the grantor. Equity subsequently grafted further rights onto this relationship; Walter M. Traud, ed., loose-leaf, 5th ed., </w:t>
      </w:r>
      <w:r>
        <w:rPr>
          <w:rFonts w:ascii="arial" w:eastAsia="arial" w:hAnsi="arial" w:cs="arial"/>
          <w:i/>
          <w:color w:val="000000"/>
          <w:sz w:val="20"/>
          <w:lang w:val="en-US" w:eastAsia="en-US" w:bidi="ar-SA"/>
        </w:rPr>
        <w:t>Falconbridge on Mortgages</w:t>
      </w:r>
      <w:r>
        <w:rPr>
          <w:rFonts w:ascii="arial" w:eastAsia="arial" w:hAnsi="arial" w:cs="arial"/>
          <w:color w:val="000000"/>
          <w:sz w:val="20"/>
          <w:lang w:val="en-US" w:eastAsia="en-US" w:bidi="ar-SA"/>
        </w:rPr>
        <w:t xml:space="preserve"> (Toronto: Thomson Reuters Canada Limited, 2013) at 1-1 - 1-4. Section 231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only recently confirmed that a mortgage "operates to charge the estate or interest of the mortgagor ... whether or not the mortgage contains words of transfer or charge subject to a proviso for redemption."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Finally, the position of Imbamar is at odds with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's driving principle that substance, and not form, determines when a transaction creates a security interest. The facts of each case will determine the nature of the transaction, and the intentions of the parties will be relevant factors in objectively determining the substance of the transaction; </w:t>
      </w:r>
      <w:r>
        <w:rPr>
          <w:rFonts w:ascii="arial" w:eastAsia="arial" w:hAnsi="arial" w:cs="arial"/>
          <w:i/>
          <w:color w:val="000000"/>
          <w:sz w:val="20"/>
          <w:lang w:val="en-US" w:eastAsia="en-US" w:bidi="ar-SA"/>
        </w:rPr>
        <w:t>Manning Jamison</w:t>
      </w:r>
      <w:r>
        <w:rPr>
          <w:rFonts w:ascii="arial" w:eastAsia="arial" w:hAnsi="arial" w:cs="arial"/>
          <w:color w:val="000000"/>
          <w:sz w:val="20"/>
          <w:lang w:val="en-US" w:eastAsia="en-US" w:bidi="ar-SA"/>
        </w:rPr>
        <w:t xml:space="preserve"> at paras. 26 - 27.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court's task is, therefore, to determine the true nature of the transaction quite apart from its form; </w:t>
      </w:r>
      <w:r>
        <w:rPr>
          <w:rFonts w:ascii="arial" w:eastAsia="arial" w:hAnsi="arial" w:cs="arial"/>
          <w:i/>
          <w:color w:val="000000"/>
          <w:sz w:val="20"/>
          <w:lang w:val="en-US" w:eastAsia="en-US" w:bidi="ar-SA"/>
        </w:rPr>
        <w:t>Manning Jamison,</w:t>
      </w:r>
      <w:r>
        <w:rPr>
          <w:rFonts w:ascii="arial" w:eastAsia="arial" w:hAnsi="arial" w:cs="arial"/>
          <w:color w:val="000000"/>
          <w:sz w:val="20"/>
          <w:lang w:val="en-US" w:eastAsia="en-US" w:bidi="ar-SA"/>
        </w:rPr>
        <w:t xml:space="preserve"> at paras. 16, 26; </w:t>
      </w:r>
      <w:r>
        <w:rPr>
          <w:rFonts w:ascii="arial" w:eastAsia="arial" w:hAnsi="arial" w:cs="arial"/>
          <w:i/>
          <w:color w:val="000000"/>
          <w:sz w:val="20"/>
          <w:lang w:val="en-US" w:eastAsia="en-US" w:bidi="ar-SA"/>
        </w:rPr>
        <w:t>Anderson's Engineering,</w:t>
      </w:r>
      <w:r>
        <w:rPr>
          <w:rFonts w:ascii="arial" w:eastAsia="arial" w:hAnsi="arial" w:cs="arial"/>
          <w:color w:val="000000"/>
          <w:sz w:val="20"/>
          <w:lang w:val="en-US" w:eastAsia="en-US" w:bidi="ar-SA"/>
        </w:rPr>
        <w:t xml:space="preserve"> at para. 85. In </w:t>
      </w:r>
      <w:r>
        <w:rPr>
          <w:rFonts w:ascii="arial" w:eastAsia="arial" w:hAnsi="arial" w:cs="arial"/>
          <w:i/>
          <w:color w:val="000000"/>
          <w:sz w:val="20"/>
          <w:lang w:val="en-US" w:eastAsia="en-US" w:bidi="ar-SA"/>
        </w:rPr>
        <w:t>Kaak v. Bank of Montreal</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[2003] O.J. No. 1728</w:t>
        </w:r>
      </w:hyperlink>
      <w:r>
        <w:rPr>
          <w:rFonts w:ascii="arial" w:eastAsia="arial" w:hAnsi="arial" w:cs="arial"/>
          <w:color w:val="000000"/>
          <w:sz w:val="20"/>
          <w:lang w:val="en-US" w:eastAsia="en-US" w:bidi="ar-SA"/>
        </w:rPr>
        <w:t xml:space="preserve">, at para. 8 (S.C.J.), aff'd </w:t>
      </w:r>
      <w:hyperlink r:id="rId884" w:history="1">
        <w:r>
          <w:rPr>
            <w:rFonts w:ascii="arial" w:eastAsia="arial" w:hAnsi="arial" w:cs="arial"/>
            <w:i/>
            <w:color w:val="0077CC"/>
            <w:sz w:val="20"/>
            <w:u w:val="single"/>
            <w:shd w:val="clear" w:color="auto" w:fill="FFFFFF"/>
            <w:lang w:val="en-US" w:eastAsia="en-US" w:bidi="ar-SA"/>
          </w:rPr>
          <w:t>[2003] O.J. No. 3662</w:t>
        </w:r>
      </w:hyperlink>
      <w:r>
        <w:rPr>
          <w:rFonts w:ascii="arial" w:eastAsia="arial" w:hAnsi="arial" w:cs="arial"/>
          <w:color w:val="000000"/>
          <w:sz w:val="20"/>
          <w:lang w:val="en-US" w:eastAsia="en-US" w:bidi="ar-SA"/>
        </w:rPr>
        <w:t xml:space="preserve"> (C.A.), citing </w:t>
      </w:r>
      <w:r>
        <w:rPr>
          <w:rFonts w:ascii="arial" w:eastAsia="arial" w:hAnsi="arial" w:cs="arial"/>
          <w:i/>
          <w:color w:val="000000"/>
          <w:sz w:val="20"/>
          <w:lang w:val="en-US" w:eastAsia="en-US" w:bidi="ar-SA"/>
        </w:rPr>
        <w:t>Re Speedrack Limited</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(1980), 33 C.B.R. (N.S.) 209</w:t>
        </w:r>
      </w:hyperlink>
      <w:r>
        <w:rPr>
          <w:rFonts w:ascii="arial" w:eastAsia="arial" w:hAnsi="arial" w:cs="arial"/>
          <w:color w:val="000000"/>
          <w:sz w:val="20"/>
          <w:lang w:val="en-US" w:eastAsia="en-US" w:bidi="ar-SA"/>
        </w:rPr>
        <w:t>, at 213-214 (Ont. S.C.),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transaction may be apparent on the face of the instruments, but if it is not, the court must determine its nature for purposes of s. 2 of the Personal Property Security Act from the surrounding circumstances. It is not merely a question of construing the agreement between the parties, which may be quite clear. It is a question of determining the intention of the parties, notwithstanding the form used in setting up the transaction. For this, extrinsic evidence may be relevant and admissible, and it is so in this case. The court's task is to determine the essence of the transaction in spite of its form, as prescribed in s. 2. It must determine, on the balance of probabilities, and </w:t>
      </w:r>
      <w:r>
        <w:rPr>
          <w:rFonts w:ascii="arial" w:eastAsia="arial" w:hAnsi="arial" w:cs="arial"/>
          <w:color w:val="000000"/>
          <w:sz w:val="20"/>
          <w:u w:val="single"/>
          <w:lang w:val="en-US" w:eastAsia="en-US" w:bidi="ar-SA"/>
        </w:rPr>
        <w:t>on a practical and common-sense view of the evidence</w:t>
      </w:r>
      <w:r>
        <w:rPr>
          <w:rFonts w:ascii="arial" w:eastAsia="arial" w:hAnsi="arial" w:cs="arial"/>
          <w:color w:val="000000"/>
          <w:sz w:val="20"/>
          <w:lang w:val="en-US" w:eastAsia="en-US" w:bidi="ar-SA"/>
        </w:rPr>
        <w:t>, whether the parties negotiated a loan or advance on security, or a standard lease of property, not by way of security, from the lessor to the bankrupt.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before me ... is whether the transaction as a whole creates a security interest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following passages from Richard H. McLaren, </w:t>
      </w:r>
      <w:r>
        <w:rPr>
          <w:rFonts w:ascii="arial" w:eastAsia="arial" w:hAnsi="arial" w:cs="arial"/>
          <w:i/>
          <w:color w:val="000000"/>
          <w:sz w:val="20"/>
          <w:lang w:val="en-US" w:eastAsia="en-US" w:bidi="ar-SA"/>
        </w:rPr>
        <w:t>Secured Transactions in Personal Property in Canada</w:t>
      </w:r>
      <w:r>
        <w:rPr>
          <w:rFonts w:ascii="arial" w:eastAsia="arial" w:hAnsi="arial" w:cs="arial"/>
          <w:color w:val="000000"/>
          <w:sz w:val="20"/>
          <w:lang w:val="en-US" w:eastAsia="en-US" w:bidi="ar-SA"/>
        </w:rPr>
        <w:t xml:space="preserve">, loose-leaf, 2d ed. (Toronto: Thomson Canada Limited, 1989) vol. 1, at 1-27 - 1-29, 1-37, were cited with approval in </w:t>
      </w:r>
      <w:r>
        <w:rPr>
          <w:rFonts w:ascii="arial" w:eastAsia="arial" w:hAnsi="arial" w:cs="arial"/>
          <w:i/>
          <w:color w:val="000000"/>
          <w:sz w:val="20"/>
          <w:lang w:val="en-US" w:eastAsia="en-US" w:bidi="ar-SA"/>
        </w:rPr>
        <w:t>Kaak,</w:t>
      </w:r>
      <w:r>
        <w:rPr>
          <w:rFonts w:ascii="arial" w:eastAsia="arial" w:hAnsi="arial" w:cs="arial"/>
          <w:color w:val="000000"/>
          <w:sz w:val="20"/>
          <w:lang w:val="en-US" w:eastAsia="en-US" w:bidi="ar-SA"/>
        </w:rPr>
        <w:t xml:space="preserve"> at para. 31, in the context of characterizing a particular transaction: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2(a)(ii) of the prior Act included only those transaction which were "intended as security". In interpreting the phrase "intended as security" the courts focused on the intention of the parties to the transaction. While the revised Act has replaced that phrase with the more objective test of "secures payment or performance of an obligation", it is suggested that the parties' intentions will still be a relevant consideration under the revised Act in the proper characterization of assignments, leases and consignments. However, </w:t>
      </w:r>
      <w:r>
        <w:rPr>
          <w:rFonts w:ascii="arial" w:eastAsia="arial" w:hAnsi="arial" w:cs="arial"/>
          <w:color w:val="000000"/>
          <w:sz w:val="20"/>
          <w:u w:val="single"/>
          <w:lang w:val="en-US" w:eastAsia="en-US" w:bidi="ar-SA"/>
        </w:rPr>
        <w:t>it is an objective view of the parties' intentions by the courts which will characterize the transaction</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factors have been enumerated in the past by the court to aid in the analysis: the role of the parties, the intent of the parties, and the effect of the transaction. Although the three factors overlap, it is the intention of the parties which dictates the role that each assumes, and is evidenced by the effect of the transaction. The courts also appear willing to admit and consider evidence extrinsic to the transaction documents. It would appear that an objective standard will be used to determine the intention of the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hoped that the amendment to the Act, moving away from the reference to "intended as security", will dispel any lingering views that any analysis of intention is meant to be subjective in nature as to whether the parties intended the Act to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Footnote omitted.]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Proper Sources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Different types of evidence, including factual matrix evidence, can be useful in interpreting the language in a contract. Such evidence can "throw light on what the parties must have meant by the words they chose to express their intention";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(1997), 49 B.C.L.R. (3d) 317</w:t>
        </w:r>
      </w:hyperlink>
      <w:r>
        <w:rPr>
          <w:rFonts w:ascii="arial" w:eastAsia="arial" w:hAnsi="arial" w:cs="arial"/>
          <w:color w:val="000000"/>
          <w:sz w:val="20"/>
          <w:lang w:val="en-US" w:eastAsia="en-US" w:bidi="ar-SA"/>
        </w:rPr>
        <w:t xml:space="preserve">, at para. 18 (C.A.). Factual matrix evidence can also "assist in resolving any difficulties in what certain words of the contract refer to"; </w:t>
      </w:r>
      <w:r>
        <w:rPr>
          <w:rFonts w:ascii="arial" w:eastAsia="arial" w:hAnsi="arial" w:cs="arial"/>
          <w:i/>
          <w:color w:val="000000"/>
          <w:sz w:val="20"/>
          <w:lang w:val="en-US" w:eastAsia="en-US" w:bidi="ar-SA"/>
        </w:rPr>
        <w:t>Gainers Inc. v. Pocklington Financial Corp</w:t>
      </w:r>
      <w:r>
        <w:rPr>
          <w:rFonts w:ascii="arial" w:eastAsia="arial" w:hAnsi="arial" w:cs="arial"/>
          <w:color w:val="000000"/>
          <w:sz w:val="20"/>
          <w:lang w:val="en-US" w:eastAsia="en-US" w:bidi="ar-SA"/>
        </w:rPr>
        <w:t xml:space="preserve">oration, </w:t>
      </w:r>
      <w:hyperlink r:id="rId887" w:history="1">
        <w:r>
          <w:rPr>
            <w:rFonts w:ascii="arial" w:eastAsia="arial" w:hAnsi="arial" w:cs="arial"/>
            <w:i/>
            <w:color w:val="0077CC"/>
            <w:sz w:val="20"/>
            <w:u w:val="single"/>
            <w:shd w:val="clear" w:color="auto" w:fill="FFFFFF"/>
            <w:lang w:val="en-US" w:eastAsia="en-US" w:bidi="ar-SA"/>
          </w:rPr>
          <w:t>2000 ABCA 151</w:t>
        </w:r>
      </w:hyperlink>
      <w:r>
        <w:rPr>
          <w:rFonts w:ascii="arial" w:eastAsia="arial" w:hAnsi="arial" w:cs="arial"/>
          <w:color w:val="000000"/>
          <w:sz w:val="20"/>
          <w:lang w:val="en-US" w:eastAsia="en-US" w:bidi="ar-SA"/>
        </w:rPr>
        <w:t xml:space="preserve">, at para. 21. Normally, factual matrix evidence does not include evidence of negotiations; Geoff R. Hall,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2d ed. (Markham, Ont.: LexisNexis Canada, 2012) at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this case, factual matrix evidence and other evidence relating to the context or aim of the transaction between Trac Chile and Imbamar, is not directed at the language of the Imbamar Contract. That language is clear. The Imbamar Contract has 23 clauses -- many of them boilerplate in nature. Clauses 13-17, and parts of clause 18, address Trac Chile's right to repurchase the Steel Rail and the terms of that right. The express language of the agreement is, however, the language of purchase and sale. Clause 2 specifies that the "material purpose of the contract is the sale of the following material ...". The agreement does not refer to loans, to interest payments, to security, or to other like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Ascertaining the "substance of a transaction", on an objective basis, gives rise to a different exercise. This exercise is not directed to what particular words or a particular clause in the Imbamar Contract mean. Instead, the exercise seeks, at least in part, to determine the broader commercial objectives of the parties. It seeks to ascertain what the true essence or substance of the transaction is. In this context, different considerations apply and evidence relating to the "genesis", and in particular, the "aim" of the transaction, both of which properly fall within factual matrix evidence, assume a different role and greater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Evidence that the parties to a contract were engaged in negotiations, and the reasons for those negotiations, may also be admissible evidence of the commercial objectives of the parties as part of the surrounding circumstances. In </w:t>
      </w:r>
      <w:r>
        <w:rPr>
          <w:rFonts w:ascii="arial" w:eastAsia="arial" w:hAnsi="arial" w:cs="arial"/>
          <w:i/>
          <w:color w:val="000000"/>
          <w:sz w:val="20"/>
          <w:lang w:val="en-US" w:eastAsia="en-US" w:bidi="ar-SA"/>
        </w:rPr>
        <w:t>Langley Lo-Cost Builders Ltd. v. 474835 BC Ltd.</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considering this question it is important to remember that negotiations between the parties are not relevant in determining the meaning of the language used by the parties. This is because parties often change their views and positions during negotiations. The fact that the parties were in negotiations, and the reasons for these negotiations, however, including the commercial objectives of the parties is relevant as a part of the factual matrix, or factual underpinning of the agreement: </w:t>
      </w:r>
      <w:r>
        <w:rPr>
          <w:rFonts w:ascii="arial" w:eastAsia="arial" w:hAnsi="arial" w:cs="arial"/>
          <w:i/>
          <w:color w:val="000000"/>
          <w:sz w:val="20"/>
          <w:lang w:val="en-US" w:eastAsia="en-US" w:bidi="ar-SA"/>
        </w:rPr>
        <w:t>Prenn v. Simmonds</w:t>
      </w:r>
      <w:r>
        <w:rPr>
          <w:rFonts w:ascii="arial" w:eastAsia="arial" w:hAnsi="arial" w:cs="arial"/>
          <w:color w:val="000000"/>
          <w:sz w:val="20"/>
          <w:lang w:val="en-US" w:eastAsia="en-US" w:bidi="ar-SA"/>
        </w:rPr>
        <w:t>, [1971] 3 All E.R. 237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Boughton Colliers Ltd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[1944] 1 D.L.R. 530</w:t>
        </w:r>
      </w:hyperlink>
      <w:r>
        <w:rPr>
          <w:rFonts w:ascii="arial" w:eastAsia="arial" w:hAnsi="arial" w:cs="arial"/>
          <w:color w:val="000000"/>
          <w:sz w:val="20"/>
          <w:lang w:val="en-US" w:eastAsia="en-US" w:bidi="ar-SA"/>
        </w:rPr>
        <w:t>, at 538-539 (N.S.C.A.), the majority of the court confirmed that pre-contract correspondence may be admissible to establish the aim of a transaction: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drives us to look at the circumstances under which the contract is made. Our sole knowledge of those circumstances is derived from the agreement and the correspondence. Counsel for the respondent objected at the argument to the use of the letters because they were not set out in the stated case submitted at Chambers but they were read to the Judge and by agreement were included in the printed case on appeal. They form part of the record before us. In any case, they are admissible. Viscount Haldane L.C. said in </w:t>
      </w:r>
      <w:r>
        <w:rPr>
          <w:rFonts w:ascii="arial" w:eastAsia="arial" w:hAnsi="arial" w:cs="arial"/>
          <w:i/>
          <w:color w:val="000000"/>
          <w:sz w:val="20"/>
          <w:lang w:val="en-US" w:eastAsia="en-US" w:bidi="ar-SA"/>
        </w:rPr>
        <w:t>Charrington &amp; Co. v. Wooder</w:t>
      </w:r>
      <w:r>
        <w:rPr>
          <w:rFonts w:ascii="arial" w:eastAsia="arial" w:hAnsi="arial" w:cs="arial"/>
          <w:color w:val="000000"/>
          <w:sz w:val="20"/>
          <w:lang w:val="en-US" w:eastAsia="en-US" w:bidi="ar-SA"/>
        </w:rPr>
        <w:t>,[1914] A.C. 71 at p. 77: "If there are circumstances which the parties must be taken to have had in view when entering into the contract, it is necessary that the Court which construes the contract should have these circumstances before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Lord Davey in another Privy Council case. </w:t>
      </w:r>
      <w:r>
        <w:rPr>
          <w:rFonts w:ascii="arial" w:eastAsia="arial" w:hAnsi="arial" w:cs="arial"/>
          <w:i/>
          <w:color w:val="000000"/>
          <w:sz w:val="20"/>
          <w:lang w:val="en-US" w:eastAsia="en-US" w:bidi="ar-SA"/>
        </w:rPr>
        <w:t>Bank of New Zealand v. Simpson</w:t>
      </w:r>
      <w:r>
        <w:rPr>
          <w:rFonts w:ascii="arial" w:eastAsia="arial" w:hAnsi="arial" w:cs="arial"/>
          <w:color w:val="000000"/>
          <w:sz w:val="20"/>
          <w:lang w:val="en-US" w:eastAsia="en-US" w:bidi="ar-SA"/>
        </w:rPr>
        <w:t>, [1900] A.C.182 at p. 187 said: "Extrinsic evidence is always admissible, not to contradict or vary the contract, but to apply it to the facts which the parties had in their minds and were negotiating about."</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Purpose of the Imbamar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genesis of the Imbamar Contract was a financing opportunity that was presented by Mr. Ocampo to Mr. Solar. Mr. Ocampo was, Mr. Solar said, a "financier". Mr. Solar knew that Mr. Ocampo had been retained by the Tracomex companies to find financing for them. He knew the companies were under significant liquidity pressure. He knew very early on that they owed money to a "large German company" and were being pressured to pay that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chronology which follows relies on the written submissions of counsel for 029. Mr. Ocampo first presented the opportunity discussed with Mr. Solar in an email to Mr. Solar dated November 28, 2009, titled "REPO opportunity on used steel rails in Canada". The email included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Scrap rails, per the American Metals Market (AMM) are currently trading at USD 355/MT.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explained, Tracomex is under severe liquidity pressure, having recently missed a payment with a large German trading and financing house with whom I obtained an Hermes-backed line of credit for Tracomex. As such, they are willing to enter in a Sale and Repurchase Agreement whereby you and your partner could purchase, say, 3,000 MT of the rails at Abbotsford (which I personally inspected, together with a specialist hired by the Germans during July) at half the current AMM price for rail scrap.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manner, you would disburse USD 532,500 and Tracomex would invoice to you 3,000 MT of the rails. After 180 days, Tracomex would repurchase the rails at 110% of the original price, offering you an implied interest gain of 20% p.a. on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Solar testified that he understood the term "REPO" to refer to repurchase agreement. He was familiar with "REPO" agreements and had some limited involvement with them in the past. He accepted that the basic structure of the transaction presented by Mr. Ocampo was a "financing deal". He accepted that that basic structure consisted of the following components: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enter into a sale and repurchase agreement whereby Imbamar would purchase around 3,000 MT of the Steel Rail from Trac Chile at half of the AMM price;</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Imbamar would advance $532,500 US to Trac Chile and Trac Chile would invoice 3,000 MT of the Steel Rail to Imbamar; and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180 days (the "Repurchase Period"), Trac Chile would repurchase the Steel Rail at 110% of the original price, offering Imbamar an implied interest gain of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On December 2, 2009, Mr. Ocampo forwarded an email to Mr. Solar from Mr. Mitarakis, the principal of the Tracomex companies, describing the Steel Rail. The subject line of the email is "Short-term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the same date, in the same email string, Mr. Solar responded to Mr. Ocampo attaching the comments of Mr. Bezmalinovic, the other principal of Imbamar, regarding the Steel Rail. Mr. Solar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attaching my partner's comments. In summary, for the deal to be interesting to us, the same format you proposed must be adjusted to the new reality. If your client is still interested and wants to reach an agreement (drastically changed) with us, we hope to receive a new proposal from him (or you)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Solar agreed on cross-examination that the reference in the email to "drastically changed" was a reference to the price of the Steel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Ocampo responded to Mr. Solar by email, again on the same date and the same email string,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get the gist of what you're saying but I am not clear on how to translate it into $$$. Could you please set in black and white what alterations would be made to the Tracomex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Solar responded to Mr. Ocampo's email, again on the same date and on the same email string,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actual fact, this is what you proposed, if I understood it well.</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buy from Tracomex 3,000 MT of used rails (rail scrap), at half the actual value. However, today the real value is no higher than USD$ 180 per kg. ($90,000), as in Chile. Therefore, half of it would be USD 90 MT x 3,000 MT = USD$ 270,000.00. To reach USD$ 500,000 Tracomex should sell twice what they have.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180 days Tracomex can buy back the rails at a price 20% higher than they sold them to us (for example, they sold us 3,000 MT for USD$ 270,000 and now to recover them they must pay us USD $324,000). In the event they cannot do this, the rails would be at our free disposition.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is so, I would thank you to confirm it. I also need you to let us know how we would ensure ownership of the rails (which Tracomex owns and are not seized by someone else) and how the whole operation would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Ocampo responded to Mr. Solar by email dated December 6, 2009,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he tells me he could do the operation as you are proposing (180 days financing at a 20% rate) provided he gets an improvement in price of at least USD $240, which would yield a disbursement value (at 2 x 1) of USD $120/ MT. In this case, he could sell the Abbotsford and 4,000 MT and 1,000MT in Thunder Bay, for a transaction of USD $600,000.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Operationally, Tracomex would invoice you 5,000MT for the rails at USD$ 600,000, which would be repurchased in a maximum period of 180 days at a price of USD$ 720,000. Of course, Tracomex wants to reserve for itself the possibility of repurchasing the rails within this REPO in order to lower the cost of financing to the time actually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is acceptable to you, let me know to proceed with the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Solar testified that he did not respond in writing to this email, but that he told Mr. Ocampo, probably in person, that "we continue to look [at] the price and we need to meet Mr. Mitarakis, we need to see the rate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On December 16, 2009, Mr. Ocampo wrote the following email to Mr. Solar: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our conversation, attached please find the investment structure for the financing of the Tracomex rails in Canada. Given the need of the company to fix its situation with our initial investors ... we have been able to design something very attractive for you. This is reflected, above all, in the value at which the rails are being taken in the REPO. While 500 MT are being assessed at half the market price ... the other 3,370 MT are being taken at a value of US$ 120, when the market price is US$ 395 (a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Ocampo's email attached a memorandum which explained the nature of the proposal being made to Imbamar, and which included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[Trac Chile], a Chilean company, needs short-term financing through a 180 days REPO and would be willing to pay an interest rate of 20% plus related expenses over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On December 19, 2009, Mr. Solar forwarded Mr. Ocampo's December 16, 2009, email to Mr. Bezmalinovic with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Augusto,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your comments and suggestions. They look good to me with two caveats: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would have to travel to Canada (one of us or both) to verify the existence of rails, coordinate and transfer them to a chosen depot contracted by us (but this payment must on the account of Tracomex).</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should include prepayment penalty of three months (to negotiate and bring it down to two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Solar also agreed on cross-examination that the parties were negotiating the inclusion of a pre-payment penalty as part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On January 4, 2010, Mr. Ocampo sent another email to Mr. Solar, attached to which was a memorandum that again set out the proposal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Tracomex will have to invoice the investor for all the rails, that is, 3,850 M/T @ US $120.00 per tonne, for a total of US $ 462,000.00. Simultaneously, the parties shall sign a repurchase agreement which shall provide for a maximum time limit of 180 days counted from the date of the invoice, with a 20% interest rate for said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minimum net yield for the investor will be no less than US $ 60,000.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Solar agreed on cross-examination that the reference to the minimum net yield of not less than $60,000 was a reference to the minimum net return to Imbamar in the event of a pre-payment. The deal ultimately negotiated with Tracomex Chile did not include a pre-payment penalty. Instead, Tracomex Chile was obligated to pay the repurchase price without any discount for early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Pre-payment penalties are common in secured transactions to ensure that the secured party is ensured a certain return on amounts it has advanced. Though no such penalty was included in the Imbamar Contract, I consider that the discussions have some probative value. The fact that the parties were negotiating a pre-payment penalty further serves to illustrate that the parties' intention, viewed objectively, was to enter into a financing arrangement. Furthermore, the reference to a pre-payment penalty, well into the negotiations, helps test Mr. Solar's evidence that he told Mr. Ocampo, from the outset, that Imbamar was not interested in providing financing to the Tracomex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Both Mr. Solar and Mr. Bezmalinovic accepted that they were prepared to extend the option or right of repurchase to Trac Chile because they were hoping to do further business with Mr. Mitarakis, and to benefit from his relationship with Canadian Pacific and his access to further rails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Solar testified that he made it clear to Mr. Ocampo from the very outset that Imbamar was not a financier, and that whenever Mr. Ocampo referred to the transaction in financing terms "we each and every time told him that we are not interesting [sic] in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do not accept this evidence. The written communications between Mr. Ocampo and Mr. Solar spanned more than six weeks. All of Mr. Ocampo's written communications over the period November 28, 2009, to January 4, 2010, presented a "financing" transaction. That never changed. I do not accept that Mr. Ocampo would have continued to express himself in such explicit terms had Mr. Solar repeatedly corrected him or told him he was not interested in any such transaction. I consider that this objective record, in combination with other factors, is more persuasive than the evidence of Messrs. Solar, Araya and Bezmalinovic.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One further communication is relevant. On June 6, 2010, a date which post-dates the closing of the Imbamar Contract, but which precedes the end of the Repurchase Period, Mr. Pitters, the comptroller for Trac Chile, wrote an email to Mr. Solar which stated in part, "[p]lease find enclosed a table that summarizes the real dates of the disbursement of the loan with repurchase agreement, granted to [Trac Chile] on January 15, 2010". Mr. Pitters said, however, that his use of the word "loan" was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simple reality is that the objective record, from the start of negotiations through to their conclusion, which addresses both the genesis and object of the Imbamar Contract, overwhelmingly does so in the context of a financing or loan transaction.</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Value of the Steel Rail Relative to the Price in the Imbamar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029 argues, and I accept, that the market value of the Steel Rail relative to what Imbamar paid is compelling evidence of the parties' intention to set up a financing arrangement. I have said that the true market for those rails was the North American market and, in fact, likely the Pacific Northwest market. The written exchanges between Mr. Ocampo and Mr. Solar speak to the Steel Rail being "sold" for perhaps one-half of what they were worth. I have said that this generally accords with most of the relevant evidence that addresses the issue.</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Repurchase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A right of repurchase or redemption, at the vendor's option, has been described as a "strong factor" evidencing the parties' intention, viewed objectively, that the true nature of such a transaction is a financing arrangement; </w:t>
      </w:r>
      <w:r>
        <w:rPr>
          <w:rFonts w:ascii="arial" w:eastAsia="arial" w:hAnsi="arial" w:cs="arial"/>
          <w:i/>
          <w:color w:val="000000"/>
          <w:sz w:val="20"/>
          <w:lang w:val="en-US" w:eastAsia="en-US" w:bidi="ar-SA"/>
        </w:rPr>
        <w:t>Metropolitan Toronto Police Widows and Orphans Fund v. Telus Communication</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[2003] O.J. No. 128</w:t>
        </w:r>
      </w:hyperlink>
      <w:r>
        <w:rPr>
          <w:rFonts w:ascii="arial" w:eastAsia="arial" w:hAnsi="arial" w:cs="arial"/>
          <w:color w:val="000000"/>
          <w:sz w:val="20"/>
          <w:lang w:val="en-US" w:eastAsia="en-US" w:bidi="ar-SA"/>
        </w:rPr>
        <w:t xml:space="preserve">, at para. 67 (S.C.J.), rev'd on other grounds </w:t>
      </w:r>
      <w:hyperlink r:id="rId891" w:history="1">
        <w:r>
          <w:rPr>
            <w:rFonts w:ascii="arial" w:eastAsia="arial" w:hAnsi="arial" w:cs="arial"/>
            <w:i/>
            <w:color w:val="0077CC"/>
            <w:sz w:val="20"/>
            <w:u w:val="single"/>
            <w:shd w:val="clear" w:color="auto" w:fill="FFFFFF"/>
            <w:lang w:val="en-US" w:eastAsia="en-US" w:bidi="ar-SA"/>
          </w:rPr>
          <w:t>75 O.R. (3d) 784</w:t>
        </w:r>
      </w:hyperlink>
      <w:r>
        <w:rPr>
          <w:rFonts w:ascii="arial" w:eastAsia="arial" w:hAnsi="arial" w:cs="arial"/>
          <w:color w:val="000000"/>
          <w:sz w:val="20"/>
          <w:lang w:val="en-US" w:eastAsia="en-US" w:bidi="ar-SA"/>
        </w:rPr>
        <w:t xml:space="preserve"> (C.A.). Indeed, in </w:t>
      </w:r>
      <w:r>
        <w:rPr>
          <w:rFonts w:ascii="arial" w:eastAsia="arial" w:hAnsi="arial" w:cs="arial"/>
          <w:i/>
          <w:color w:val="000000"/>
          <w:sz w:val="20"/>
          <w:lang w:val="en-US" w:eastAsia="en-US" w:bidi="ar-SA"/>
        </w:rPr>
        <w:t>Metropolitan Toronto Police,</w:t>
      </w:r>
      <w:r>
        <w:rPr>
          <w:rFonts w:ascii="arial" w:eastAsia="arial" w:hAnsi="arial" w:cs="arial"/>
          <w:color w:val="000000"/>
          <w:sz w:val="20"/>
          <w:lang w:val="en-US" w:eastAsia="en-US" w:bidi="ar-SA"/>
        </w:rPr>
        <w:t xml:space="preserve"> the court described this consideration as "the ultimate test to be applied to determine whether a particular transaction should be interpreted as a secured loan or as a true sale";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Two decisions, </w:t>
      </w:r>
      <w:r>
        <w:rPr>
          <w:rFonts w:ascii="arial" w:eastAsia="arial" w:hAnsi="arial" w:cs="arial"/>
          <w:i/>
          <w:color w:val="000000"/>
          <w:sz w:val="20"/>
          <w:lang w:val="en-US" w:eastAsia="en-US" w:bidi="ar-SA"/>
        </w:rPr>
        <w:t>Metropolitan Toronto Police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Kaak</w:t>
      </w:r>
      <w:r>
        <w:rPr>
          <w:rFonts w:ascii="arial" w:eastAsia="arial" w:hAnsi="arial" w:cs="arial"/>
          <w:color w:val="000000"/>
          <w:sz w:val="20"/>
          <w:lang w:val="en-US" w:eastAsia="en-US" w:bidi="ar-SA"/>
        </w:rPr>
        <w:t xml:space="preserve"> address the significance of a right or option to repurchase when considering the substance of a transaction and, in particular, whether such agreements are in the nature of a security interest. Both are also useful because they identify additional factors which can assist with this assessment 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Metropolitan Toronto Police</w:t>
      </w:r>
      <w:r>
        <w:rPr>
          <w:rFonts w:ascii="arial" w:eastAsia="arial" w:hAnsi="arial" w:cs="arial"/>
          <w:color w:val="000000"/>
          <w:sz w:val="20"/>
          <w:lang w:val="en-US" w:eastAsia="en-US" w:bidi="ar-SA"/>
        </w:rPr>
        <w:t>, the court considered whether a securitization transaction should be characterized as a sale or as a secured loan. The court considered not only the wording of the subject agreement, but it also considered "how the relationship transpired and the conduct of the parties";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After looking at the factual matrix and context of the agreement, the court concluded that the transaction was a true sale. Indeed, the court concluded that "both parties could only get the full benefit of the transaction if it was a true sale";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court was also satisfied that the agreement in question did not, in fact, provide the defendant with any right to redeem or repurchase; at para. 69. In this case, the right of Trac Chile to repurchase the Steel Rail, within six months, is clear and express.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Metropolitan Toronto Police</w:t>
      </w:r>
      <w:r>
        <w:rPr>
          <w:rFonts w:ascii="arial" w:eastAsia="arial" w:hAnsi="arial" w:cs="arial"/>
          <w:color w:val="000000"/>
          <w:sz w:val="20"/>
          <w:lang w:val="en-US" w:eastAsia="en-US" w:bidi="ar-SA"/>
        </w:rPr>
        <w:t>, the court also considered the issue of ownership risk saying that in any true sale there must be a transfer of ownership risk to the purchaser; at para. 41. In this case, ownership of the Steel Rail did pass to Imbamar when the Imbamar contract was executed. The force of this consideration, however, is somewhat attenuated because Trac Chile was required to pay general liability insurance for the Steel Rail. It was also required, if it repurchased the Steel Rail, to reimburse Imbamar for the storage costs it had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Kaak,</w:t>
      </w:r>
      <w:r>
        <w:rPr>
          <w:rFonts w:ascii="arial" w:eastAsia="arial" w:hAnsi="arial" w:cs="arial"/>
          <w:color w:val="000000"/>
          <w:sz w:val="20"/>
          <w:lang w:val="en-US" w:eastAsia="en-US" w:bidi="ar-SA"/>
        </w:rPr>
        <w:t xml:space="preserve"> the court was concerned with a transaction that involved the sale of cattle with an option to repurchase them. The bank argued that the transactions were, in essence, security transactions under the Ontario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R.S.O. 1990, c. P. 10</w:t>
        </w:r>
      </w:hyperlink>
      <w:r>
        <w:rPr>
          <w:rFonts w:ascii="arial" w:eastAsia="arial" w:hAnsi="arial" w:cs="arial"/>
          <w:color w:val="000000"/>
          <w:sz w:val="20"/>
          <w:lang w:val="en-US" w:eastAsia="en-US" w:bidi="ar-SA"/>
        </w:rPr>
        <w:t xml:space="preserve">. That legislation contains similar language to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with respect to the application of the Act and the definition of "security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Kaak</w:t>
      </w:r>
      <w:r>
        <w:rPr>
          <w:rFonts w:ascii="arial" w:eastAsia="arial" w:hAnsi="arial" w:cs="arial"/>
          <w:color w:val="000000"/>
          <w:sz w:val="20"/>
          <w:lang w:val="en-US" w:eastAsia="en-US" w:bidi="ar-SA"/>
        </w:rPr>
        <w:t>, in deciding the option or repurchase agreement did not give rise to a security interest, placed significant weight on the fact that the option price appeared "to be close to or perhaps greater than market"; at para. 36. The court considered that with this option price there was uncertainty about whether the option would be exercised; at paras. 38-39. In this case, based on my earlier finding that the "sale price" of the Steel Rail was considerably lower than the market value of that rail, this consideration has limited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court concluded that, "on a practical and common-sense objective view of all the evidence the parties were not negotiating financial arrangements to assist [the vendor] in financial difficulty"; </w:t>
      </w:r>
      <w:r>
        <w:rPr>
          <w:rFonts w:ascii="arial" w:eastAsia="arial" w:hAnsi="arial" w:cs="arial"/>
          <w:i/>
          <w:color w:val="000000"/>
          <w:sz w:val="20"/>
          <w:lang w:val="en-US" w:eastAsia="en-US" w:bidi="ar-SA"/>
        </w:rPr>
        <w:t>Kaak,</w:t>
      </w:r>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Kaak</w:t>
      </w:r>
      <w:r>
        <w:rPr>
          <w:rFonts w:ascii="arial" w:eastAsia="arial" w:hAnsi="arial" w:cs="arial"/>
          <w:color w:val="000000"/>
          <w:sz w:val="20"/>
          <w:lang w:val="en-US" w:eastAsia="en-US" w:bidi="ar-SA"/>
        </w:rPr>
        <w:t xml:space="preserve"> was upheld on appeal. In a brief endorsement, found at </w:t>
      </w:r>
      <w:r>
        <w:rPr>
          <w:rFonts w:ascii="arial" w:eastAsia="arial" w:hAnsi="arial" w:cs="arial"/>
          <w:i/>
          <w:color w:val="000000"/>
          <w:sz w:val="20"/>
          <w:lang w:val="en-US" w:eastAsia="en-US" w:bidi="ar-SA"/>
        </w:rPr>
        <w:t>Kaak v. Bank of Montréal</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[2003] O.J. No. 3662</w:t>
        </w:r>
      </w:hyperlink>
      <w:r>
        <w:rPr>
          <w:rFonts w:ascii="arial" w:eastAsia="arial" w:hAnsi="arial" w:cs="arial"/>
          <w:color w:val="000000"/>
          <w:sz w:val="20"/>
          <w:lang w:val="en-US" w:eastAsia="en-US" w:bidi="ar-SA"/>
        </w:rPr>
        <w:t xml:space="preserve"> (C.A.), the Ontario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 An option does not create a security interest. A security interest [is] defined in the relevant portion of s. 1(1) of the </w:t>
      </w:r>
      <w:r>
        <w:rPr>
          <w:rFonts w:ascii="arial" w:eastAsia="arial" w:hAnsi="arial" w:cs="arial"/>
          <w:i/>
          <w:color w:val="000000"/>
          <w:sz w:val="20"/>
          <w:lang w:val="en-US" w:eastAsia="en-US" w:bidi="ar-SA"/>
        </w:rPr>
        <w:t>Personal Property and Security Act</w:t>
      </w:r>
      <w:r>
        <w:rPr>
          <w:rFonts w:ascii="arial" w:eastAsia="arial" w:hAnsi="arial" w:cs="arial"/>
          <w:color w:val="000000"/>
          <w:sz w:val="20"/>
          <w:lang w:val="en-US" w:eastAsia="en-US" w:bidi="ar-SA"/>
        </w:rPr>
        <w:t xml:space="preserve"> as "... an interest in the personal property that secured payment or performance of an obligation..." An option is a right; it is not a payment or an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029 argues, and I accept, that the foregoing statement was not intended to advance a proposition of general application and does not reflect the state of the law. Thus, there are numerous instances where options can properly be considered a payment or obligation for the purposes of determining a security interest under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legislation. A common example of this is found in options to purchase in lease agreements; see e.g. </w:t>
      </w:r>
      <w:r>
        <w:rPr>
          <w:rFonts w:ascii="arial" w:eastAsia="arial" w:hAnsi="arial" w:cs="arial"/>
          <w:i/>
          <w:color w:val="000000"/>
          <w:sz w:val="20"/>
          <w:lang w:val="en-US" w:eastAsia="en-US" w:bidi="ar-SA"/>
        </w:rPr>
        <w:t>Re. 488723 Ontario Inc. (R.P.M. Motors)</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(1985), 55 C.B.R (N.S.) 311</w:t>
        </w:r>
      </w:hyperlink>
      <w:r>
        <w:rPr>
          <w:rFonts w:ascii="arial" w:eastAsia="arial" w:hAnsi="arial" w:cs="arial"/>
          <w:color w:val="000000"/>
          <w:sz w:val="20"/>
          <w:lang w:val="en-US" w:eastAsia="en-US" w:bidi="ar-SA"/>
        </w:rPr>
        <w:t xml:space="preserve"> at 313 (Ont. S.C.), </w:t>
      </w:r>
      <w:r>
        <w:rPr>
          <w:rFonts w:ascii="arial" w:eastAsia="arial" w:hAnsi="arial" w:cs="arial"/>
          <w:i/>
          <w:color w:val="000000"/>
          <w:sz w:val="20"/>
          <w:lang w:val="en-US" w:eastAsia="en-US" w:bidi="ar-SA"/>
        </w:rPr>
        <w:t>Crop &amp; Soil Service Inc. v. Oxford Leaseway Ltd.</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(2000), 48 O.R. (3d) 291</w:t>
        </w:r>
      </w:hyperlink>
      <w:r>
        <w:rPr>
          <w:rFonts w:ascii="arial" w:eastAsia="arial" w:hAnsi="arial" w:cs="arial"/>
          <w:color w:val="000000"/>
          <w:sz w:val="20"/>
          <w:lang w:val="en-US" w:eastAsia="en-US" w:bidi="ar-SA"/>
        </w:rPr>
        <w:t>, at para. 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Furthermore, respectfully, the statement is inconsistent with the principle that it is the substance, and not the form, of a transaction that is important when determining whether a security interest is created, regardless of how the parties refer to the transaction. The fact the parties refer to a term in an agreement as an "option", is not in and of itself determinative of the true nature of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Finally, it is frequently recognized that endorsements are generally directed to the immediate parties and they are not intended to have broad precedential value. They are not generally interpreted to create broad overarching principles which are not specifically addressed in the endorsement; </w:t>
      </w:r>
      <w:r>
        <w:rPr>
          <w:rFonts w:ascii="arial" w:eastAsia="arial" w:hAnsi="arial" w:cs="arial"/>
          <w:i/>
          <w:color w:val="000000"/>
          <w:sz w:val="20"/>
          <w:lang w:val="en-US" w:eastAsia="en-US" w:bidi="ar-SA"/>
        </w:rPr>
        <w:t>R. v. Timminco Ltd.</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(2001), 54 O.R. (3d) 21</w:t>
        </w:r>
      </w:hyperlink>
      <w:r>
        <w:rPr>
          <w:rFonts w:ascii="arial" w:eastAsia="arial" w:hAnsi="arial" w:cs="arial"/>
          <w:color w:val="000000"/>
          <w:sz w:val="20"/>
          <w:lang w:val="en-US" w:eastAsia="en-US" w:bidi="ar-SA"/>
        </w:rPr>
        <w:t xml:space="preserve"> at paras. 35-36 (C.A.); </w:t>
      </w:r>
      <w:r>
        <w:rPr>
          <w:rFonts w:ascii="arial" w:eastAsia="arial" w:hAnsi="arial" w:cs="arial"/>
          <w:i/>
          <w:color w:val="000000"/>
          <w:sz w:val="20"/>
          <w:lang w:val="en-US" w:eastAsia="en-US" w:bidi="ar-SA"/>
        </w:rPr>
        <w:t>R. v. Singh</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2014 ONCA 293</w:t>
        </w:r>
      </w:hyperlink>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Obligations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A final set of relevant factors is identified in Ronald C.C. Cuming &amp; Roderick J. Wood, </w:t>
      </w:r>
      <w:r>
        <w:rPr>
          <w:rFonts w:ascii="arial" w:eastAsia="arial" w:hAnsi="arial" w:cs="arial"/>
          <w:i/>
          <w:color w:val="000000"/>
          <w:sz w:val="20"/>
          <w:lang w:val="en-US" w:eastAsia="en-US" w:bidi="ar-SA"/>
        </w:rPr>
        <w:t>British Columbia Personal Property Security Act Handbook</w:t>
      </w:r>
      <w:r>
        <w:rPr>
          <w:rFonts w:ascii="arial" w:eastAsia="arial" w:hAnsi="arial" w:cs="arial"/>
          <w:color w:val="000000"/>
          <w:sz w:val="20"/>
          <w:lang w:val="en-US" w:eastAsia="en-US" w:bidi="ar-SA"/>
        </w:rPr>
        <w:t xml:space="preserve">, 4th ed. (Scarborough: Carswell, 1998) at p. 36, where the authors state that the fact the "lessee [vendor] bears some of the obligations of ownership, such as the requirement to repair and insure the goods, provides some persuasive but not conclusive evidence of the security agreement"; see also </w:t>
      </w:r>
      <w:r>
        <w:rPr>
          <w:rFonts w:ascii="arial" w:eastAsia="arial" w:hAnsi="arial" w:cs="arial"/>
          <w:i/>
          <w:color w:val="000000"/>
          <w:sz w:val="20"/>
          <w:lang w:val="en-US" w:eastAsia="en-US" w:bidi="ar-SA"/>
        </w:rPr>
        <w:t>488723 Ontario</w:t>
      </w:r>
      <w:r>
        <w:rPr>
          <w:rFonts w:ascii="arial" w:eastAsia="arial" w:hAnsi="arial" w:cs="arial"/>
          <w:color w:val="000000"/>
          <w:sz w:val="20"/>
          <w:lang w:val="en-US" w:eastAsia="en-US" w:bidi="ar-SA"/>
        </w:rPr>
        <w:t xml:space="preserve"> at 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this case, as I have said, Trac Chile was required to pay the general liability insurance for the Steel Rail, and was expected to reimburse Imbamar for storage costs if it repurchased the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It is apparent that numerous considerations inform the true nature of the Imbamar Contract. The root, or genesis of the transaction, is found in the illiquidity of the Tracomex companies and in the efforts of Mr. Ocampo to obtain financing for those companies. The structure and central components of the deal first proposed by Mr. Ocampo, which Mr. Solar accepted was a financing transaction, mirror the ultimate structure of the Imbamar Contract. The "aim" of the Imbamar Contract, as expressed in the objective record of communications between Mr. Ocampo/Trac Chile and Imbamar leading up to the Imbamar Contract, was throughout in aid of obtaining financing for Trac Chile. The "purchase" price for the Steel Rail was never intended to be and was not a market price. The "repurchase price" was based on an interest calculation. Mr. Mitarakis throughout intended to repurchase the Steel Rail and, indeed, gave formal notice of his intention to do so, though he did not follow through on this. Based on these considerations, I conclude that the Imbamar Contract created a security interest that was subject to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Did Imbamar Abandon Possession of the Steel Rail so that 029's Registration of its Interest in the Steel Rail took Priority over Imbamar's Interests?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Attachment, Perfection and Priorities under the PPSA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As set out in the context of my discussion of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above, priorities as between security interests in British Columbia are governed by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Stated broadly, security interests become enforceable as against third parties once they have attached, and then take on priority as against other security interests if they are perfected. The final issue before me is one of priority between 029 and Imbamar's competing security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Attachment occurs when value is given, the interest is enforceable under a written security agreement that fulfills the requirements of s. 10 and the debtor has rights in the collateral;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 12. Both Imbamar and 029 advanced funds to Trac Canada and/or Trac Chile as value for written security interests, the Imbamar Contract, and the two 029 GSAs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As with the issue of whether the Imbamar Contract created a security interest, the issue of priority as between 029 and Imbamar is academic as a result of my conclusion that C &amp; F is entitled to retain title to the Steel Rail. This is largely because creditors of the Tracomex companies do not have an attached interest against collateral in which the Tracomex companies do not have a right. 029 has asked me to set aside this issue, which limits both claims, and address the core of the priority dispute as between Imbamar and 029 -- perfection and resulting priority -- independent of my holdings on the rescission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security interest is perfected when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attached,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steps required for perfection under this Act have been completed,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regardless of the order of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Subject to section 19, possession of the collateral by the secured party, or on the secured party's behalf by another person, perfects a security interest in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goods,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unless possession is a result of seizure or repossession.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Subject to section 19, registration of a financing statement perfects a security interest in collateral.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 35 then sets out the residual priority rules applicable to this case. First, perfected interests have priority over unperfected interests. Second, where multiple parties have a perfected interest, the earliest party to register a financing statement, take possession or perfect its interest in another enumerated manner, has priority regardless of the date of attachment.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On July 29, 2010, 029 registered a financing statement in connection with the GSA provided by Trac Chile. At that time, 029 held a validly perfected security interest in the Steel Rail pursuant to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 25. I note that 029 had also had a validly perfected security interest over Trac Canada's assets since June 15, 2010, when it perfected a financing statement in connection with the March 5, 2009, GSA provided by Trac Canada. However, Trac Canada had not had an interest in the Steel Rail at issue in this dispute since it transferred title to C &amp; F in July 2009. According I have not addressed this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Imbamar did not register a financing statement and, thus, it could only establish perfection by way of possession. On January 18, 2010, Imbamar entered into a written storage agreement for the Steel Rail with Super H and Trac Chile. The storage agreement was ultimately extended to December 19, 2010, though no further written extensions were provided. The parties agree that this amounts to perfection by way of possession by Super H on Imbamar's behalf;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March 2011, however, Imbamar instructed Super H to begin invoicing Imbamar Canada Inc. ("Imbamar Canada"). Imbamar Canada is a separate legal entity registered in British Columbia. Mr. Solar testified that the invoicing change was motivated by a desire to obtain an HST "discount". This is consistent with a March 21, 2011, email from Mr. Solar to a number of recipients including Mr. Singer, Imbamar's Canadian counsel, in which Mr. Solar writes, "Aaron [Singer] be so kind to pay to Super H 3 months of rent in advance but ask them if they can issue the Invoice to Imbamar Canada Inc. in order that we can discount HST." Imbamar Canada has been invoiced for the storage costs of the Steel Rail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029 acknowledges that Imbamar's interest was perfected by way of possession prior to 029's perfection by way of registration and that that interest would normally take priority. However, 029 argues that Imbamar's request that Super H invoice Imbamar Canada amounted to a break in the continuity of Imbamar's possession, rendered Imbamar's interest "un-perfected", and granted priority to 029's perfected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Imbamar took the position that, if the Imbamar Contract was in the nature of a security interest, it retained continuous possession either in its own right or through Imbamar Canada, as its agent, on the basis of a cooperation agreement that existed between the two companies.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Break in the Continuity of Imbamar's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029 advances two alternative arguments in support of its submission that there was a break in the continuity of Imbamar's possession. The first is that a strict interpretation of s. 24(1) does not permit perfection by possession through a party, Imbamar Canada, on the secured party's, Imbamar's, behalf unless that party, Imbamar Canada, physically possesses the collateral. In other words, s. 24(1) only permits perfection through another person's possession where that other person is both in possession and acting on the behalf of the secured party. Thus, Imbamar can only gain perfection through possession where the possessing party, Super H, is acting directly on Imbamar's behalf. Imbamar cannot gain perfection through possession where Super H is acting on behalf of Imbamar Canada which, in turn, is purportedly acting on Imbamar's behalf but does not possess the property. 029's second argument is that, regardless of the interpretative approach taken to s. 24(1), Imbamar cannot establish that Imbamar Canada was acting on Imbamar's behalf when paying for storage of the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issue underlying the second argument, whether Imbamar Canada was acting on Imbamar's behalf when it paid the storage invoices, is foundational to both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Solar gave evidence about a cooperation agreement between Imbamar and Imbamar Canada; however, that agreement was not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More important is Mr. Solar's testimony, supported by contemporaneous emails, that Imbamar's intent was to shift the burden of the storage costs to Imbamar Canada for tax purposes.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R.S.C. 1985, c. E-15, ss. 169</w:t>
        </w:r>
      </w:hyperlink>
      <w:r>
        <w:rPr>
          <w:rFonts w:ascii="arial" w:eastAsia="arial" w:hAnsi="arial" w:cs="arial"/>
          <w:color w:val="000000"/>
          <w:sz w:val="20"/>
          <w:lang w:val="en-US" w:eastAsia="en-US" w:bidi="ar-SA"/>
        </w:rPr>
        <w:t xml:space="preserve">(1) and 225(1), provides registrants with tax credits in proportion to the extent to which taxable goods were acquired for consumption, use or supply in the course of the registrant's commercial activities. Importantly, these tax credits can only be claimed by the entity engaged in those commercial activities, not by that entity's agent; </w:t>
      </w:r>
      <w:r>
        <w:rPr>
          <w:rFonts w:ascii="arial" w:eastAsia="arial" w:hAnsi="arial" w:cs="arial"/>
          <w:i/>
          <w:color w:val="000000"/>
          <w:sz w:val="20"/>
          <w:lang w:val="en-US" w:eastAsia="en-US" w:bidi="ar-SA"/>
        </w:rPr>
        <w:t>Y.S.I.'s Yacht Sales International Ltd. v. R.</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2007 TCC 306</w:t>
        </w:r>
      </w:hyperlink>
      <w:r>
        <w:rPr>
          <w:rFonts w:ascii="arial" w:eastAsia="arial" w:hAnsi="arial" w:cs="arial"/>
          <w:color w:val="000000"/>
          <w:sz w:val="20"/>
          <w:lang w:val="en-US" w:eastAsia="en-US" w:bidi="ar-SA"/>
        </w:rPr>
        <w:t>, at paras. 33-49.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order for Imbamar Canada to obtain this tax benefit, it was necessary that Imbamar Canada pay for the storage itself, in the course of its own commercial activities, so that it could later obtain the benefit when it sold merchandise in Canada. Imbamar Canada could not have been working as Imbamar's agent if it hoped to obtain the tax benefit it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This conclusion is bolstered by Mr. Solar's testimony that, but for the commencement of these proceedings, Imbamar intended to transfer the Steel Rail to Imbamar Canada. He further testified that Imbamar Canada was created to conduct operations in North America and that he expected that it will do so in the future. Furthermore, both he and Mr. Bezmalinovic testified that they did not intend for Imbamar to conduct operations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KBA Canada Inc. v. Supreme Graphics Limited</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2014 BCCA 117</w:t>
        </w:r>
      </w:hyperlink>
      <w:r>
        <w:rPr>
          <w:rFonts w:ascii="arial" w:eastAsia="arial" w:hAnsi="arial" w:cs="arial"/>
          <w:color w:val="000000"/>
          <w:sz w:val="20"/>
          <w:lang w:val="en-US" w:eastAsia="en-US" w:bidi="ar-SA"/>
        </w:rPr>
        <w:t xml:space="preserve">, at para. 20, the court endorsed a strict application of the provisions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It noted that "the overriding goal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is to provide commercial certainty and predictability to personal property financing" and that "[c]ourts have been very reluctant to circumvent or modify the explicit statutory provisions through the use of extra-statutory principles of common law or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The case law has extended this strict construction or strict application to the s. 24 context: where there is a break in possession, perfection ceases, regardless of the reason for that break; </w:t>
      </w:r>
      <w:r>
        <w:rPr>
          <w:rFonts w:ascii="arial" w:eastAsia="arial" w:hAnsi="arial" w:cs="arial"/>
          <w:i/>
          <w:color w:val="000000"/>
          <w:sz w:val="20"/>
          <w:lang w:val="en-US" w:eastAsia="en-US" w:bidi="ar-SA"/>
        </w:rPr>
        <w:t>Minister of National Revenue v. Pollock</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(2000), 182 F.T.R. 92</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Canadian Imperial Bank of Commerce v. MeInitzer (Trustee of)</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(1993), 23 C.B.R. (3d) 161</w:t>
        </w:r>
      </w:hyperlink>
      <w:r>
        <w:rPr>
          <w:rFonts w:ascii="arial" w:eastAsia="arial" w:hAnsi="arial" w:cs="arial"/>
          <w:color w:val="000000"/>
          <w:sz w:val="20"/>
          <w:lang w:val="en-US" w:eastAsia="en-US" w:bidi="ar-SA"/>
        </w:rPr>
        <w:t xml:space="preserve">, at para. 142 (Ont. Ct. J. (Gen. Div. Bank.)), aff'd </w:t>
      </w:r>
      <w:hyperlink r:id="rId902" w:history="1">
        <w:r>
          <w:rPr>
            <w:rFonts w:ascii="arial" w:eastAsia="arial" w:hAnsi="arial" w:cs="arial"/>
            <w:i/>
            <w:color w:val="0077CC"/>
            <w:sz w:val="20"/>
            <w:u w:val="single"/>
            <w:shd w:val="clear" w:color="auto" w:fill="FFFFFF"/>
            <w:lang w:val="en-US" w:eastAsia="en-US" w:bidi="ar-SA"/>
          </w:rPr>
          <w:t>50 C.B.R. (3d) 79</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 strict construction of s. 24 requires that possession amounting to perfection must be "on the secured party's behalf". As of March 2011, Super H was instructed or told that future payments to it would be made by Imbamar Canada. Imbamar Canada did make those payments, but it made such payments on its own behalf. Here, Imbamar's primary position, that Imbamar Canada was paying for storage on Imbamar's behalf, cannot succeed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Accordingly, I conclude that there was a break in the continuity of Imbamar's possession in March 2011, which rendered its security interest unperfected. As the holder of a continually perfected security interest over the collateral, in the form of the July 28 Trac Chile GSA that was registered on July 29, 2010, 029 would take priority over Imbamar's interests pursuant to s. 35(1)(b)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relation to actions S116044 and S120939, I have concluded that C &amp; F was induced to enter the Trac Chile Contract based on the fraudulent representations made to it by or on behalf of Trac Chile. I have concluded that valid title in the Steel Rail did not pass from Trac Chile to Imbamar as either a good-faith purchaser or in the ordinary course of Trac Chile's business. I have also determined that Mr. Krause was not C &amp; F's agent in relation to his dealings with Imbamar or the formation of the Imbamar Contract. Accordingly, I am satisfied that the formation of the Imbamar Contract is not a bar to rescission of the Trac Chile Contract, and that C &amp; F holds title in the Steel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Imbamar's claims against C &amp; F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have said that Trac Chile paid C &amp; F $100,000 US under the Trac Chile Contract. With the rescission of the Trac Chile Contract, this amount would normally be repaid to Trac Chile. C &amp; F plans, however, to sell the Steel Rail and submits that the law permits a defrauded party to obtain both rescissionary relief and damages from the fraudulent party in order to achieve restitution. Thus in Fridman</w:t>
      </w:r>
      <w:r>
        <w:rPr>
          <w:rFonts w:ascii="arial" w:eastAsia="arial" w:hAnsi="arial" w:cs="arial"/>
          <w:i/>
          <w:color w:val="000000"/>
          <w:sz w:val="20"/>
          <w:lang w:val="en-US" w:eastAsia="en-US" w:bidi="ar-SA"/>
        </w:rPr>
        <w:t>, Contract</w:t>
      </w:r>
      <w:r>
        <w:rPr>
          <w:rFonts w:ascii="arial" w:eastAsia="arial" w:hAnsi="arial" w:cs="arial"/>
          <w:color w:val="000000"/>
          <w:sz w:val="20"/>
          <w:lang w:val="en-US" w:eastAsia="en-US" w:bidi="ar-SA"/>
        </w:rPr>
        <w:t>, at 292,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may be awarded as well as rescission. Such damages will be calculated on the basis of the loss suffered through the deceit, so as to put the injured party into the position he would have been had the fraud not occurred. This includes all losses flowing from the avoided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Still further, C &amp; F has claimed both interest and costs against the various defendants in action No. S116044.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C &amp; F's interest claim against Trac Chile is advanced under clause 3 of the General Conditions to the Trac Chile Contract which states: "If the Buyer fails to pay by the stipulated date, the Seller shall be entitled to interest at a rate equal to Euribor plus 4% p.a. from the date on which payment was due." I am satisfied that C &amp; F is entitled to interest at this contractually-stipulated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Accordingly, I consider it appropriate for C &amp; F to continue to hold the $100,000 US it was provided by Trac Chile. It will remain necessary, however, for C &amp; F to ultimately provide some accounting in relation to those funds, and to obtain some further order relating to their retention or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parties will also need to address the fact that it has been Imbamar or Imbamar Canada that has continued to pay for the storage of the Steel Rail pending the hearing of these various actions. I expect that the parties can resolve this issue as between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parties asked that I not make any cost orders until after the parties had received these Reasons and are in a position to make further submissions in relation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In action No. S122034, I have determined that the Imbamar Contract is, in substance, an unperfected security interest governed by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and that 029's perfected security interest charging the collateral set out in the Trac Chile GSA takes priority over Imbamar's interests. The rescission of the Trac Chile contract, however, renders these conclusions immaterial in so far as Imbamar and 029's security interests in the Steel Rail are concerned. I have said that 029 obtained judgment against each of Trac Canada and Trac Chile during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904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Dawson v. Gee, [2000] B.C.J. No. 154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29 - 30, December 1 - 3 and 6 - 9,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B966216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486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Gillian Dawson, plaintiff, and Kowk Yee Gee,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9" w:name="Keywords_43"/>
      <w:bookmarkEnd w:id="369"/>
      <w:r>
        <w:rPr>
          <w:rFonts w:ascii="arial" w:eastAsia="arial" w:hAnsi="arial" w:cs="arial"/>
          <w:b/>
          <w:color w:val="000000"/>
          <w:sz w:val="20"/>
          <w:lang w:val="en-US" w:eastAsia="en-US" w:bidi="ar-SA"/>
        </w:rPr>
        <w:t>Damage awards — Continuing pain (incl. myofascial and chronic pain syndrome) — Body injuries — Back — Damages — General damages for personal injury — Impairment of earning capacity — Future care and treatment — Pain and suffering, loss of amenities and other non-pecuniary damages - - Loss of wages.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0" w:name="Case Summary_41"/>
            <w:bookmarkEnd w:id="3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Dawson against Gee for damages arising from a motor vehicle accident. Liability was admitted. Dawson had back surgery four months before the accident. The issue was whether Dawson's ongoing back pain was caused by the accident or whether it was a residual symptom of her pre-existing disc herniation or back surgery. Another issue was the extent of back pain and the impact that it had on her future loss of income and future care. Dawson suffered injuries to her neck, jaw, shoulder, arm and lower back in the accident. Six months after the accident, only her back continued to be a problem. She continued to have radiating pain with pressure and burning, as well as trouble sleeping and anxiety and depression. Her back surgeon testified that she had a satisfactory recovery after her surgery and would have returned to her previous occupation as a legal assistant on a full-time basis. After the accident, she was unable to return to work full-time. At the time of trial, she worked four hours per day, five days per week. No doctor could state what specific physical problem was causing the pain. It was characterized as chronic pain, and was a combination of physical and psychological factors.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1" w:name="Holdings of Court_38"/>
            <w:bookmarkEnd w:id="37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Dawson was awarded non-pecuniary damages of $90,000, and damages for past income loss of $123,929. In addition, future income loss was assessed at $311,531, and costs for future care at $62,949. Dawson had been recovering well from the back surgery. All indications were that she would have returned to her full-time employment. The accident changed that outlook. Her activities were limited due to pain. After causation was proved, it was not relevant whether Dawson was disabled by physical or psychological factors. Future income loss was assessed as fifty per cent of her future income as a legal assistant to age 65 including pension benefits.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2" w:name="Counsel_43"/>
      <w:bookmarkEnd w:id="3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 Vecchio and J.A. Richards, for the plaintiff. D.M. Smart,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3" w:name="Judgment_43"/>
      <w:bookmarkEnd w:id="373"/>
      <w:r>
        <w:pict>
          <v:line id="_x0000_s1251" style="position:absolute;z-index:2518056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4" w:name="SATANOVE J."/>
            <w:bookmarkEnd w:id="374"/>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Dawson could be called a medical enigma. None of the medical experts who have treated her, or examined her independently at the request of the defence, can state definitively the medical cause for her pain. However, all of them agree that she suffers from lower back pain which is disabling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cause of Ms. Dawson's back pain is complicated by the fact that four months prior to the motor-vehicle accident on September 8th, 1996 for which she has sued the defendant, Ms. Dawson had undergone surgery for a disc herniation in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has admitted he was at fault for the accident, but in order for Ms. Dawson to succeed in this law suit she must prove that it was more likely than not that her injuries, particularly the lower back pain, were caused by the accident, and were not a residual symptom of the pre-existing herniation 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Secondly, she must establish the extent to which she suffered from back pain and is likely to suffer in the future. This will impact on both the general damages to which she is entitled and the measure of her future loss of income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Around noon on September 8th, 1996 Ms. Dawson was travelling west on Elmridge Road through the intersection of Elmridge and Gilbert Road in Richmond. The defendant was travelling north on Gilbert Road and drove straight through the red light into the driver's side of Ms. Dawson's vehicle. Ms. Dawson testified that she was pressed back into the seat and felt her muscles "spasm" in her back and left leg. She hit her head on the doorpost. She had a lot of immediate pain and was afraid to move her left shoulder, arm, leg and low back. The chief complaint was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Dawson suffered injury to her neck, jaw, shoulder, arm, and lower back. Her neck and jaw were better after a couple of weeks. The shoulder and left arm took about six months to get better. During the first six months she spent a lot of time lying down, resting and seeing doctors. Only her back remained problematic after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described her pain at the time of trial as radiating from the lower back down. When the pain is intense, she cannot move and her back gets swollen around the incision area. She feels a lot of pressure and a constant burning. To relieve the pain she undergoes physiotherapy, takes pain killers and has bed rest. Flare-ups happen about once or twice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still has trouble sleeping. She had no anxiety or depression before the accident. Now she says she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oral submissions, defence counsel conceded that Ms. Dawson suffered significant injuries from the accident, but took the position that all injuries relating to the accident had cleared up within six to nine months. He submitted that any symptoms after that were due to the after effect of the surgery she underwent in June,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Plaintiff's counsel called evidence from Dr. Redekop, Dr. Anton, and Dr. Gibson to establish that Ms. Dawson's chronic back pain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Redekop was the surgeon who performed the discectomy on Ms. Dawson's back four months before the accident. He saw her on nine different occasions between June, 1996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Redekop opined that Ms. Dawson had a very satisfactory recovery after her surgery and would have returned to her previous occupation as a legal assistant on a full time basis. She would have been able to resume all her previous home and vocational pursuits. However, as a result of the accident on September 8th, 1996 she has had a significant aggravation of low back pain. She suffered a soft tissue, musculoligamentous strain that evolved into a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cross-examination, Dr. Redekop admitted there was no obvious factor he could point to directly to attribute Ms. Dawson's symptoms. Nothing was concretely visible, except her pain and restricted flexion. He admitted that he could find no objective neurological abnormality. His expectation would have been that she would have recovered from her musculoligamentous injuries gradually, most commonly within four to six months. Her injuries were longer lasting than he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said she had minor bulging at L4 - L5 which was a possible, but not likely cause of her pain. Similarly he could not rule out the effect of scar tissue from the surgery, but stated that this was not an obvious cause. He agreed there was a psychological aspect to her symptoms, but in his view she had not been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Anton was a physiatrist retained by plaintiff's counsel to advise him on the cause and extent of Ms. Dawson's injuries. Dr. Anton opined that Ms. Dawson had suffered injuries to the soft tissues of the cervical spine, shoulder girdle, chest and lumbar sacral spine in the accident. In his view the residual effects of these soft tissue injuries to the low back, and her de-conditioning rendered her back more vulnerable to mechanical stress and reported scar tissue. In other words, her vulnerability from the surgery, healing, and significant period of reduced activity likely predisposed her to back injury and to prolonged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agreed that persistent scar tissue from the discectomy was a plausible factor but pointed out that most people have scar tissue after a discectomy without suffering any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Anton also opined that causation was complicated by Ms. Dawson's psychological reaction which amplified her perception of pain and further exacerbated the situation. He did not agree that Ms. Dawson's psychological state was a consequence of the injury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cross-examination Dr. Anton agreed that most patients would have improved more than Ms. Dawson, but he did not believe that she was malingering or consciously exaggerating her pain. He had not ruled out litigation stress as a factor, but said it was difficult to prove or disprove.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Gibson was Ms. Dawson's family practitioner. He saw her the day after the accident. He noted decreased neck and back movements with tension in all muscle groups. He treated her symptomatically for discomfort in her jaw, neck, back and leg muscles, and tingling and pain in her left arm, ribs and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returned in October with varying symptoms of pain, restricted of mobility, inability to sit for long periods and difficulty sleeping. He referred to her Dr. Redekop.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Dr.Gibson's opinion as at February 24th, 1997 was that Ms. Dawson had suffered a moderate to severe musculoligamentous strain to her neck and back as a direct result of the accident. He hoped she would recover but could not say whether recovery would be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July 19, 1999 his opinion was that she was suffering from chronic low back pain subsequent to the accident. Previous to the accident, she was almost fully recovered. The chronic pain had contributed greatly to her anxiety and depression. Prognosis was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trial, Dr. Gibson testified that the accident exacerbated Ms. Dawson's post-discectomy symptoms. In his view she had no serious psychiatric or psychological problems. He never observed any malingering or exaggeration. She was not clinically depressed. Physical discomfort was her disabling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cross-examination he admitted that there was always an overlap of psychological factors involved, but he believed Ms. Dawson's problems were physical, not mental.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Nancy Buchan, physiotherapist, was not qualified to opine on the cause of Ms. Dawson's back injury, but she was able to make objective findings of Ms. Dawson's condition. She observed that Ms. Dawson had flare-ups with lateral shifting to the left. Lateral shifting was a muscle spasm which prevented movement. The muscle would go rock hard and cause the spine to curve. Ms. Buchan testified that such a spasm could not be "fudged".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called Dr. Bratty, neuro-surgeon, to testify as to the cause of Ms. Dawson's injuries. I was disappointed with Dr. Bratty as a witness. He was ill prepared, argumentative, and inconsistent in his testimony. I have respect for his credentials and his years of experience, but he managed to erode seriously my respect for him by the end of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theory appeared to be that there were two factors to Ms. Dawson's pain: a physical factor caused by the operation, and a psychological factor caused by stress. However, his explanation for saying there was a "psychological overlay" to her pain was that he drew the inference from his observations that there was no physical reason for the pain, therefore it must be psychological.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agreed that scarring was not a factor and that there were no neurological signs or symptoms. He agreed that her pain was linked with musculoskeletal mechanisms not related to the surgery or the surgical site. He agreed that he had no reason to believe that her back was weak because of the surgery and that the repair process was almost complete by the time of the accident. He admitted that Ms. Dawson's back would have improved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agreed that Dr. Redekop was the best person to predict the surgical outcome and that Dr. Gibson for whom he had respect, knew his patient better than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short, Dr. Bratty blamed "stress" as causing Ms. Dawson's back pain, but I could find no evidentiary basis to support this opinion. The stressful things she had told him about were either old history or ordinary things in a person's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not necessary to go into further detail about Dr. Bratty's reports or opinions. I, like Dr. Bratty, will defer to the opinions of Drs. Redekop, and Gibson, both of whom impressed me as professional, detached and reliable witnesses. Their evidence, combined with the evidence of Dr. Anton, who also impressed me as a knowledgeable, reliable witness, has satisfied me on a balance of probabilities that the accident was the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argued that psychological factors were a cause of at least some of the symptoms and therefore the plaintiff had to meet the test of showing that "her psychological problems have their cause in the defendant's unlawful act, rather than in any desire on the plaintiff's part for things such as care, sympathy, relaxation, or compensation, and also that the plaintiff could not be expected to overcome them by her own inherent resources, or 'will-power'." (Maslen v. Rubenstein </w:t>
      </w:r>
      <w:hyperlink r:id="rId910"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(B.C.A.C.)).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evidence established that Ms. Dawson likely had made and would continue to make a genuine, sincere effort to recover fully and that she was not motivated by a desire for "care, sympathy, relaxation or compensation", either consciously or subconsciously.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also argued that the plaintiff could not establish causation simply by demonstrating that her symptoms occurred after the accident. If that is how the defendant's counsel understood the expert medical evidence, then he has taken an overly simplistic view of it. He suggested this theory to Dr. Rekekop in cross-examinaton and Dr. Redekop agreed it seemed logical, but this was not the sole basis for Dr. Redekop's opinion that the accident caused the plaintiff's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would be remiss, on the facts in this case of alleged tortious and non-tortious causes, not to refer to the Supreme Court of Canada decision of Athey v. Leonati </w:t>
      </w:r>
      <w:hyperlink r:id="rId9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clarified, hopefully once and for all, the following principles:</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prove that the defendants tortious conduct caused or contributed materially to the plaintiff's injury.</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circumstances an inference of causation may be drawn from the evidence without positive scientific proof.</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does not have to show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plaintiff has shown, on a balance of probabilities, that the defendant's tortious conduct likely contributed materially to the plaintiff's injury, then this past event has been proved to a certainty and there can be no apportionment between this tortious cause and any existing non-tortious causes of the injury.</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non-tortious cause appears to have played more than a speculative role in the injury of the plaintiff, then the court should assess how the plaintiff's original position would have been affected in the future by this non-tortious cause.</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assessment of a future event need not be proven on a balance of probabilities: it is given weight according to its relative likelihood and the plaintiff's loss may be discounted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there was no reliable evidence before me to indicate a measurable risk that Ms. Dawson would have suffered disabling back pain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I have not reduced Ms. Dawson's award to reflect any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Degree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Ms. Dawson submitted that Ms. Dawson was permanently, partially disabled as a result of her injuries. Counsel for the defendant submitted that Ms. Dawson was overstating her disability, not because she was dishonest, but because she mistakenly perceived her own abilities. He submitted that her prognosis was for a good, if not total recovery and her residual disability would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expert, Dr. Hamm, an Occupational Health Physician, testified that she could not meet the physical activities of her previous occupation as a legal assistant due to her limitation in sitting and standing and her pain related limitation of her activity. Her maximum medical improvement had likely been reached and he did not expect her to achieve a significantly greater level of functional activity. He suggested that pain management rehabilitation would enable her to achieve maximum functional recovery and pain tolerance, but she was not currently capable of working competitively at a full time schedule in her previous occupation. She was capable of modified work, that is, working reduced hours and avoiding prolonged sitting postures.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Anton, the Physiatrist, also testified with respect to this issue. He explained that the role of a physiatrist is to assess an individual's suitability for employment in a general way. He measured function, not specific medical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Dr. Anton's opinion, Ms. Dawson was going to have some degree of chronic pain indefinitely. Once pain has been present for more than a year, in the absence of a specific curable cause, the probability for resolution of the pain is small. If her exercise program were optimum, her pain would improve but not resolve. If compounding factors like psychological distress and depression were effectively treated, it was likely that her overall function would improve even if her pain did not. In his view it was more realistic for her to pursue some type of self-employed work rather than relying on the understanding and support of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called expert evidence from Min Kyi, an Occupational Therapist. In his report of May 11th, 1999, Mr. Kyi opined that Ms. Dawson's self reporting of pain and disability showed some degree of symptom magnification. He explained that symptom magnification meant that she was physically capable of somewhat more at times than she currently stated or perceived. Therefore, more emphasis should be placed upon an objective finding of her ability than upon her subjective reports. His conclusion was that Ms. Dawson was capable of work in the sedentary and light strength categories and that she was physically capable of her pre-injury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September 29th, 1999 report Mr. Kyi conceded that the plaintiff had some level of residual pain and limitation related to her low back injury, but stated that the limitation was not excessive and she matched the required sitting, standing, strength and body mobility criteria required of legal secretaries.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his testimony in court Mr. Kyi resiled somewhat from his emphasis on symptom magnification which appeared in his written reports. He said that Ms. Dawson gave an overall good effort while he tested her. All symptom magnification meant was that she was "a little bit more cautious than necessary", but that this was relatively normal in patients with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cross-examination he agreed that Ms. Dawson tried hard and that the test was representative of her capacity. Symptom magnification was a point to consider in working out where she goes from here, but he didn't know if this was a major concern. He also conceded that his assessment of her condition was formed at the moment he was assessing her. It was not within his expertise to assess whether her impairment was permanent or would be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stated at the outset, Ms. Dawson's condition is somewhat of an enigma. Perhaps we expect too much certainty from medical science which, in a case like this, is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reasonably certain from the evidence that Ms. Dawson was not malingering or exaggerating her condition, nor was she consciously restraining herself from exhibiting a greater degree of physical ability. She made a reasonably valid effort during all her independent medical examinations. No one suggested she was "faking it" although the suggestion from Mr. Kyi and from her own neuro-surgeon, Dr. Redekop, was that she may perceive herself less able to cope than she is physically able to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view, once causation has been proven, it is not legally relevant whether a victim of a tortfeasor is disabled due to physical or psychological factors, or a mixture of both. If a plaintiff takes longer to recover, or never recovers as expected due to some psychological flaw in her personality of which she is not conscious, this should not lessen the defendant's liability. It is part of the plaintiff's "thin skull" and should not affect the compensation to which she is entitled. (Yoshikawa v. Yu </w:t>
      </w:r>
      <w:hyperlink r:id="rId91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(B.C.C.A.),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Therefore, I accept Dr. Hamm's guarded prognosis over Mr. Kyi's more optimistic assessment. Mr. Kyi has concentrated on Ms. Dawson's physical abilities only, whereas Dr. Hamm has taken a more comprehensive approach and has considered her psychological state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Dawson testified that prior to her back problems she enjoyed cycling, tennis, skating, gardening, volunteering and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her back surgery she had recovered to the point of doing light gardening, some housework, playing tennis a couple of times and starting to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motor vehicle accident she was unable to do any of these activities. At present, she is able to do a little gardening but avoids cycling, ice skating, and anything which requires her to sit for a long time. She finds she cannot travel with her husband because of the difficulty sitting in the plane for a long time. Her husband works for Canadian Air and one of his employment perquisites is that he is able to travel for a fraction of the cost of the general public. She has been doing some volunteer work for her daughter's high school and the family's church, but she has been unable to door-to-door canvass or fundraise to the extent she used to before the accident. She walks for one hour about three days a week as a form of therapy. Before the accident she used to walk five days a week for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still suffers from flare-ups in her back when she cannot do anything except lie in bed. She suffers from anxiety and a feeling of depression, which she did not have before the accident. She testified that in the past she had always coped well with stress and had never let it get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Her husband and son testified that before the accident Ms. Dawson was a normal, active person. Post surgery she was making an excellent recovery, looking forward to returning to work and being active again. After the accident she has slowed down in every respect. She is frustrated, depressed and has "aged". Mr. Dawson testified that before the accident they used to share everything, but now he spends up to ten hours per week doing housework and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case authorities suggested that a reasonable range for non-pecuniary damages for Ms. Dawson's injuries be between $80,000 and $110,000. In my view, a reasonable award for Ms. Dawson under this head of damages is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Dawson has been employed by Davis &amp; Company as a legal secretary (and sometimes a legal assistant) since 1983. The evidence established on a balance of probabilities that if it were not for the accident, Ms. Dawson would have returned to work at Davis &amp; Company by October 15th, 1996. Due to her injuries she was unable to return to Davis &amp; Company or find other suitable work until May 3rd, 1999. She started part-time work at three hours a day for five days a week. At the time of trial she was working four hours a day for three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actuarial evidence established that Ms. Dawson's past income loss was $123,929.00. This quantum was not disputed by the defendant and was based on the factual evidence provided by Ms. Montaghue, the manager of Human Resources at Davis &amp; Co. Therefore, I award Ms. Dawson the sum of $123,929.00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found on the evidence that Ms. Dawson likely has a real and permanent partial disability which will prevent her from working full-time at Davis &amp; Company or at any other form of similar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Montaghue testified that but for the accident, Ms. Dawson would have had full-time work at Davis &amp; Company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Therefore, in the circumstances of this case, the best measure of Ms. Dawson's future income losses was the difference between what she would have earned as a legal secretary or legal assistant at Davis &amp; Company, including pension benefits, for the next twenty-two years and what she will likely earn in her reduced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From my consideration of all the evidence I find it reasonable to award Ms. Dawson fifty percent of what her future income (including pension benefits) would have been, but for the accident. The actuarial evidence indicated that the present value of this amount was $290,738.00 wages plus $20,793.00 pension benefits. Accordingly, I award her the amount of $311,531.00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Dawson claimed for supervised rehabilitation, a Transcutaneous Electrical Nerve Stimulation ("TENS") machine, pain clinic fees and certain treatment and appliances recommended by Mr. Kyi. She also claimed the sum of $48,902.00 for household maintenance. This latter figure represented the present value of three hours of home care assistance per week at a rate of $15.00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need for the above items was supported by the evidence, except that the Pain Clinic fees appeared to be in the range of $10,000.00, not $20,000.00 as claimed. I award Ms. Dawson the sum of $62,949.00 under this head of damages broken down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209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Supervised rehabilitation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TENS machine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2927"/>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Clinic</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4287"/>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Recommendation of Mr. Kyi</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762.00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496"/>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Household maintenance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48,902.00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$62,949.00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These have been agreed upon between counsel as $2,379.00.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Ms. Dawson is entitled to the following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927"/>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123,929.00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2823"/>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311,531.00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62,949.00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3137"/>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2,379.00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$590,788.00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Dawson is entitled to court order interest on her 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Subject to the Rules of Court, she is entitled to her party/party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Diamond 11 Excavating and Demolition Ltd. v. Dhunna, [2018] B.C.J. No. 6908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15-19, 22 and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S193749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C.L.R. (4th) 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3396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Diamond 11 Excavating and Demolition Ltd., Plaintiff, and Rakesh Dhunna and Symphony Homes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5" w:name="Keywords_44"/>
      <w:bookmarkEnd w:id="375"/>
      <w:r>
        <w:rPr>
          <w:rFonts w:ascii="arial" w:eastAsia="arial" w:hAnsi="arial" w:cs="arial"/>
          <w:b/>
          <w:color w:val="000000"/>
          <w:sz w:val="20"/>
          <w:lang w:val="en-US" w:eastAsia="en-US" w:bidi="ar-SA"/>
        </w:rPr>
        <w:t>Construction law — Contracts — Breach — By contractor — Delay — No time specified for completion — Action by plaintiff for contract price plus extras allowed in part — Counterclaim by defendants for damages incurred as result of plaintiff's over-excavation and delay dismissed — Plaintiff completed 85 per cent of demolition and excavation work on two properties before contract was terminated — Extras claimed were not properly chargeable as extras to contract — There was no compensable delay — Defendants had not established they incurred damages due to plaintiff's over-excavation — Plaintiff was entitled to $50,960 outstanding on contract price, after deducting $1,540 more than contract price defendants paid to complete plaintiff's work.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Payment — Quantum meruit claims — Extras — What constitutes — Action by plaintiff for contract price plus extras allowed in part — Counterclaim by defendants for damages incurred as result of plaintiff's over-excavation and delay dismissed — Plaintiff completed 85 per cent of demolition and excavation work on two properties before contract was terminated — Extras claimed were not properly chargeable as extras to contract — There was no compensable delay — Defendants had not established they incurred damages due to plaintiff's over-excavation — Plaintiff was entitled to $50,960 outstanding on contract price, after deducting $1,540 more than contract price defendants paid to complete plaintiff's work.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In contract — Type of contract — Construction and building — Action by plaintiff for contract price plus extras allowed in part — Counterclaim by defendants for damages incurred as result of plaintiff's over-excavation and delay dismissed — Plaintiff completed 85 per cent of demolition and excavation work on two properties before contract was terminated — Extras claimed were not properly chargeable as extras to contract — There was no compensable delay — Defendants had not established they incurred damages due to plaintiff's over-excavation — Plaintiff was entitled to $50,960 outstanding on contract price, after deducting $1,540 more than contract price defendants paid to complete plaintiff's work.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6" w:name="Case Summary_42"/>
            <w:bookmarkEnd w:id="3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the contract price plus extras. Counterclaim by the defendants for damages incurred as a result of the plaintiff's over-excavation and delay. The plaintiff performed demolition and excavation work on two properties after the defendant owner accepted the quote of $75,000 for each property. The contracts did not have a completion date. The plaintiff claimed extra work on the properties that totaled $126,780. The parties disputed whether the plaintiff's work was delayed by weather and garbage from other contractors. The plaintiff over-excavated one property, which required several loads of crushed gavel to refill and a revised building plan. The defendants terminated the plaintiff's contract for delay. They denied agreeing to any extras. They had paid the plaintiff $75,000. They agreed the plaintiff completed 85 per cent of the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7" w:name="Holdings of Court_39"/>
            <w:bookmarkEnd w:id="377"/>
            <w:r>
              <w:rPr>
                <w:rFonts w:ascii="arial" w:eastAsia="arial" w:hAnsi="arial" w:cs="arial"/>
                <w:color w:val="000000"/>
                <w:sz w:val="20"/>
                <w:lang w:val="en-US" w:eastAsia="en-US" w:bidi="ar-SA"/>
              </w:rPr>
              <w:t>HELD: Action allowed in part;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entitled to be compensated for extras. The extras claimed were not properly chargeable as extras to the contract. The defendants were not entitled to be compensated for delay. It was not appropriate to fix a reasonable completion date. The parties, from their conduct, demonstrated they did not anticipate completion within set time. There was no compensable delay. The defendants had not established they incurred damages due to the plaintiff's over-excavation. The plaintiff was entitled to $50,960 outstanding on the contract price, after deducting $1,540 more than the contract price the defendants paid to complete the plaintiff's work.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8" w:name="Counsel_44"/>
      <w:bookmarkEnd w:id="3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Baylis.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Shields.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9" w:name="Judgment_44"/>
      <w:bookmarkEnd w:id="379"/>
      <w:r>
        <w:pict>
          <v:line id="_x0000_s1255"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Paramjit Hothi, Manager of the Plaintiff Diamond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Gurdeep Kainth, Principal of the Defendant Symphony Homes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Mr. Rakesh Dhunna, Owner of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EXTRAS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AMOUNT DUE TO THE PLAINTIFF ON THE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INCURRED BY THE DEFENDANT DUE TO OVER-EXCAVATION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0" w:name="B. BROWN J."/>
            <w:bookmarkEnd w:id="380"/>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Diamond 11 Excavating and Demolition Ltd. ("Diamond 11"), is a demolition and excavation contractor. It claims for the contract price plus certain extras that it says were agreed to by the defendants, Rakesh Dhunna and Symphony Homes Ltd. ("Symphony Homes"), with respect to two properties: one at 830 King Georges Way in West Vancouver, and the other at 1430 Bramwell Road in West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it completed substantially all of the contract work and undertook significant extra work at the defendants'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filed a builders' lien claim against the Bramwell Road property in the amount of $230,737.50 and against the King Georges Way property in the amount of $65,636.50. It claimed judgment against the defendant Mr. Dhunna, the owner of the properties, in the amount of $296,374 or alternatively, judgment against the defendant Symphony Homes in that amount; a declaration of lien; and costs. In the further alternative, the plaintiff sought judgment against the defendants in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for the value of the work and other services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say that the plaintiff performed only some of the required services before the defendants terminated the contracts due to the plaintiff's delay. With respect to the 1430 Bramwell Road property, the plaintiff excavated too deeply. It had to fill the over-excavation and delayed construction for months. With respect to the King Georges Way property, the defendants say the plaintiff did not complete the contract work. The defendants say that the plaintiff caused additional costs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counterclaim for costs incurred as a result of over-excavation, funds paid for removal of drywall, carrying costs on the property purchases, changes to plans and extra cost for construction and demolition.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provided two identical quotes for the work to be done at 830 King Georges Way and 1430 Bramwell Road. They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Scope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Demolition of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Removal of all debris and demolition material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Removal of all hedges, trees, roots and tree stump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Stripping foundation and slab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Complete excavation work 11.5 fee below main floor elevation mark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House and garage digging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Dirt hauling away includes trucking and dump fee and excavating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Drain tile and rainwater leader connection with city and 36" sump and sump &amp; patio sump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Sanitary connection with 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Storm connection with 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damp proofing and delta MS membrane included in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Rock pitt included in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Backfilling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Garage digging and backfilling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Blasting not included in this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Water service line is owners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Gravel and sand included in price (for inside of house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Price $75,000.00 + GST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Landscaping job -- owners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call Parm as confirmation of acceptance of the quote as stated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These quotes were accepted by the owner of the properties, Mr. Dhunna.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Paramjit Hothi, Manager of the Plaintiff Diamond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Paramjit Hothi testified on behalf of the plaintiff. He is the manager of the plaintiff. He has been in the demolition and excavation business since 2004. He inspected the site before he provided the quote. There was an old house on each of the properties. Diamond 11 would demolish the houses and take the materials to the dump. The foundation and footings for the new houses were to be 11.5 feet below the main floor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Hothi conceded that the work on the two properties could have been completed (in normal circumstances) in four months. However, he maintained that there was no timeframe or deadline for completion of their work and there were reasons, beyond the control of the plaintiff, for the time it took to complete the work on the projects. These included:</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Excavation could not start until the defendants obtained a building permit. On Bramwell Road the building permit was received in September 2016, and on King Georges Way in approximately mid April 2016.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weather problems at the Bramwell Road property. The property was high in West Vancouver. Snow and ice delayed them in November and December 2016.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Garbage and materials from other contractors at both sites delayed them in back filling and in spreading gravel inside the foundations.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not made arrangements with the City of West Vancouver for sanitary and sewer connections so the plaintiff could not complete this aspect of its work.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steepness of the Bramwell Road property meant that the work proceeded more slowly than normal.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Excavating to hardpan on Bramwell Road required removal of more than 100 loads of dirt and replacement with clear crush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provided invoices to the defendants after it left both sites on or shortly after April 27, 2017 after receiving a letter from Symphony Homes'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King Georges Way property, the plaintiff charged $75,000, the contract price. The plaintiff also charged as extras: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Stripping drywall by hand, hauling away, including stump fee, machine time, loading drywall, $18,000;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Gravel under the garage, $2,250;</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extra dirt, $12,000;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Machine time loading dirt, 24 hours charged at $125 per hour, $2,880.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total, the plaintiff invoiced $115,636.50. The plaintiff acknowledges that it has been paid $75,000 and says that there is a balance owing on the King Georges Way property of $40,636.50.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Bramwell Road property, the plaintiff invoiced the defendant $75,000, on the contract price. As extras the plaintiff invoiced:</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Hauling away, including dump fee for drywall and machine time loading drywall, $12,000;</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Three-quarter clear crush gravel, 110 loads, $49,500;</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60 load dirt hauling away, $18,000;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Extra digging and loading, machine time, 50 hours charged at $125, $6,250;</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Gravel spitting, $4,000;</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Rental of gravel compactor for 30 days, $1,500;</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Delivery compactor (charged at $200 per delivery X 2),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total charge for Bramwell Road was $230,737.50. The plaintiff acknowledges that there is an error in this invoice. $53,100 was billed in error which is to be deducted. The GST would also be reduced accordingly.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Gurdeep Kainth, Principal of the Defendant Symphony Homes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Gurdeep Kainth testified that he is principal of Symphony Homes. His family has been in the construction industry since 1981. They work in Metro Vancouver. His company was engaged by Mr. Dhunna to act as general contractor on the projects on both sites. They put out the tender for services and engaged the trades. Some were retained directly by Mr. Dhunna such as the plaintiff. Mr. Kainth or his site supervisor was at the site daily. Mr. Hothi was there rarely.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Kainth testified that the defendants expected the work to be done on both properties within three to four months at the outside. He disputed Mr. Hothi's reasons for a longer time to complete. He said:</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requirement for a building permit before starting excavation.</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Snow and ice did not delay the plaintiff at Bramwell Road. Excavating can take place even if the ground is frozen.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garbage from the other contractors did not delay the plaintiff. The garbage was normal construction debris and was picked up daily. Had the plaintiff proceeded expeditiously with its work it would have had its work completed before other contractors arrived. Mr. Kainth said he warned the plaintiff repeatedly to get on with its work before the framer arrived. Finally the defendants had no choice but to proceed with the framing even though the plaintiff had not completed its work and framing would make the plaintiff's job more difficult.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sanitary and sewer hookups did not cause any significant delay to the plaintiff. The plaintiff could have completed all of its other work.</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accept that the steepness of the Bramwell Road property added to the time to complete the projects beyond three to four months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required to excavate to the hardpan on the Bramwell Road property. There is no need to reach hardpan. There was no discussion about excavating to hardpan. Rather, from his attendance at the property he wondered why the plaintiff was going so deep. He talked to Mr. Harnek Hothi, the plaintiff's employee who was most often at the site. He realized that Mr. Harnek Hothi was not using the laser level correctly. Mr. Kainth called a surveyor who then spoke with Mr. Harnek Hothi about the over-excavation. Mr. Harnek Hothi phoned his brother, Mr. Paramjit Hothi, from the site. Mr. Kainth overheard him say "I think we made a mistake and went too deep".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Kainth called an engineer to decide how to correct the over-excavation. Ultimately several loads of crushed gravel were used to refill the over-excavation under the house on the Bramwell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Harnek Hothi also excavated under one of the garages at Bramwell Road. That garage was to be left at grade level. Instead of doing that, Mr. Harnek Hothi excavated under that garage to the same level as the rest of the basement. This caused issues. The defendants addressed the problem by enlarging the basement of the house, placing a media room under the garage. The defendants were required to put in structural materials. There was extra cost in framing and rebar. They also had to obtain new building plans which took time and money. There were extra construction costs for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while the plaintiff was to be working on the Bramwell Road property the plaintiff took on work for the neighbouring property. The plaintiff raised the backyard, put in retaining walls and stairs on that property. Dirt from the Bramwell Road property was used as fill on that property. The plaintiff was able to complete that project because it had access to the next-door neighbour's backyard through the Bramwell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Ultimately, the defendants felt that they had no choice but to terminate the plaintiff because of delay. On March 27, 2017, Mr. Kainth gave notice to the plaintiff asking for a written schedule to complete outstanding work. He provided a list of work to be completed on each site, saying "the above listed site work must be completed on or before 31 March 2017. Failure to do so will result in back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removed its machines and left the site on or shortly after receiving a letter dated April 27, 2017 from Symphony Homes' solicitor demanding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Mr. Rakesh Dhunna, Owner of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Rakesh Dhunna testified that he is in the construction business. He has built approximately 50 homes. He bought these properties in late 2015 or early 2016. He is in the business of building spec homes. He also has built high-rise condominiums in Edmonton. Financing was required to purchase the properties and for construction. He used the Alberta Treasury Branch. He also put in equity of about 25%. His financing expenses have been increased because of the plaintiff's delay. With every month his costs have increased because of the two builders' liens. The banks have put that money aside and he has had to borrow that elsewhere. Builders' liens will also cause delays regarding the sale of the property. The Alberta Treasury Branch wants their loan repaid. He expected both jobs to be done. He did not agree to any extras. There was no discussion about extras and there was no discussion of hardpan. The plaintiff was supposed to excavate 11.5 feet and instead went below. After he learned of the over-excavation, he phoned Mr. Paramjit Hothi, who said "don't worry about it, we will fix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Excavation never went smoothly on the sites. He was there every two weeks. Paramjit Hothi was rarely there. Most of the time it was Mr. Hothi's brother who was there. Sometimes there was no progress. He phoned and Paramjit Hothi said they would be there. Mr. Dhunna did not expect him to work on the project next door but the plaintiff spent about two months working on the project next door. They used the Bramwell property for access. At the same time they were working on the Bramwell property, but very little. He expected three to four months maximum for the plaintiff to complete both projects. Ultimately, the plaintiff was terminated because it was not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was hoping that both houses would be completed by September 30, 2018. He was asked in cross-examination as to whether the extra 460 square feet under the garage at Bramwell Road made the house more valuable. He said the basement is never as valuable. He did not consider the Bramwell Road house to be more valuable. The present assessed value of the property is around $8 million. He paid $6.8 million plus closing costs. Costs of construction are $2.5 to $3 million. He had hoped to sell during the real estate the boom. He tried to accelerate the contract but high-end homes cannot be rushed especially toward the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argues that it completed 85% of its contracted work. The contracts totalled $150,000. It received $75,000 leaving $58,875 (plus GST) due on the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also seeks extras as detailed in its invoices in total $35,130 for King Georges Way and $91,650 for Bramwell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dispute the extras claimed by the plaintiff. They say that these amounts were either included in the contract price, e.g., drywall removal, or were not agreed to by the defendants but were the result of an error by the plaintiff, such as the over-excavation after Bramwell Road. In any event, they say that the plaintiff's evidence of the cost of these extras is deficient and does not prove the amounts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say that given the plaintiff's failure to provide the Delta MS Membrane Certificate, failure to deliver copies of City inspections confirming its work had passed, and its failure to complete the contract work they should not receive any further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counterclaim the defendants argue that the work should have been finished by the end of August 2016, or at the latest by mid October 2016. Instead, the work was still not completed when the defendants terminated the contract and the plaintiff removed its equipment from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 result of the delays and the failure to complete work, the defendant Dhunna seeks additional costs for professionals and contractors; additional cost for concrete and other products and services; and additional cost of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say that the following expenses were incurred to complete the plaintiff's work. Regarding King Georges Way, the defendants say machine delivery, removal of 18 loads of rock, backfilling, three loads of sand and 12 hours of compacting, totals $9,440. With respect to Bramwell Road, the defendants say the excavator delivery, excavation and backfilling, machine delivery, dirt delivery, excavator hours, and truck hours totals $14,600.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Dhunna seeks an award of six months of extra carrying charges. He says the work should have been finished by at latest mid October 2016 but was still not by April 2017 when they left the site. This is approximately six months delay. He seeks $276,283 in interest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Dhunna also seeks additional costs incurred because the plaintiff excavated under the garage at the Bramwell Road property. The plan showed that the garage was to be built, as was the existing garage, at grade level. Instead, the plaintiff excavated below the garage. The defendants decided to rectify the problem by expanding the house and create a media room under the garage. As a result they incurred extra expenses which they quantify at $37,054.28.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two main issues: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agree to "extras" for which the plaintiff should be compensated?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improperly delay completion of its work entitling the defendants to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not persuaded that the plaintiff is entitled to be compensated for extras or that the defendants are to be compensated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Extras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law with respect to a claim for extras is summarized by Madam Justice Levine in </w:t>
      </w:r>
      <w:r>
        <w:rPr>
          <w:rFonts w:ascii="arial" w:eastAsia="arial" w:hAnsi="arial" w:cs="arial"/>
          <w:i/>
          <w:color w:val="000000"/>
          <w:sz w:val="20"/>
          <w:lang w:val="en-US" w:eastAsia="en-US" w:bidi="ar-SA"/>
        </w:rPr>
        <w:t>Kei-Ron Holdings Ltd. v. Coquihalla Motor Inn Ltd.</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[1996] B.C.J. No. 1237</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cases employ different wording and approach the problem of extras from different angles, but share common underlying principles. In determining liability for the cost of extra work, the first question to be answered is whether the work performed was, in fact, extra work; that is, it did not fall within the scope of work originally contemplated by the contract. If so, did the owner give instructions, either express or implied, that the work be done or was the work otherwise authorized by the owner? Next, was the owner informed or necessarily aware that the extra work would increase the cost? Finally, did the owner waive the provision requiring changes to be made in writing or acquiesce in ignoring these provisions? If the plaintiff can establish these elements, the defendant is liable to pay a reasonable amount for the extra work. These elements must be proved with respect to each extra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to compensation for "extras", the British Columbia Court of Appeal discussed the issue in </w:t>
      </w:r>
      <w:r>
        <w:rPr>
          <w:rFonts w:ascii="arial" w:eastAsia="arial" w:hAnsi="arial" w:cs="arial"/>
          <w:i/>
          <w:color w:val="000000"/>
          <w:sz w:val="20"/>
          <w:lang w:val="en-US" w:eastAsia="en-US" w:bidi="ar-SA"/>
        </w:rPr>
        <w:t>Infinity Steel Inc. v. B &amp; C Steel Erectors Inc.</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2011 BCCA 215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Infinity Steel</w:t>
      </w:r>
      <w:r>
        <w:rPr>
          <w:rFonts w:ascii="arial" w:eastAsia="arial" w:hAnsi="arial" w:cs="arial"/>
          <w:color w:val="000000"/>
          <w:sz w:val="20"/>
          <w:lang w:val="en-US" w:eastAsia="en-US" w:bidi="ar-SA"/>
        </w:rPr>
        <w:t xml:space="preserve">]. At para. 12 of </w:t>
      </w:r>
      <w:r>
        <w:rPr>
          <w:rFonts w:ascii="arial" w:eastAsia="arial" w:hAnsi="arial" w:cs="arial"/>
          <w:i/>
          <w:color w:val="000000"/>
          <w:sz w:val="20"/>
          <w:lang w:val="en-US" w:eastAsia="en-US" w:bidi="ar-SA"/>
        </w:rPr>
        <w:t>Infinity Steel</w:t>
      </w:r>
      <w:r>
        <w:rPr>
          <w:rFonts w:ascii="arial" w:eastAsia="arial" w:hAnsi="arial" w:cs="arial"/>
          <w:color w:val="000000"/>
          <w:sz w:val="20"/>
          <w:lang w:val="en-US" w:eastAsia="en-US" w:bidi="ar-SA"/>
        </w:rPr>
        <w:t xml:space="preserve">, the Court adopted the reasons of the Saskatchewan Court of Appeal in </w:t>
      </w:r>
      <w:r>
        <w:rPr>
          <w:rFonts w:ascii="arial" w:eastAsia="arial" w:hAnsi="arial" w:cs="arial"/>
          <w:i/>
          <w:color w:val="000000"/>
          <w:sz w:val="20"/>
          <w:lang w:val="en-US" w:eastAsia="en-US" w:bidi="ar-SA"/>
        </w:rPr>
        <w:t>CH2M Hill Energy Canada Ltd. v. Consumers' Co-operative Refineries Ltd.</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2010 SKCA 75</w:t>
        </w:r>
      </w:hyperlink>
      <w:r>
        <w:rPr>
          <w:rFonts w:ascii="arial" w:eastAsia="arial" w:hAnsi="arial" w:cs="arial"/>
          <w:color w:val="000000"/>
          <w:sz w:val="20"/>
          <w:lang w:val="en-US" w:eastAsia="en-US" w:bidi="ar-SA"/>
        </w:rPr>
        <w:t>, and quoted the following from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appellant's argument on appeal is based primarily on the following passage from G.H.L. Fridman,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4th ed. (Ontario: Carswell, 1999) at pp. 12-13. Fridman confirmed that, while a contract stems from an agreement between the parties, restitution operates in the absence of a contract based on the doctrine of unjust enrichment. He 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complication or confusion arises from the fact that there is a contractual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as well as a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In some circumstances, where, for example, there is a contract between the parties but they have not agreed upon a price for goods or services to be delivered or rendered by one party to the other, the court must award money to the unpaid party on the basis of a reasonable amount for the goods or services. This is a liability that arises from a truly contractual relationship, and the situation between the parties is founded upon the concept of contract as it has been expounded earlier. Where no contract exists between the parties, or such contract as there is cannot be recognized or enforced, for example, because it does not comply with the provisions of the Statute of Frauds, the courts have allowed a deserving party to recover something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which is not the same as what might have been recovered if there had been a valid, enforceable contract upon which the successful party could have sued. The distinction between these cases, as between contract and quasi-contract, lies in the idea that there has to be an agreement, between the parties, and such agreement must be in the form of an enforceable contract, to which the law will give effect.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This quotation, as well as the cases cited by the trial judge in the passage quoted above, make it clear that what Professor Fridman calls "contractual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is really a principle of contract construction, or interpretation, to the effect that, where the parties to a valid contract have agreed for the provision of goods or services, clearly intended to be paid for, but have failed to provide for the terms of remuneration, then they may be presumed to have intended a reasonable price and, on that basis, a contractual term to pay a reasonable price may be implied. As the cases cited by the trial judge indicate, there is clearly no room for this doctrine, or for such an implication, where the contract explicitly provides for the amount of remuneration, or for the method for determining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seeks compensation for extras in the following categories: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drywall for both properties;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extra dirt at the King Georges Way property;</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Gravel under the garage at King Georges Way: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dirt, placement of crushed gravel, compacting etc. relating to the extra excavation at the Bramwell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not persuaded that any of these are properly chargeable as extras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First, with respect to the removal of the drywall, the parties gave contradictory evidence. Mr. Hothi testified that drywall is not included in an excavation contractor's duties, that this is something that requires a specialist. Mr. Kainth testified that the demolition contractor does remove the drywall.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not able to resolve this dispute based on the evidence before me. Neither party chose to call an expert or any independent witness to give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Moreover, although the plaintiff says that it retained a specialist to remove the drywall from the King Georges Way property, no invoice has been produced for that specialist. The amounts charged are, according to Mr. Hothi, estimates. The evidence lacks detail and substance one would expect for a claim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to removal of extra dirt and placing extra gravel at King Georges Way, Mr. Hothi examined the property before quoting a contract price. The contract requires removal of all dirt. I am not satisfied that there was extra work in this regard. With respect to gravel under the garage, I would expect written confirmation of the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the additional excavation at the Bramwell Road property, I am also not persuaded that this constitutes an extra to the contract. Mr. Hothi testified that the plaintiff was required to dig deeper to reach hardpan to support the foundation for the house. Mr. Kainth testified that this was incorrect, that there is no requirement to reach hardpan. Again, neither chose to call an expert to substantiate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I prefer the evidence of the defendants in this regard. There is a text message sent November 15, 2016 from Mr. Kainth to Mr. Hothi and his brother Harnek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Bramwell Road -- Paramjit: you have over excavated the hole by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engineer requires you to place three feet of three-quarter crushed gravel in the entire excavated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18 inches you are to tamp all the gravel when you have completed this please call me so I can arrange for engineer to do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engineer approves you are to place another 18 inches of three-quarter inch crushed gravel and tamper again. This does not fully solve the problem of over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Paramjit Hothi testified that he received this text message but did not have time to respond to it. I do not accept this evidence. Mr. Hothi was able to send email messages. Surely if the deeper excavation at Bramwell Road was because of a hardpan issue, he would have responded in writing to Mr. Kainth's text. It was a significant and expensive issue I would expect him to address such a significant matter in writing if it were not the plaintiff's mistake for its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Mr. Kainth testified that he overheard Harnek Hothi speaking with Paramjit Hothi on the telephone, saying "we have made a mistake we went too deep", or words to that effect. The plaintiff chose not to call Mr. Harnek Hothi to give evidence. I conclude that this is because his evidence on this point would not have been helpful to the plaintiff. Accordingly, I am not persuaded that over-excavation at Bramwell Road was caused by a hardpan issue. Rather, I am satisfied that it was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same is true with respect to the excavation under the garage at the Bramwell Road property. Although Mr. Hothi testified that there were rocks and tree stumps under the existing garage so they had to excavate deeper, I am not persuaded that this is so. The drawings show that the garage was to be at the level of the main floor of the house. I accept the evidence of the defendants that the existing garage was already at that level and the new garage was simply to be placed in the same location. There would be no need to excavate below the existing garage on the west side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conclusion, I am not persuaded that work done at either of the sites was "extra" to the contract price. Nor is the evidence of the amounts expended sufficient to prove these claims in any event. From Mr. Hothi's evidence it is clear that most of the amounts claimed are estimates. The invoices provided are not complete. He has no personal knowledge of the invoices he has provided. In some cases they are clearly for other properties. The evidence in this regard is simply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date set for completion in either of the contracts. The defendants testified that they anticipated that both properties would be done within four months. Mr. Hothi testified that while it would be possible to complete within four months, there was no date set for completion. He also explained why excavation took longer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Even if a contract is silent on the completion date, it is implied that the contractor must finish the work within a reasonable time: </w:t>
      </w:r>
      <w:r>
        <w:rPr>
          <w:rFonts w:ascii="arial" w:eastAsia="arial" w:hAnsi="arial" w:cs="arial"/>
          <w:i/>
          <w:color w:val="000000"/>
          <w:sz w:val="20"/>
          <w:lang w:val="en-US" w:eastAsia="en-US" w:bidi="ar-SA"/>
        </w:rPr>
        <w:t>Shackleton v. Hayes</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[1954] 4 D.L.R. 81</w:t>
        </w:r>
      </w:hyperlink>
      <w:r>
        <w:rPr>
          <w:rFonts w:ascii="arial" w:eastAsia="arial" w:hAnsi="arial" w:cs="arial"/>
          <w:color w:val="000000"/>
          <w:sz w:val="20"/>
          <w:lang w:val="en-US" w:eastAsia="en-US" w:bidi="ar-SA"/>
        </w:rPr>
        <w:t xml:space="preserve"> (S.C.C.). According to the court in </w:t>
      </w:r>
      <w:r>
        <w:rPr>
          <w:rFonts w:ascii="arial" w:eastAsia="arial" w:hAnsi="arial" w:cs="arial"/>
          <w:i/>
          <w:color w:val="000000"/>
          <w:sz w:val="20"/>
          <w:lang w:val="en-US" w:eastAsia="en-US" w:bidi="ar-SA"/>
        </w:rPr>
        <w:t>A.A.A. Aluminum Products Ltd. v. Grafos</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2015 BCSC 2128</w:t>
        </w:r>
      </w:hyperlink>
      <w:r>
        <w:rPr>
          <w:rFonts w:ascii="arial" w:eastAsia="arial" w:hAnsi="arial" w:cs="arial"/>
          <w:color w:val="000000"/>
          <w:sz w:val="20"/>
          <w:lang w:val="en-US" w:eastAsia="en-US" w:bidi="ar-SA"/>
        </w:rPr>
        <w:t xml:space="preserve">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common law implies a warranty that construction contracts will be carried out in a reasonable and workmanlike manner" : </w:t>
      </w:r>
      <w:r>
        <w:rPr>
          <w:rFonts w:ascii="arial" w:eastAsia="arial" w:hAnsi="arial" w:cs="arial"/>
          <w:i/>
          <w:color w:val="000000"/>
          <w:sz w:val="20"/>
          <w:lang w:val="en-US" w:eastAsia="en-US" w:bidi="ar-SA"/>
        </w:rPr>
        <w:t>Strata Corp. N.W. 1714 v. Winkler</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(1987), 20 B.C.L.R. (2d) 16</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Strata Plan NW 2294 v. Oak Tree Construction Inc.</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(1994), 93 B.C.L.R. (2d) 50</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Liddell v. Van-City Electric Ltd.</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(1994), 91 B.C.L.R. (2d) 331</w:t>
        </w:r>
      </w:hyperlink>
      <w:r>
        <w:rPr>
          <w:rFonts w:ascii="arial" w:eastAsia="arial" w:hAnsi="arial" w:cs="arial"/>
          <w:color w:val="000000"/>
          <w:sz w:val="20"/>
          <w:lang w:val="en-US" w:eastAsia="en-US" w:bidi="ar-SA"/>
        </w:rPr>
        <w:t xml:space="preserve"> (B.C. C.A.).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Neither of the written contracts stipulated a specific completion date. The plaintiff denied that it orally agreed the work would be completed by the end of September, when the initial contract was signed; or at the end of October, when a patio enclosure was added to the contract. </w:t>
      </w:r>
      <w:r>
        <w:rPr>
          <w:rFonts w:ascii="arial" w:eastAsia="arial" w:hAnsi="arial" w:cs="arial"/>
          <w:color w:val="000000"/>
          <w:sz w:val="20"/>
          <w:u w:val="single"/>
          <w:lang w:val="en-US" w:eastAsia="en-US" w:bidi="ar-SA"/>
        </w:rPr>
        <w:t>Completing the work in a reasonable and workmanlike manner encompasses completion within a reasonable time ... . What constitutes a reasonable time in this case must be determined in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Courts may imply a reasonable completion date if it would be equitable to do so and enable an otherwise legitimate contract to operate. A completion date may be implied in equity if the Court can be satisfied of a reasonable completion date considering the context and circumstances of the case. If "time was of the essence" in the contract and the contract is not completed by the reasonable completion date, the Court may find the contract has come to an end: see e.g. </w:t>
      </w:r>
      <w:r>
        <w:rPr>
          <w:rFonts w:ascii="arial" w:eastAsia="arial" w:hAnsi="arial" w:cs="arial"/>
          <w:i/>
          <w:color w:val="000000"/>
          <w:sz w:val="20"/>
          <w:lang w:val="en-US" w:eastAsia="en-US" w:bidi="ar-SA"/>
        </w:rPr>
        <w:t>Ambassador Industries Ltd. v. Kastens</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2001 BCSC 484</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Regarding completion in a reasonable time, the court in </w:t>
      </w:r>
      <w:r>
        <w:rPr>
          <w:rFonts w:ascii="arial" w:eastAsia="arial" w:hAnsi="arial" w:cs="arial"/>
          <w:i/>
          <w:color w:val="000000"/>
          <w:sz w:val="20"/>
          <w:lang w:val="en-US" w:eastAsia="en-US" w:bidi="ar-SA"/>
        </w:rPr>
        <w:t>Hallatt Estate v. Paulsen</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2009 BCSC 1266</w:t>
        </w:r>
      </w:hyperlink>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If the respondents are correct that the Agreement for Sale was extended, this establishes that the agreement contained subject matter, price and parties, but not a completion date. In </w:t>
      </w:r>
      <w:r>
        <w:rPr>
          <w:rFonts w:ascii="arial" w:eastAsia="arial" w:hAnsi="arial" w:cs="arial"/>
          <w:i/>
          <w:color w:val="000000"/>
          <w:sz w:val="20"/>
          <w:lang w:val="en-US" w:eastAsia="en-US" w:bidi="ar-SA"/>
        </w:rPr>
        <w:t>McKenzie v. Walsh</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(1920), 61 S.C.R. 312</w:t>
        </w:r>
      </w:hyperlink>
      <w:r>
        <w:rPr>
          <w:rFonts w:ascii="arial" w:eastAsia="arial" w:hAnsi="arial" w:cs="arial"/>
          <w:color w:val="000000"/>
          <w:sz w:val="20"/>
          <w:lang w:val="en-US" w:eastAsia="en-US" w:bidi="ar-SA"/>
        </w:rPr>
        <w:t xml:space="preserve">, the Supreme Court of Canada held that there are three essential terms to a written contract under the </w:t>
      </w:r>
      <w:r>
        <w:rPr>
          <w:rFonts w:ascii="arial" w:eastAsia="arial" w:hAnsi="arial" w:cs="arial"/>
          <w:i/>
          <w:color w:val="000000"/>
          <w:sz w:val="20"/>
          <w:lang w:val="en-US" w:eastAsia="en-US" w:bidi="ar-SA"/>
        </w:rPr>
        <w:t>Statute of Frauds</w:t>
      </w:r>
      <w:r>
        <w:rPr>
          <w:rFonts w:ascii="arial" w:eastAsia="arial" w:hAnsi="arial" w:cs="arial"/>
          <w:color w:val="000000"/>
          <w:sz w:val="20"/>
          <w:lang w:val="en-US" w:eastAsia="en-US" w:bidi="ar-SA"/>
        </w:rPr>
        <w:t>: parties, property, and price. The lack of a completion date does not invalidate an agreement with those essential terms if a court can imply a completion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omission of a specific completion date in a contract for the sale of land does not affect its validity, assuming the other essential terms are present. The law implies that performance will occur "within a reasonable time": Di Castri, </w:t>
      </w:r>
      <w:r>
        <w:rPr>
          <w:rFonts w:ascii="arial" w:eastAsia="arial" w:hAnsi="arial" w:cs="arial"/>
          <w:i/>
          <w:color w:val="000000"/>
          <w:sz w:val="20"/>
          <w:lang w:val="en-US" w:eastAsia="en-US" w:bidi="ar-SA"/>
        </w:rPr>
        <w:t>Law of Vendor and Purchaser</w:t>
      </w:r>
      <w:r>
        <w:rPr>
          <w:rFonts w:ascii="arial" w:eastAsia="arial" w:hAnsi="arial" w:cs="arial"/>
          <w:color w:val="000000"/>
          <w:sz w:val="20"/>
          <w:lang w:val="en-US" w:eastAsia="en-US" w:bidi="ar-SA"/>
        </w:rPr>
        <w:t xml:space="preserve">, 3rd ed. (1987) (looseleaf) at para. 7; </w:t>
      </w:r>
      <w:r>
        <w:rPr>
          <w:rFonts w:ascii="arial" w:eastAsia="arial" w:hAnsi="arial" w:cs="arial"/>
          <w:i/>
          <w:color w:val="000000"/>
          <w:sz w:val="20"/>
          <w:lang w:val="en-US" w:eastAsia="en-US" w:bidi="ar-SA"/>
        </w:rPr>
        <w:t>Rowe v. Fidelity-Phoenix Fire Insurance Co. of New York</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[1944] 3 D.L.R. 441</w:t>
        </w:r>
      </w:hyperlink>
      <w:r>
        <w:rPr>
          <w:rFonts w:ascii="arial" w:eastAsia="arial" w:hAnsi="arial" w:cs="arial"/>
          <w:color w:val="000000"/>
          <w:sz w:val="20"/>
          <w:lang w:val="en-US" w:eastAsia="en-US" w:bidi="ar-SA"/>
        </w:rPr>
        <w:t xml:space="preserve">, rev'd on other grounds [1944] 4 D.L.R. 265 (Ont. C.A.); and </w:t>
      </w:r>
      <w:r>
        <w:rPr>
          <w:rFonts w:ascii="arial" w:eastAsia="arial" w:hAnsi="arial" w:cs="arial"/>
          <w:i/>
          <w:color w:val="000000"/>
          <w:sz w:val="20"/>
          <w:lang w:val="en-US" w:eastAsia="en-US" w:bidi="ar-SA"/>
        </w:rPr>
        <w:t>Orsi v. Morning</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[1971] 3 O.R. 185</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Reasonable time does not mean of indefinite duration. In </w:t>
      </w:r>
      <w:r>
        <w:rPr>
          <w:rFonts w:ascii="arial" w:eastAsia="arial" w:hAnsi="arial" w:cs="arial"/>
          <w:i/>
          <w:color w:val="000000"/>
          <w:sz w:val="20"/>
          <w:lang w:val="en-US" w:eastAsia="en-US" w:bidi="ar-SA"/>
        </w:rPr>
        <w:t>BCE Development Corp. v. Cascade Investments Ltd.</w:t>
      </w:r>
      <w:r>
        <w:rPr>
          <w:rFonts w:ascii="arial" w:eastAsia="arial" w:hAnsi="arial" w:cs="arial"/>
          <w:color w:val="000000"/>
          <w:sz w:val="20"/>
          <w:lang w:val="en-US" w:eastAsia="en-US" w:bidi="ar-SA"/>
        </w:rPr>
        <w:t xml:space="preserve"> (1987), </w:t>
      </w:r>
      <w:hyperlink r:id="rId933" w:history="1">
        <w:r>
          <w:rPr>
            <w:rFonts w:ascii="arial" w:eastAsia="arial" w:hAnsi="arial" w:cs="arial"/>
            <w:i/>
            <w:color w:val="0077CC"/>
            <w:sz w:val="20"/>
            <w:u w:val="single"/>
            <w:shd w:val="clear" w:color="auto" w:fill="FFFFFF"/>
            <w:lang w:val="en-US" w:eastAsia="en-US" w:bidi="ar-SA"/>
          </w:rPr>
          <w:t>55 Alta. L.R. (2d) 22</w:t>
        </w:r>
      </w:hyperlink>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80 A.R. 386</w:t>
        </w:r>
      </w:hyperlink>
      <w:r>
        <w:rPr>
          <w:rFonts w:ascii="arial" w:eastAsia="arial" w:hAnsi="arial" w:cs="arial"/>
          <w:color w:val="000000"/>
          <w:sz w:val="20"/>
          <w:lang w:val="en-US" w:eastAsia="en-US" w:bidi="ar-SA"/>
        </w:rPr>
        <w:t xml:space="preserve">, aff'd (1987), </w:t>
      </w:r>
      <w:hyperlink r:id="rId934" w:history="1">
        <w:r>
          <w:rPr>
            <w:rFonts w:ascii="arial" w:eastAsia="arial" w:hAnsi="arial" w:cs="arial"/>
            <w:i/>
            <w:color w:val="0077CC"/>
            <w:sz w:val="20"/>
            <w:u w:val="single"/>
            <w:shd w:val="clear" w:color="auto" w:fill="FFFFFF"/>
            <w:lang w:val="en-US" w:eastAsia="en-US" w:bidi="ar-SA"/>
          </w:rPr>
          <w:t>56 Alta. L.R. (2d) 349</w:t>
        </w:r>
      </w:hyperlink>
      <w:r>
        <w:rPr>
          <w:rFonts w:ascii="arial" w:eastAsia="arial" w:hAnsi="arial" w:cs="arial"/>
          <w:color w:val="000000"/>
          <w:sz w:val="20"/>
          <w:lang w:val="en-US" w:eastAsia="en-US" w:bidi="ar-SA"/>
        </w:rPr>
        <w:t xml:space="preserve"> (C.A.),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60 The document is silent as to the time within which the condition relating to obtaining the required land use designation is to be satisfied. To adopt the language of the parties, the agreement has no end date.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61 I am of the opinion that in such circumstances, the law will provide, as incidental to such a contract, the implied term that the purchaser shall obtain a satisfactory land use designation within a reasonable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63 The practice of requiring performance within a reasonable time when the contract is silent on this point was followed in: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Re Longlands Farm</w:t>
      </w:r>
      <w:r>
        <w:rPr>
          <w:rFonts w:ascii="arial" w:eastAsia="arial" w:hAnsi="arial" w:cs="arial"/>
          <w:color w:val="000000"/>
          <w:sz w:val="20"/>
          <w:lang w:val="en-US" w:eastAsia="en-US" w:bidi="ar-SA"/>
        </w:rPr>
        <w:t>, [1968] 3 All E.R. 552 (Ch.D.);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Anderson v. Chaba</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[1978] 1 W.W.R. 631</w:t>
        </w:r>
      </w:hyperlink>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81 D.L.R. (3d) 449</w:t>
        </w:r>
      </w:hyperlink>
      <w:r>
        <w:rPr>
          <w:rFonts w:ascii="arial" w:eastAsia="arial" w:hAnsi="arial" w:cs="arial"/>
          <w:color w:val="000000"/>
          <w:sz w:val="20"/>
          <w:lang w:val="en-US" w:eastAsia="en-US" w:bidi="ar-SA"/>
        </w:rPr>
        <w:t>,7 A.R. 469 (C.A.), at p. 454.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64 It is clear from the evidence that all of the parties expected that satisfactory land use designation would be obtained within a reasonable time. I consider it proper in this case to imply, as a term of the contract, that the purchaser shall obtain a satisfactory land use designation within a reasonable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Re Longlands Farm</w:t>
      </w:r>
      <w:r>
        <w:rPr>
          <w:rFonts w:ascii="arial" w:eastAsia="arial" w:hAnsi="arial" w:cs="arial"/>
          <w:color w:val="000000"/>
          <w:sz w:val="20"/>
          <w:lang w:val="en-US" w:eastAsia="en-US" w:bidi="ar-SA"/>
        </w:rPr>
        <w:t>, the purchasers entered into a conditional contract for the purchase of land subject to their obtaining certain planning permissions. The contract failed to set a time for completion. Mr. Justice Cross at 556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treating this document as a conditional contract --the purchasers, that is to say, the defendants, were given a reasonable time in which to procure planning permission to their satisfaction. If they were unable to procure planning permission to their satisfaction within a reasonable time, then the contract never became an absolutely binding contract and the plaintiff was entitled to treat it as at an end, and to have the registration discharged.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Two other points seem to be clear, first that the reasonableness of the time must be determined as at the date of the contract and that what is reasonable must be judged by an objective test applicable to both parties, and does not simply mean what is reasonable from the point of view of the defendants. The time that the defendants were allowed by the plaintiff to have, in order to obtain planning permission was a period of over 3 1/2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Viewing the matter objectively and giving as much weight to the plaintiff's position as to that of the defendants, I think that the period which had elapsed before he treated the contract as at an end was far more than reasonable. So I shall accede to the application and vacate the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If the contract is not completed by the reasonable completion date and the court is satisfied that "time is of the essence", the contract will come to an end. Courts find time to be of the essence under two circumstances. The court in </w:t>
      </w:r>
      <w:r>
        <w:rPr>
          <w:rFonts w:ascii="arial" w:eastAsia="arial" w:hAnsi="arial" w:cs="arial"/>
          <w:i/>
          <w:color w:val="000000"/>
          <w:sz w:val="20"/>
          <w:lang w:val="en-US" w:eastAsia="en-US" w:bidi="ar-SA"/>
        </w:rPr>
        <w:t>Sanwo Enterprises Ltd. v. Huang</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2018 BCSC 31</w:t>
        </w:r>
      </w:hyperlink>
      <w:r>
        <w:rPr>
          <w:rFonts w:ascii="arial" w:eastAsia="arial" w:hAnsi="arial" w:cs="arial"/>
          <w:color w:val="000000"/>
          <w:sz w:val="20"/>
          <w:lang w:val="en-US" w:eastAsia="en-US" w:bidi="ar-SA"/>
        </w:rPr>
        <w:t xml:space="preserve"> at para. 133 recently reviewed when the courts find "time is of the essence" in a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In </w:t>
      </w:r>
      <w:r>
        <w:rPr>
          <w:rFonts w:ascii="arial" w:eastAsia="arial" w:hAnsi="arial" w:cs="arial"/>
          <w:i/>
          <w:color w:val="000000"/>
          <w:sz w:val="20"/>
          <w:lang w:val="en-US" w:eastAsia="en-US" w:bidi="ar-SA"/>
        </w:rPr>
        <w:t>Angus v. Pinalski</w:t>
      </w:r>
      <w:r>
        <w:rPr>
          <w:rFonts w:ascii="arial" w:eastAsia="arial" w:hAnsi="arial" w:cs="arial"/>
          <w:color w:val="000000"/>
          <w:sz w:val="20"/>
          <w:lang w:val="en-US" w:eastAsia="en-US" w:bidi="ar-SA"/>
        </w:rPr>
        <w:t>, 1990 CarswellBC 700 (B.C. S.C.) at para. 55, Justice Owen-Flood discussed the legal principles applicable to a determination of whether "time is of the essence" in a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the law set out in </w:t>
      </w:r>
      <w:r>
        <w:rPr>
          <w:rFonts w:ascii="arial" w:eastAsia="arial" w:hAnsi="arial" w:cs="arial"/>
          <w:i/>
          <w:color w:val="000000"/>
          <w:sz w:val="20"/>
          <w:lang w:val="en-US" w:eastAsia="en-US" w:bidi="ar-SA"/>
        </w:rPr>
        <w:t>United Scientific Holdings Ltd. v. Burnley Borough Council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Cheapside Land Development Co. Ltd. v. Messels Service Co.</w:t>
      </w:r>
      <w:r>
        <w:rPr>
          <w:rFonts w:ascii="arial" w:eastAsia="arial" w:hAnsi="arial" w:cs="arial"/>
          <w:color w:val="000000"/>
          <w:sz w:val="20"/>
          <w:lang w:val="en-US" w:eastAsia="en-US" w:bidi="ar-SA"/>
        </w:rPr>
        <w:t>, [1978] A.C. 904, [1977] 2 All E.R. 62 (H.L.), where Lord Simon, at p. 83, held: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my view the modern law in the case of contracts of all types is correctly summarised in Halsbury's Laws of England (9 Halsbury's Laws (4th) para. 481):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Time will not be considered to be of the essence unless: (1) the parties expressly stipulate that conditions as to time must be strictly complied with; or (2) the nature of the subject matter of the contract or the surrounding circumstances show that time should be considered to be of the essence.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Greenside Properties Inc. v. 8458429 Holdings Ltd.</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[1996] B.C.J. No. 531</w:t>
        </w:r>
      </w:hyperlink>
      <w:r>
        <w:rPr>
          <w:rFonts w:ascii="arial" w:eastAsia="arial" w:hAnsi="arial" w:cs="arial"/>
          <w:color w:val="000000"/>
          <w:sz w:val="20"/>
          <w:lang w:val="en-US" w:eastAsia="en-US" w:bidi="ar-SA"/>
        </w:rPr>
        <w:t xml:space="preserve"> at paras. 46-54 explained how courts determine if "time is of the essence".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A TERM OF THE AGREEMENT, EXPRESS OR IMPLIED, THAT TIME IS OF THE ESSENCE?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Agreement does not contain an express provision making time of the essence in relation to performance of the parties' obligations under the contract. 845 submits nevertheless that it was an implied term, or that either party had the right to stipulate a reasonable time for performance of the bargain, and thereby make time of the essence, such that a failure by the other party to perform at the appointed date may and should be treated at law as bringing the contract to an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Counsel for both parties provided the court with numerous authorities dealing with the consequences of a failure by one or both parties to fulfill their obligations under a contract in which time is expressly stated to be "of the essence". These authorities included </w:t>
      </w:r>
      <w:r>
        <w:rPr>
          <w:rFonts w:ascii="arial" w:eastAsia="arial" w:hAnsi="arial" w:cs="arial"/>
          <w:i/>
          <w:color w:val="000000"/>
          <w:sz w:val="20"/>
          <w:lang w:val="en-US" w:eastAsia="en-US" w:bidi="ar-SA"/>
        </w:rPr>
        <w:t>Norfolk v. Aikens</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(1989) 64 D.L.R. (4th) 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Shaw Industries Ltd. v. Greenland Enterprises Ltd.</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(1991) 79 D.L.R. (4th) 641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Basra v. Carhoun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(1993) 82 B.C.L.R. (2d) 71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Morgan v. Lucky Dog Ltd.</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(1987) 45 R.P.R. 263</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Rados v. Paconla Investments Ltd.</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(1981) 20 R.P.R. 154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King v. Urban and Country Transport Ltd</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(1973) 40 D.L.R. (3d) 641</w:t>
        </w:r>
      </w:hyperlink>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Kennedy v. Chaplin</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(1991) 56 B.C.L.R. (2d) 193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Counsel were unable to provide the court with any case authority in which a court had rested its decision on an implied term that "time is of the essence". In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1986, Carswell, Professor Fridman discusses many instances of necessary terms having been implied. One of the examples he cites is </w:t>
      </w:r>
      <w:r>
        <w:rPr>
          <w:rFonts w:ascii="arial" w:eastAsia="arial" w:hAnsi="arial" w:cs="arial"/>
          <w:i/>
          <w:color w:val="000000"/>
          <w:sz w:val="20"/>
          <w:lang w:val="en-US" w:eastAsia="en-US" w:bidi="ar-SA"/>
        </w:rPr>
        <w:t>Surette v. Surette</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(1989), 40 N.S.R. (2d) 482</w:t>
        </w:r>
      </w:hyperlink>
      <w:r>
        <w:rPr>
          <w:rFonts w:ascii="arial" w:eastAsia="arial" w:hAnsi="arial" w:cs="arial"/>
          <w:color w:val="000000"/>
          <w:sz w:val="20"/>
          <w:lang w:val="en-US" w:eastAsia="en-US" w:bidi="ar-SA"/>
        </w:rPr>
        <w:t xml:space="preserve"> (N.S.T.D.), where the court found an implied term that a loan must be repaid within a reasonable time, but no examples were provided of any instance in which a court found an implied term that time is of the essence.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Counsel for Greenside provided the court with a very useful summary and discussion of the law by author Paul M. Perell, entitled Putting Together the Puzzle of Time of the Essence, published in the Canadian Bar Review, Vol. 69, No. 3, September 1990, p.417. At p.420, Mr. Perell summarized the effect of a finding that time is of the essence in a contract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Stated positively, the rule in equity was that time was of the essence if it was equitable to treat one party's failure to perform on time as discharging the innocent party from his or her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Lord Diplock stated the effect of such a contractual term in this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time is made of the essence of a primary obligation, failure to perform it punctually is a breach of the contract which entitled the party not in breach to elect to treat the breach as putting an end to all primary obligations under the contract that have not already been performed.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Scandinavian Trading Tanker Co. AB v. Flota Petrolera Ecutoriana</w:t>
      </w:r>
      <w:r>
        <w:rPr>
          <w:rFonts w:ascii="arial" w:eastAsia="arial" w:hAnsi="arial" w:cs="arial"/>
          <w:color w:val="000000"/>
          <w:sz w:val="20"/>
          <w:lang w:val="en-US" w:eastAsia="en-US" w:bidi="ar-SA"/>
        </w:rPr>
        <w:t>, [1983] 2 A.C. 694 at 703.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Section 27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R.S.B.C. 1979, c.224, provides: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Stipulations in contracts, as to time or otherwise, which are not deemed to be or to have become of the essence of the contracts according to the rules of equity, shall receive the same construction and effect as they would receive in equity.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It has been held that courts of equity will not imply that time is of the essence unless: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express words of the contract, the nature of its subject matter or the surrounding circumstances made it inequitable not to treat the failure to comply exactly with the stipulation as relieving the other party from the duty to perform his obligations under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w:t>
      </w:r>
      <w:r>
        <w:rPr>
          <w:rFonts w:ascii="arial" w:eastAsia="arial" w:hAnsi="arial" w:cs="arial"/>
          <w:i/>
          <w:color w:val="000000"/>
          <w:sz w:val="20"/>
          <w:lang w:val="en-US" w:eastAsia="en-US" w:bidi="ar-SA"/>
        </w:rPr>
        <w:t>United Scientific Holdings Ltd. v. Burnley Borough Council</w:t>
      </w:r>
      <w:r>
        <w:rPr>
          <w:rFonts w:ascii="arial" w:eastAsia="arial" w:hAnsi="arial" w:cs="arial"/>
          <w:color w:val="000000"/>
          <w:sz w:val="20"/>
          <w:lang w:val="en-US" w:eastAsia="en-US" w:bidi="ar-SA"/>
        </w:rPr>
        <w:t xml:space="preserve">, [1978] A.C. 904, at 927. See also </w:t>
      </w:r>
      <w:r>
        <w:rPr>
          <w:rFonts w:ascii="arial" w:eastAsia="arial" w:hAnsi="arial" w:cs="arial"/>
          <w:i/>
          <w:color w:val="000000"/>
          <w:sz w:val="20"/>
          <w:lang w:val="en-US" w:eastAsia="en-US" w:bidi="ar-SA"/>
        </w:rPr>
        <w:t>Stickney v. Keeble</w:t>
      </w:r>
      <w:r>
        <w:rPr>
          <w:rFonts w:ascii="arial" w:eastAsia="arial" w:hAnsi="arial" w:cs="arial"/>
          <w:color w:val="000000"/>
          <w:sz w:val="20"/>
          <w:lang w:val="en-US" w:eastAsia="en-US" w:bidi="ar-SA"/>
        </w:rPr>
        <w:t>, [1915] A.C. 386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Considering the Agreement between Greenside and 845 as a whole, I am of the view that time was neither expressly nor implicitly agreed to be of the essence in relation to the completion date specified for the conveyance of the lands under the Agreement. An implied term making time of the essence would be inconsistent with the intentions of the parties as expressed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not persuaded that the court should fix a "reasonable" completion date in this case. Although it may have been possible to complete these contracts within four months, the parties from their conduct have demonstrated that they did not anticipate completion in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testified that they anticipated that the plaintiff would work on both job sites at once; they testified that at the Bramwell Road property the plaintiff was spending a good deal of its time working on a neighbour's property, using the Bramwell Road property to provide excavated fill to that neighbour's property and using the Bramwell Road property for its equipment. They testified that the neighbour's property had to be finished from the Bramwell Road property so that the plaintiff could get its machine out of the location. They testified that Mr. Hothi was rarely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accept that the defendants would have tolerated the plaintiff's poor performance had they intended that these contracts would have been completed within four months of execution of the contract in March 2016. Both Mr. Kainth and Mr. Dhunna are very experienced in construction. Mr. Kainth's company was hired as general contractor on these projects. I do not accept that the defendants would have waited until March 2017 before giving notice to the plaintiff had they truly expected the work to be done earlier. Accordingly I am not prepared to fix a "reasonable" date for completion of the contracts, prior to that fixed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March 27, 2017 Mr. Kainth wrote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because we are deeply concerned by the delay of work at 830 King Georges Way and 1430 Bramwell Road... by of this email, you are hereby put on notice of the delays. Accordingly, we require a written schedule from you for the following by 5 pm today... The above listed site work must be completed on or before 31 March 2017. Failure to do so will result in back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Kainth testified that for the next week or so the plaintiff did attend to work on the two properties and some of the work that he had requested to be completed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March 27, 2017, Mr. Hothi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do not remove the lumber by noon tomorrow, the cost will increase. I am unable to do anything until you have removed all garbage and lumber. We do not have room to put in gravel on the west side because of all the garbage and lumber. Also, please provide the amount of $75,000 via cheque by Friday, noon or I will stop all work on your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March 28, 2017, Mr. Kainth emailed Mr. Hothi: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Parm. I have inspected the site and there are no issues which I could find. Please provide pictures.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delayed this work by over 4 months. I have asked you many times to meet me onsite but you keep making false promises. You always promise to call but never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told you repeatedly that framing will be starting and to be schedule your work but you have completely ignored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asked you to place gravel inside once the foundation was completed and you said ok; that was almost 3 weeks ago but you did nothing.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did [not] provide me with a completion scheduled as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reminded that if the work is not completed by 31st March financial charges for delay and interest will be charged against you. In the event a 3rd party contractor is to be hired to complete your work, additional costs will be charged against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Hothi also said on March 30,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 email please be advised that our job is 90% done as we agreed, the only thing remaining is to attach the services by the city. We are waiting for the city to attach the services and that is your responsibility to coordinate with the city to attach the services with the property. I personally visited the city and the city and the city will take another week to connect the services and after that we will finish our side of the job in 3 or 4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total agreed amount for both lots was $150,000 + tax + extra work out of which you paid $75,000 only, though the work is 90% completed on both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deny any delay on our part and the delay is caused due to your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coordinate with the city in time. Please pay $73,500 for the 99% work done and for the remaining $1,500 I will issue you a formal invoice after the work is 100%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I will send you pictures of your site taken today, March 30, 2017 via separate email, showing you exactly what is on the site and all the garbage etc. I am unable to do the back filling the gravel 3/4 clear crush in side the house due to the garbage that is inside the house and outside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stop the framing because I am unable to work on the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need rock pitt material for both house, this is the owners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the plumber has not put in the water service line and electrical person has not but in the hydro cable, if this is not done asap, it will cost you more money to dig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April 12, 2017 Mr. Kainth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cooperation this past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1430 Bramwell: some critical work remains outstanding which is affecting schedule for framing.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830 King Georges Way: as a courtesy I wish to remind you that you have not provided me with any work schedule concerning 830 King Georges Way: this work has been outstanding for in excess of 10 weeks. It is important that I receive a schedule from you no later than tomorrow morning otherwise I will have no choice but to hire an alternate contractor... That being said if you are to complete this work I expect the work to be starting on Saturday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April 22, 2017 Mr. Kainth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April 15, 2017, due to your non-performance, we have retained another company to complete the work you abandon. Any and all costs associated with completing the outstanding work will be deducted from your contract amount. Additional damages may be assessed against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hereby requested to remove any all machines from the sites with immediate effect. Failure to do so will result in costs to be assessed against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From this correspondence, it is my view that no fixed deadline was finally set until April 22,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the plaintiff removed its machines, Mr. Kainth was able to get an excavating company to complete the contract in short order. I am not satisfied therefore that there is any compensable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Amount due to the plaintiff on the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does not dispute termination of its contract. The plaintiff says that it is entitled to compensation for the work that it did complete. The plaintiff says it competed at least 85% of the work on the two properties. Mr. Dhunna concedes that the plaintiff completed 80% to 85% of the work on both properties. Therefore the plaintiff is entitled to be compensated for 85% of the contract price or $127,500 plus GST, leaving a balance of $22,500 on the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are entitled to compensation for contract work not completed by the plaintiff, beyond the remaining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say they spent $9,440 completing King Georges and $14,600 on Bramwell Road. There was $22,500 remaining from the plaintiff's contract price. The defendants spent $1,540 more than the contract price for completion of the contract work. They are entitled to compensation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incurred by the defendant due to over-excavation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Most of the cost of over-excavation has been paid by the plaintiff. The plaintiff hauled in extra crush gravel and compacted that gravel to bring the base to the appropriate level. By way of its counterclaim the defendant seeks damages in addition relating to the over-excavation under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seeks damages as follows: concrete vibrator costs, $55.13; concrete pumping cost, $196.21; scaffold rental, $2,900; concrete footings, $1,641.36; concrete foundation, $2,361.41; concrete slab, $4,098.63; concrete pumping, $107.85; concrete form rental, $890.40; rebar, $2744; concrete pumping, $1,311.97; concrete, $888.53; plan revisions, $400; basement slab prep, $1,017.70; plumbing and heating, $2,951.97; design revision, $6,384.05; backfilling garage, $2,604; concrete, $1,098.70; and gravel, $4,620; totalling $36,271.91.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When the defendant learned that the plaintiff had excavated under the garage rather than leaving it at the existing level as the drawings required, the defendants decided to expand the basement of the house, building a theatre room under the garage. This required new plans for the house and made the house some 460 square feet larger than it otherwise would have been. The defendants seek compensation for the extra materials, drawings, plans etc. for this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disputes these extra expenses and says that the defendants have benefited by expanding the house, that the house is larger and on a price per square foot basis would be more valuable.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Neither party chose to call any expert or independent witness to provide me with evidence as to whether it would have been more efficient and less costly to simply refill the over-excavation, as was done under the house and whether there was any benefit received by the defendants for expanding house. I am not in a position, on the evidence before me to decide whether the defendants have received a benefit or whether Mr. Dhunna is out of pocket the funds that he seeks. Because I am not able to decide the issue on the evidence led before me, I am not able to award any damages on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is entitled to 85% of the contract price, $127,500. It has been paid $75,000, leaving a balance of $52,500. The defendants paid $1,540 more than the contract price to complete the plaintiff's work. They are entitled to offset that from the balance due to the plaintiff. The plaintiff is entitled to $50,960. I have not calculated GST and leave that to the parties to calculate.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must provide the Delta MS Membrane Certificate and discharge its claim of builders' lien on receipt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parties may speak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Downey v. Brousseau, [2007] B.C.J. No. 184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M034916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C.C.L.T. (3d)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S. Downey, Plaintiff, and Joseph Brousseau, James Albert Price and Brown Brothers Motor Lease Canada Ltd.,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1" w:name="Keywords_45"/>
      <w:bookmarkEnd w:id="381"/>
      <w:r>
        <w:rPr>
          <w:rFonts w:ascii="arial" w:eastAsia="arial" w:hAnsi="arial" w:cs="arial"/>
          <w:b/>
          <w:color w:val="000000"/>
          <w:sz w:val="20"/>
          <w:lang w:val="en-US" w:eastAsia="en-US" w:bidi="ar-SA"/>
        </w:rPr>
        <w:t>Damages — General damages — For person injuries — Considerations — Pre-existing medical conditions — Loss of earning capacity — Non-pecuniary damages, including pain and suffering — Retroactive loss of income — Man injured in motor vehicle accident awarded $75,000 in non-pecuniary damages where he sustained significant back injury, fractured wrist, other injuries — Awarded $7,000 for loss of income after accident — Not award damages for future loss of income, as back injury that prevented man from working as welder pre-dated accident — Accident had no impact on his ability to work.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Non-pecuniary award — $60,001 to $80,000 — Considerations impacting on award — Pre-existing injury — Man injured in motor vehicle accident awarded $75,000 in non-pecuniary damages where he sustained significant back injury, fractured wrist, other injuries — Awarded $7,000 for loss of income after accident — Not award damages for future loss of income, as back injury that prevented man from working as welder pre-dated accident — Accident had no impact on his ability to work — Award: Non-pecuniary damages of $75,000, past loss of income of $7,000, special damages of $3,610.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2" w:name="Case Summary_43"/>
            <w:bookmarkEnd w:id="3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payable to Downey by Brousseau, Price and Brown Brothers, defendants, and Insurance Corporation, third party, for injuries Downey sustained in 2001 motor vehicle accident -- Defendants and corporation admitted liability -- Downey was passenger in limousine that crashed into light pole at between 60 and 80 kph -- Downey sustained injuries including compression fractures to his spine, fractured wrist, neck and shoulder pain with associated headaches, chest pain with clicking sensation, chipped tooth and cut tongue -- Downey sought non-pecuniary damages of $75,000, while defendants submitted $55,000 was more appropriate figure -- Parties agreed Downey entitled to special damages of $3,610 -- Downey sought $100,000 to $150,000 for loss of future earnings and $5,000 to $10,000 for past loss of income, while defendants and third party claimed he was not entitled to any award under these heads of damages -- Prior to accident, Downey had been involved in three work-related accidents, in 1991, 1999 and 2000, in all of which he injured his back -- Welding was Downey's primary focus of employment prior to accident -- Downey's family physician, orthopedic surgeon and occupational therapist supported his position he was unable to work as welder since accident -- Defendants presented evidence that prior to accident, Downey was seeking to be retrained for lighter duties than welding through Worker's Compensation programs -- Claimed Downey was not looking for work at time of accident, and claimed he was not motivated to work as he was relying on Employment Insurance and social assistance from time of 2000 work-related accident -- Downey's work history prior to accident was sporadic -- Downey did not work from 2000 to 2003, when he began working as security guard -- Downey quit after one year, was unemployed until August 2005 -- Downey had received lump sum payment from Workers' Compensation after 1991 accident and was determined to have sustained 13 percent permanent disability -- Was only able to work in light duty positions subsequently -- Reported back pain after all work-related accidents -- Orthopedic surgeon, family doctor gave opinions Downey's back pain was worsened by 2001 accident -- Occupational therapist stated Downey did not tell him about his back problems prior to 2001 accident -- Defendants' expert confirmed injuries Downey sustained in 2001 accident, but could not find evidence to conclude Downey was impaired by injuries -- Gave opinion Downey should have been able to resume previous level of activity six months after accident -- HELD: Downey awarded $3,610 for special damages -- Downey awarded $75,000 for non-pecuniary damages, as he sustained significant injuries -- Downey entitled to $7,000 for past income loss, but not entitled to any award for future income loss -- Evidence showed Downey had back problems prior to accident -- Accident did not negatively impact Downey's ability to work as welder, as he was already unfit -- Accident did result in short period of time during which Downey would not work at all -- Defendants did not show Downey lacked motivation to work.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3" w:name="Counsel_45"/>
      <w:bookmarkEnd w:id="3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Noble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4" w:name="Judgment_45"/>
      <w:bookmarkEnd w:id="384"/>
      <w:r>
        <w:pict>
          <v:line id="_x0000_s1259" style="position:absolute;z-index:2518077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5" w:name="MARTINSON J."/>
            <w:bookmarkEnd w:id="385"/>
            <w:r>
              <w:rPr>
                <w:rFonts w:ascii="arial" w:eastAsia="arial" w:hAnsi="arial" w:cs="arial"/>
                <w:b/>
                <w:color w:val="000000"/>
                <w:sz w:val="30"/>
                <w:lang w:val="en-US" w:eastAsia="en-US" w:bidi="ar-SA"/>
              </w:rPr>
              <w:t>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Downey was involved in a motor vehicle accident on November 10, 2001. He was a passenger in a limousine, seated on a bench seat. The limousine was driven into a light pole at a speed estimated to be 60 to 80 kilometres per hour. He sustained multiple injuries: mild to moderate compression fractures in his thoracic (mid) spine; a fracture of his left wrist; pain in his neck and shoulders, with associated headaches; chest pain, with a clicking sensation in his chest; and a chipped tooth, with a cut tongue associated with the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and the third party ("the defendants"), admit liability. It is also admitted that Mr. Downey suffered significant non-pecuniary losses; the defendants say that damages for pain and suffering should be $55,000 whereas Mr. Downey says those damages should be $75,000. There is agreement that Mr. Downey is entitled to special damages of $3,610.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and argument at trial focused primarily on loss of future earning capacity and loss of past income. Mr. Downey submits that he is entitled to $100,000 to $150,000 for the former and $5,000 to $10,000 for the latter. The defendants say that he is not entitled to any award under either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difference in approach to lost income and lost income capacity results from different points of view relating to Mr. Downey's pre-accident medical condition and its impact on his capacity to work. Prior to the limousine accident, Mr. Downey had been involved in three work-related accidents: one in Ontario in October 1991, a second in British Columbia in February 1999, and a third, also in British Columbia, in May 2000. In each case he injured his back. According to the defendants, the limousine accident did not impair Mr. Downey's ability to work any more than it was already impaired immediately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the limousine accident happened Mr. Downey had worked in a number of occupations, but welding was his primary focus. He was not certified but had trained in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OF MR. DOWNEY'S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Downey acknowledges that he had pre-accident injuries to his back. He says, however, that those injuries were to his lower back, not his mid back, and that the limousine accident has affected his mid back. In support of this he points to an X-ray of his thoracic spine, done on March 7, 2001, which shows no abnormality. Although there is reference in medical reports to pre-accident mid back pain, Mr. Downey says that those references relate to problems of a different nature. He says his lower back problems were mainly resolved prior to the limousine accident and that, at the time of that accident, he was looking for work. He says that as a result the limousine accident injuries are the "majority and material cause" of his diminished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Downey says that, as a result of the limousine accident and its impact on his mid back, he is not able to do repetitive heavy duties, including heavy welding work and heavy lifting. This, it is argued, impacts his future earning capacity. With respect to past wage loss, Mr. Downey says that he was prevented from working for two years as a result of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His position, he says, is supported by his own evidence, as well as the evidence of his family physician, Dr. Chen, the evidence of Dr. Lui, an orthopaedic surgeon who conducted an independent medical examination at his request, and the evidence of Mr. Cheesman, an occupational therapist who conducted a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Chen has examined Mr. Downey on an ongoing basis since the limousine accident. Mr. Downey argues that the focus during Dr. Chen's cross-examination was on his pre-accident records, and that the findings contained in his report are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Downey says that Dr. Lui's opinion is strong in nature and also in his favour. When examined in the context of the other evidence called on behalf of Mr. Downey, he submits that Dr. Lui's opinion is consistent and 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Downey says that Mr. Cheesman's evaluation supports the fact that, as a result of the accident, he cannot perform repetitive heavy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the evidence of Dr. Maloon, called by the defendants, Mr. Downey says it is not entitled to much weight. Mr. Downey says that Dr. Maloon ignored his own findings of objective symptoms, as well as Mr. Downey's report of ongoing symptoms. Further, he says, Dr. Maloon did not review the radiographs.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OF THE DEFENDANTS'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acknowledge that Mr. Downey was injured in the limousine accident and they agree that he is now unsuited for heavy labour or welding. They say, however, that at the time of the limousine accident his lower back problems were chronic and disabling, and that they would have continued to be so independently of the limousine accident. They say that Mr. Downey was in the same position with respect to his ability to work immediately before the accident as he was after the accident. While the defendants acknowledge that the accident was serious and that Mr. Downey did suffer injuries from it, they say that his injuries are properly addressed by a non-pecuniary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say that from the time of the 1991 accident Mr. Downey was unsuited for heavy labour or welding. The two further injuries in 1999 and 2000 make it abundantly clear that he was unsuited for those types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They also point to the fact that from the time of the 1991 accident onward Mr. Downey was seeking to be retrained for lighter duties through the Workers' Compensation Board in Ontario and later in British Columbia. They say that he was so focused on retraining that he appealed decisions that did not provide him with retraining and, in fact, continued his British Columbia appeals well beyond the date of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existence or absence of mid back problems before the limousine accident, the defendants say that the clinical records show that Mr. Downey had both lower back and mid back complaints predating the accident. The records also show that Mr. Downey had ongoing complaints about his lower back after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past wage loss, the defendants say that Mr. Downey was not looking for work at the time of the accident and that he was not motivated to work. He relied on Employment Insurance and social assistance from the time of the 2000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expert evidence, the defendants say that Dr. Maloon is unchallenged by cross-examination and supports their position. They say that the evidence of Dr. Lui is entitled to little weight because he became too attached to his conclusions, as evidenced by his testimony concerning reports of kyphosis in 1992. Furthermore, they say that Dr. Lui does not have the benefit that the Court has of reviewing all the Workers' Compensation Board records, which show that Mr. Downey's ability to work before the limousine accident was already seriously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WORK HISTORY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common ground that Mr. Downey had a sporadic work history prior to the accident. He did not work from the date of the 2000 accident (May 24, 2000) until November 2003, when he got a job as a security officer at Intercon Security after having successfully completed a two-month training course at Douglas College. He graduated with "honours with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Downey worked at Intercon until the end of November 2004, when he quit. He next found employment at Harrigan Rentals in August 2005, and is still employed there. Initially he worked as a driver, but in October 2006 he became a maintenance mechanic, doing light duty repair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periods when he was not working after the 2000 accident, he was receiving either social assistance or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PRE-ACCIDENT CONDITION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October 1991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October 1991 injury involved lifting a 30-pound steel plate while working as a shipper/receiver. There was ultimately a determination by the Ontario Workers' Compensation Board (the "OWCB") that he had a 13% permanent disability. He was paid a lump sum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Downey acknowledged in his testimony that as of 1991 he was seeking retraining in areas other than heavy labour or welding. The fact that he was looking for such retraining is confirmed by the OWCB records, which contain numerous references to retraining. For example, in April 1993 a placement worker with the OWCB noted that Mr. Downey kept referring to the fact that he felt he should have been retrained. At that same meeting, Mr. Downey disagreed with the suggestion that he could be a shipper/receiver because it involved heavy lifting which he would not be able to do. In his testimony, Mr. Downey acknowledged that in January 1993 he complained that his condition was not changing much at all despite medical treatment and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September 1993 the OWCB concluded that Mr. Downey had not recovered as expected and was no longer fit for his pre-injury job. It appears that he was unable to lift more than 25 pounds and that his doctor had suggested that his disability would likely result in a permanent impairment. Mr. Downey agrees that at this point he was still looking for retraining. In a February 1994 letter to the OWCB Mr. Downey continued to seek retraining. In May 1995, he disagreed with the suggestion that he could go back to his job as a shipper/receiver.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February 1999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February 1999 accident involved picking up a piece of plywood that was stuck, while he was working at Intercontinental Truck Body. The accident happened shortly after he had begun working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July 1999 he complained to a doctor of severe lower back pain. His back pain had never improved since the injury and he had been wearing a back brace at work. In August 1999 he wrote to the British Columbia Workers' Compensation Board (the "BCWCB") stating that he was suffering from lower back pain all day and that since he hurt his back it had been very crooked, with his hips out of place. During that same month, in a telephone conversation with the BCWCB, Mr. Downey stated that following the February 1999 injury he had obtained work through a temporary service but had only worked 10 hours per week, doing "light labour". In his testimony Mr. Downey agreed with this and confirmed that he was not doing any heavy labour or welding.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May 2000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May 2000 accident happened while Mr. Downey was working at Townline Manufacturing. He tried to stop a cart with wheels from rolling and his back "went out". That accident also happened shortly after he had begun working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claim to the BCWCB Mr. Downey reports lower back pain on both sides. In a claim filed a week later he reports "pain in mid to lower back, both sides". He said in his testimony that he did not remember why he said "mid".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Dr. Chen's report to the BCWCB, dated May 24, 2000, he states that Mr. Downey complained of "low and middle back pain". In his testimony Mr. Downey said he only recalled the lower back pain; however, he did not disagree with what his doctor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July 2000 Mr. Downey was in a work-conditioning program but his doctor had him stop the program because his condition had deteriorated to the point that he could not lift a two-gallon pail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Downey went to the Semiahmoo Physiotherapist Corporation on May 30, 2000, where he filled out a form asking what his problem was. He stated "low [and] mid back pain, some pain in hips." The accompanying diagram shows a lower and mid back complaint. On that form he also indicated that the preceding year he had had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September 15, 2000, Mr. Downey visited Dr. Hicks, an orthopaedic surgeon. He complained of pain radiating into his left buttocks, into the posterior thigh and all around his knee joints. He also complained that he had not played golf for two years and did not play hockey because of the pain. In his consultation report to Dr. Chen, Dr. Hicks stated that Mr. Downey's problem "will certainly not require surgical intervention and overall ... would be best retrained by one means or another to a less demanding profession." Dr. Hicks' consultation report was not introduced as an expert report; however, Dr. Chen testified that he agreed with Dr. Hicks'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March 7, 2001, Mr. Downey visited Dr. Esdaile, a rheumatologist, for complaints relating to his back. The clinical notes indicate that Dr. Esdaile examined Mr. Downey's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17, 2002 (after the limousine accident), Mr. Downey personally appeared before the BCWCB Review Board to ask a panel to reconsider the denial of his May 2000 claim. He agreed that he told the panel that on September 13, 2000 (the date his claim for further benefits was denied) he was still having problems with his back, and that they were basically the same as he is having "now." He agreed that "now" meant January 17, 2002. He told the panel he was in the limousine accident and suffered a broken wrist and cracked bone in the back of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Retraining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is that Mr. Downey sought retraining both before and after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December 21, 2000 Mr. Downey reported to Dr. Chen that he was having a hard time finding social support, a loan, or grant for retraining. He continued to complain of back pain. On February 1, 2001 he reported similar complaints to Dr.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February 8, 2001, after the BCWCB had turned down Mr. Downey's claim relating to the May 2000 accident, he wrote an appeal stating "I have lost my job, didn't get to return, didn't get vocational rehab." In his testimony he agreed that this was about finding a less physically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relation to his March 7, 2001 visit to Dr. Esdaile, Mr. Downey testified that he was, at the time, seeking disability coverage from the BCWCB; he was looking for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January 17, 2002 hearing before the BCWCB Review Board, Mr. Downey stated that he thought he should be entitled to vocational rehabilitation benefits because he had no job to return to when his wage loss benefits were terminated. The Review Board denied his appeal. In July 2002 Mr. Downey appealed to the Appeal Division. In his appeal, he relied on the opinion of Dr. Hicks, given in September 2000, that he should seek retraining to a less physical job. Mr. Downey agreed in his testimony that, as of September 2000, he felt that he was still in need of retraining for lighter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POST-ACCIDENT PROBLEMS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accident happened on November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January 21, 2002, in Dr. Chen's post-accident Medical Report to ICBC (CL19), he stated that Mr. Downey had chronic lower back pain with degenerative changes, and that the accident exacerbated those symptoms. He agreed with that comment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January 24, 2002, Dr. Chen reported that Mr. Downey was still having back pain, worsened by the accident. Mr. Downey agreed and thinks he was initially made worse by a bruise to his tailbone.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15, 2002, Dr. Chen discussed a return to work with Mr. Downey. The clinical notes indicate that the return to work might not be at a heavy physical level but that retraining should be considered. Mr. Downey agreed that at that point (9 months after the accident) it was possible for him to find lighter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Downey attended In Motion Physiotherapy. There are a number of post-accident references to lower back pain in records from that treatment. On July 29, 2002 he complained of stiffness of the lower back that morning. On November 20, 2002 he complained of right lower back pain. On December 17, 2002 he complained of a stiff lower back. On February 5, 2003 he complained that his mid to lower back was stiff. On December 9, 2003 he complained of a painful right lower back. With respect to that noted complaint, he testified that he vaguely remembers that, as he was in pain everywhere. On May 28, 2004, he reported "stiffness/pain over the last 3 weeks through mid/low back." With respect to that statement, he said in his testimony that this is not how he remembers them treating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EXPERT 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Lui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Lui was retained by Mr. Downey's counsel to do an independent medical assessment. Dr. Lui is an orthopaedic surgeon. He examined Mr. Downey on September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report, Dr. Lui noted that Mr. Downey complained of ongoing pain of his mid back and some lower back problem, which "appeared to be the determining factor with his lack of ability to return to his previous level of function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Lui also noted that Mr. Downey complained that he had a lack of energy and strength, together with pain and inability to return to normal daily activities, including golf and other sports. In his testimony he said he understood that Mr. Downey was able to enjoy golf and other sports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 to Dr. Lui, Mr. Downey suffered severe injury of his thoracic spine with wedge compression fracture of a moderate nature involving T7 and T9 and possible T6 and T11 to the point of resulting in kyphotic deformity. There was, he says, persistent unresolved pain likely secondary to the kyphotic deformity with overloading or stretching of the posterior element as well as damage to the disk and joint and associated with the segment. A CT scan shows that subsequently degenerative change was noted to have developed at the T8-T9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Lui says that as a result of the wedge compression fracture, Mr. Downey has lost about two to three inches of height. He now also has the associated compensatory increase in lordosis of his cervical and lumbar spine, which has further compromised his originally mechanical type of lower back problem flowing from a work related injury. The wedge compression fracture has also increased and compromised the neck injury, although not as seriously as his thoracic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Downey's recovery has been at a plateau for at least two to three years. He says there is a functional disability, due to the permanent problem of pain with weakness. In Dr. Lui's opinion, Mr. Downey would unlikely be able to return to any physical type of labour, minimizing his potential in those employment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Lui is of the opinion that the kyphotic deformity of Mr. Downey's thoracic spine has caused compensatory changes of both the cervical and lumbar spine. These changes also continue to be symptomatic at this point and remain unresolved. He states that the lordotic overloading of the lumbar spine likely would cause accelerated degenerative changes which would be an unresolved ongoing disability with pain and stiffness. This is also likely to be a permanent problem, given the lack of complete resolution from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Lui stated that there is no indication for surgical treatment at this point, "though one may entertain the more likelihood than not of such surgical treatment of the back if there was no motor vehicle accident to accelerate his lower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the left wrist, Dr. Lui said that Mr. Downey has done quite well with his wrist fracture which was reduced in close-to-anatomical position, although there remained to be some symptoms of the ulnar styoid. He said, however, that there was an intra articular fracture which would raise, to some degree, the possibility of an otherwise eventful function of the wrist and which increased the probability of developing arthritis of the joint during his lifetime. Dr. Lui added that under the circumstances, Mr. Downey would likely be exposed to further treatment which might include surgery to his left wrist as compared to the scenario if he did not have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conclusion, Dr. Lui says that Mr. Downey: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doubt has suffered a significant period of time of short-term disability and with the predictable long-term and permanent problem as outlined.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doubt, vocational counselling and retraining would be necessary during the rest of his life as there would be ongoing deterioration of the spine with respect to pain, stiffness and weakness to tolerate physical activities and to some extent even with jobs that would require prolonged standing or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Lui was cross-examined on his report. He agreed that it was his understanding that Mr. Downey was suffering lower back pain before the car accident and that it was worsened by the car accident. He was questioned about his degree of knowledge of the pre-accident back problems. He was not fully aware of Mr. Downey's pre-accident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report, Dr. Lui noted that Mr. Downey had an ongoing WCB claim as a result of a work injury predating the limousine accident. In this regard, he wrote that prior to the accident, Mr. Downey "had problem only of his low back as a result of strain at work." In his evidence, Dr. Lui said that he understood that Mr. Downey's earlier trouble was with his lower back only. He was not aware of any previous mid back problems but was not in a position to disagree with the suggestion that they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Lui was referred to a May 19, 1992 OWCB letter written by Dr. McKnight, the evaluating physician. In that letter, Dr. McKnight noted that Mr. Downey's "gait is unremarkable with stance demonstrating the presence of a prominent thoracic kyphosis and bilateral shoulder drooping." Dr. Lui was quick to volunteer that one does not know whether the author meant this was a problem or if it was simply a complaint. Moreover, Dr. Lui emphasized that whatever it was, it was not as a result of a structural problem, as shown by the March 2001 X-ray of the thoracic spine. According to Dr. Lui, there must be significant structural injury to cause permanent decomposition - such as that found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Lui did not have information about the February 1991 lower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was questioned about his statement in his report that Mr. Downey lost height as a result of the limousine accident. He agreed that an excessive curve in the mid back can cause more curve in the lower spine, creating hyper lordosis. He said it is like an exaggerated S. This can cause someone to be shorter over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Lui agreed that he did not perform physical tests and he deferred to the results of a full day functional capacity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Chen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Chen, Mr. Downey's family doctor, wrote his report on December 19, 2005. His reached this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patient was involved in a fairly significant single MVA on the 10th of November 2001 whereby he sustained a fracture of his left wrist and multiple fractures in his thoracic spine. He had some initial improvement in his symptoms which included reduced range of motion in his neck, tightness and spasm in his upper back, pain and stiffness in his wrist on and off (worse with activity), and a clicking sensation in his sternum. Symptoms are made worse with prolonged standing, heavy manual labour, or prolonged sitting. He has good and bad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CT scan of thoracic spine showed no disc herniation. There was evidence on x-ray that there was a bony union of his wrist.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4 years since he experienced these symptoms and there has been very little improvement in his symptoms over the past year or so. I believe his symptoms have plateaued. I do not know if or when his symptoms will fully resolve. If they do I suspect they will take quite a few more months. I believe that he needs to continue keeping active, exercising, and attending physiotherapy as needed to help with his symptom management. He has not requested nor needed any further narcotic analgesics. I do not foresee this being required in the future with respect to his symptoms sustained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Chen confirmed in cross-examination that Mr. Downey had chronic low back pain with degenerative changes. He said that the limousine accident exacerbated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Chen was asked about the consultation report from Dr. Hicks, who Mr. Downey had visited in September 2000. As previously noted, Dr. Hicks' evaluation was that Mr. Downey's problem would probably not require surgical intervention; that it was considered best if he retrained for a less demanding profession. Dr. Chen agreed that, knowing Mr. Downey, this was a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Chen did not recall the February 1999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X-ray to the mid back, Dr. Chen did not recall who ordered it. He agreed that it would not be ordered without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Mr. Cheesman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Cheesman is an occupational therapist who did a functional capacity evaluation of Mr. Downey on June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Cheesman's opinion on Mr. Downey's fitness to work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Downey presents with a history of left wrist fracture, spinal fractures in his thoracic spine, and neck pain with intermittent onset of headache following a motor vehicle accident. Measures and observations of function suggest that Mr. Downey is capable of working full time in his present capacity as a delivery driver. This occupation appears to suit his capabilities and limitations quite well as he is sporadically involved in heavy strength functions and his primary posture through the day is sitting, which is typically interspersed between shorter standing based functions.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Downey presents with spinal postures that accentuate flexion force though his mid-thoracic and upper back structures as compared to his lumbar or thoracolumbar junction. This is likely contributing to this postural pain when adopting task intensive spinal flexion in standing and potentially when reaching forward while kneeling. The nature of his spinal fractures (compression) may be contributing to such and I would suggest some comment from involved physicians regarding this. Nonetheless, Mr. Downey demonstrates some limitation for tolerance for extended or frequent exposure to such task intensive posture. This will limit his ability to access any vocations where such posture is a primary work demand. I am of the opinion he will continue to be able to work with task intensive posture intermittently through the day managing his symptoms as he goes. This limitation may impact his ability to perform some welding work, which is a skill he used in past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Downey also presents with some limitation for repetitious forceful left hand/wrist grasping. This limitation will likely impede his ability to manage frequent heavy strength activity and some tooling functions. It will not limit his ability to perform occasional heavy strength function to the levels indicated in the material handling aspect of this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Cheesman said that Mr. Downey did not tell him he had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said that on the whole, Mr. Downey is doing quite well, although he does have a few residual limitations that may limit some aspects of future employability. The limitations would affect highly repetitive heavy strength lifting such as moving sacks of flower or moving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Cheesman was unaware that Mr. Downey had planned to move away from welding even before the car accident. Mr. Downey did not tell him of that, nor of any pre-accident plans to find less demanding work. He said that if Mr. Downey had told him so, he would have written that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Dr. Maloon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report, Dr. Maloon confirmed the injuries that Mr. Downey suffered in the limousine accident but concluded that he could find no clinical evidence to suggest that Mr. Downey had been in any way physically impaired by those injuries. He said that, given the injuries described, he would have expected Mr. Downey to have been totally disabled for two to three months and then partially disabled for a further two to three months while acute bony and soft tissue injuries healed. It was his opinion that Mr. Downey should then have been able to resume his previous level of activity with no ongoing physical disability attributable to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Findings of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parties agreed that the clinical records were not admissible for their truth; they were admitted on the basis described in </w:t>
      </w:r>
      <w:r>
        <w:rPr>
          <w:rFonts w:ascii="arial" w:eastAsia="arial" w:hAnsi="arial" w:cs="arial"/>
          <w:b/>
          <w:i/>
          <w:color w:val="000000"/>
          <w:sz w:val="20"/>
          <w:lang w:val="en-US" w:eastAsia="en-US" w:bidi="ar-SA"/>
        </w:rPr>
        <w:t>Seaman v. Crook</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[2003] B.C.J. No. 701</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The workers compensation records were similarly not admissible for their truth. Nor were any opinions expressed in those records by the people with whom Mr. Downey was dealing. The only use I have made of those records is the fact the he made statements in them that were inconsistent with the evidence he gave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with both parties that Mr. Downey suffered a significant non-pecuniary loss as a result of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that the functional impairment Mr. Downey now has, he had just before the motor vehicle accident. I reach that conclusion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Downey suffered a significant injury to his lower back in October 1991. That injury turned out to be of such magnitude that he was found to have a 13% permanent partial disability, a fact he acknowledges. Moreover, he considered the impact of that injury to be to the extent that he could not continue to do the type of work he did before. This was an ongoing theme in his interactions with the OWCB, where he continued to seek retraining to a different profession. While I recognize that Mr. Downey's own view of the nature of his functional impairment is not determinative of the issue, it must be noted that Mr. Downey is in a good position to assess his own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Downey's view of these limitations was confirmed by the February 1999 injury. I accept the evidence of Mr. Van Setter, his employer, that the plywood in issue was small and light. Mr. Downey had only been working a short period of time before injuring his back. The circumstances surrounding the May 2000 injury were quite similar. I am satisfied based on the evidence of his employer Mr. Thiessen that the cart at issue was light and on wheels. Again, Mr. Downey had only been working there a short time before his injury. The fact that Mr. Downey was injured doing relatively light work, and relatively soon after starting each of these jobs, assists me in finding that he had ongoing limitations relating to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Downey continued to complain to the BCWCB that he required retraining. It is significant that he continued to do so even after the limousine accident. In fact, at his appeal before the BCWCB Review Board, he did not mention the injury to his back in the limousine accident, but focused on the back injuries relating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Mr. Downey testified in court that as a result of the limousine accident he was no longer able to do things like play golf and hockey, he had made that complaint to Dr. Hicks in September 2000, a full year before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shows that he did have mid back problems before the motor vehicle accident. This is so in spite of the fact that he testified in examination in chief that he did not. The problems that he had after the accident related primarily to his mid back, but he also had ongoing problems with his lower back. As his own family physician, Dr. Chen said, his lower back problems were exacerbated by the limousine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Therefore, for the purposes of fitness to work and ability to pursue a vocation, I find that the limousine accident did not negatively impact Mr. Downey's ability to work. He was already unfit for certain lines of work before the accident due to problems with his lower and mid back. The limousine accident did not affect his pre-existing inadequacy for those lines of work, nor did it negatively affect his employability in other lines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I note that there was a period of time after the limousine accident during which Mr. Downey was unable to work at any job. The defendants argued that he was not motivated and could have found work. I am not satisfied that this is borne out by the evidence. In fact, Mr. Downey did take security guard training and worked at the job with Intercon, which was non-heavy labour employment. His work history shows that while his work was sporadic, he did in fact work. I am satisfied on a balance of probabilities that although the limousine accident did not impact Mr. Downey's ability to work in the future, it did affect his ability to work in the period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agree with the view that the limousine accident caused a significant non pecuniary loss. I have considered the evidence in this respect and the cases relied upon by counsel. Each case must be assessed on its own facts. I assess his non-pecuniary damages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I said at the outset, Mr. Downey asks for compensation for past income loss and for loss of future earning capacity. I find that Mr. Downey is entitled to $7,000 for past income loss but he is not entitled to any recovery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noted above, there was a period of time after the limousine accident during which Mr. Downey was unable to work. I am satisfied on a balance of probabilities that the accident caused his inability to work during that period. Having found that the accident was the cause of his inability to work immediately after the accident, I must determine what the appropriate quantum of recovery is. The test for determining quantum is "relative likelihood":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[2004] B.C.J. No. 2509</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[paragraph] 36;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[paragraph] 27. This is so because the quantum of the loss is, by its nature, a hypothetical event, regardless of whether the loss occurred in the past or is expected to occur in the future. A plaintiff cannot be expected to prove a hypothetical event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a result, Mr. Downey's past income loss, being a hypothetical event, need not be proven on a balance of probabilities. Instead, I must give it weight according to its relative likelihood. On that basis, I find that Mr. Downey is entitled to $7,000 for loss of past income. In reaching this conclusion I have considered the extensive evidence of his income in the several years before the accident as well as the significant periods of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noted above, I have concluded that the limousine accident did not affect Mr. Downey's ability to work, either in his current line of work or in other lines of work. Any limitations he has are due to pre-existing problems with his back. Therefore, he is not entitled to any recovery under this head of damages. I have reached this conclusion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measuring compensatory damages, the most basic principle of tort law is that the plaintiff should be awarded damages sufficient to place him in the position which he would have been in had the tort not been committed. As a result the question is: to what degree has the tortious injury negatively affected Mr. Downey's ability to earn income, compared to what his position would have been if he had not suffered the tort? As explained by Major J.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w:t>
      </w:r>
      <w:r>
        <w:rPr>
          <w:rFonts w:ascii="arial" w:eastAsia="arial" w:hAnsi="arial" w:cs="arial"/>
          <w:color w:val="000000"/>
          <w:sz w:val="20"/>
          <w:u w:val="single"/>
          <w:lang w:val="en-US" w:eastAsia="en-US" w:bidi="ar-SA"/>
        </w:rPr>
        <w:t>It is the difference between these positions, the "original position" and the "injured position", which is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On the specific issue of lost income, "loss of the value of work is the substance of the claim - loss of the value of any work the plaintiff would have done but for the accident but now will be unable to do.":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B.C.J. No. 523</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([paragraph]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have concluded that Mr. Downey had extensive back problems that pre-dated the accident. His condition was such that he was already unable to perform certain types of work. The accident caused further damage to his back and damage to his wrist; for this, he is entitled to non-pecuniary damages. However, despite the additional damage caused to his back as a result of the accident, the accident did not further impair his ability to work. Therefore, with respect to loss of future earning capacity, there is no difference between Mr. Downey's "original position" and his "injured position". The work he would have done, or would have been able to do, but for the accident is zero (with the exception of past income loss as described above). The accident did not negatively affect Mr. Downey's earning capacity. See </w:t>
      </w:r>
      <w:r>
        <w:rPr>
          <w:rFonts w:ascii="arial" w:eastAsia="arial" w:hAnsi="arial" w:cs="arial"/>
          <w:b/>
          <w:i/>
          <w:color w:val="000000"/>
          <w:sz w:val="20"/>
          <w:lang w:val="en-US" w:eastAsia="en-US" w:bidi="ar-SA"/>
        </w:rPr>
        <w:t>Tino v. Kirson</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[2004] B.C.J. No. 1350</w:t>
        </w:r>
      </w:hyperlink>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2004 BCSC 878</w:t>
        </w:r>
      </w:hyperlink>
      <w:r>
        <w:rPr>
          <w:rFonts w:ascii="arial" w:eastAsia="arial" w:hAnsi="arial" w:cs="arial"/>
          <w:color w:val="000000"/>
          <w:sz w:val="20"/>
          <w:lang w:val="en-US" w:eastAsia="en-US" w:bidi="ar-SA"/>
        </w:rPr>
        <w:t xml:space="preserve"> ([paragraph] 16-18), </w:t>
      </w:r>
      <w:r>
        <w:rPr>
          <w:rFonts w:ascii="arial" w:eastAsia="arial" w:hAnsi="arial" w:cs="arial"/>
          <w:b/>
          <w:i/>
          <w:color w:val="000000"/>
          <w:sz w:val="20"/>
          <w:lang w:val="en-US" w:eastAsia="en-US" w:bidi="ar-SA"/>
        </w:rPr>
        <w:t>Hart v. Texmo</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[2003] B.C.J. No. 1673</w:t>
        </w:r>
      </w:hyperlink>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2003 BCSC 1092</w:t>
        </w:r>
      </w:hyperlink>
      <w:r>
        <w:rPr>
          <w:rFonts w:ascii="arial" w:eastAsia="arial" w:hAnsi="arial" w:cs="arial"/>
          <w:color w:val="000000"/>
          <w:sz w:val="20"/>
          <w:lang w:val="en-US" w:eastAsia="en-US" w:bidi="ar-SA"/>
        </w:rPr>
        <w:t xml:space="preserve"> ([paragraph] 113-115) and </w:t>
      </w:r>
      <w:r>
        <w:rPr>
          <w:rFonts w:ascii="arial" w:eastAsia="arial" w:hAnsi="arial" w:cs="arial"/>
          <w:b/>
          <w:i/>
          <w:color w:val="000000"/>
          <w:sz w:val="20"/>
          <w:lang w:val="en-US" w:eastAsia="en-US" w:bidi="ar-SA"/>
        </w:rPr>
        <w:t>Christian v. Redden</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[1995] B.C.J. No. 1986</w:t>
        </w:r>
      </w:hyperlink>
      <w:r>
        <w:rPr>
          <w:rFonts w:ascii="arial" w:eastAsia="arial" w:hAnsi="arial" w:cs="arial"/>
          <w:color w:val="000000"/>
          <w:sz w:val="20"/>
          <w:lang w:val="en-US" w:eastAsia="en-US" w:bidi="ar-SA"/>
        </w:rPr>
        <w:t xml:space="preserve"> (S.C.) ([paragraph] 36-39).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have considered the cases relied upon by Mr. Downey: </w:t>
      </w:r>
      <w:r>
        <w:rPr>
          <w:rFonts w:ascii="arial" w:eastAsia="arial" w:hAnsi="arial" w:cs="arial"/>
          <w:b/>
          <w:i/>
          <w:color w:val="000000"/>
          <w:sz w:val="20"/>
          <w:lang w:val="en-US" w:eastAsia="en-US" w:bidi="ar-SA"/>
        </w:rPr>
        <w:t>Rowe, Forsyth v. Sikorsky Aircraft Corp.</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[2000] B.C.J. No. 813</w:t>
        </w:r>
      </w:hyperlink>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2000 BCSC 642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Knickle v. Filipovic</w:t>
      </w:r>
      <w:r>
        <w:rPr>
          <w:rFonts w:ascii="arial" w:eastAsia="arial" w:hAnsi="arial" w:cs="arial"/>
          <w:color w:val="000000"/>
          <w:sz w:val="20"/>
          <w:lang w:val="en-US" w:eastAsia="en-US" w:bidi="ar-SA"/>
        </w:rPr>
        <w:t xml:space="preserve">,[2006] B.C.J. No. 2997, </w:t>
      </w:r>
      <w:hyperlink r:id="rId958" w:history="1">
        <w:r>
          <w:rPr>
            <w:rFonts w:ascii="arial" w:eastAsia="arial" w:hAnsi="arial" w:cs="arial"/>
            <w:i/>
            <w:color w:val="0077CC"/>
            <w:sz w:val="20"/>
            <w:u w:val="single"/>
            <w:shd w:val="clear" w:color="auto" w:fill="FFFFFF"/>
            <w:lang w:val="en-US" w:eastAsia="en-US" w:bidi="ar-SA"/>
          </w:rPr>
          <w:t>2006 BCSC 1693</w:t>
        </w:r>
      </w:hyperlink>
      <w:r>
        <w:rPr>
          <w:rFonts w:ascii="arial" w:eastAsia="arial" w:hAnsi="arial" w:cs="arial"/>
          <w:color w:val="000000"/>
          <w:sz w:val="20"/>
          <w:lang w:val="en-US" w:eastAsia="en-US" w:bidi="ar-SA"/>
        </w:rPr>
        <w:t xml:space="preserve">. Those cases are distinguishable because in each the Court found that the plaintiff had suffered a tortious injury which negatively impacted the plaintiff's ability to earn money. In </w:t>
      </w:r>
      <w:r>
        <w:rPr>
          <w:rFonts w:ascii="arial" w:eastAsia="arial" w:hAnsi="arial" w:cs="arial"/>
          <w:b/>
          <w:i/>
          <w:color w:val="000000"/>
          <w:sz w:val="20"/>
          <w:lang w:val="en-US" w:eastAsia="en-US" w:bidi="ar-SA"/>
        </w:rPr>
        <w:t>Rowe</w:t>
      </w:r>
      <w:r>
        <w:rPr>
          <w:rFonts w:ascii="arial" w:eastAsia="arial" w:hAnsi="arial" w:cs="arial"/>
          <w:color w:val="000000"/>
          <w:sz w:val="20"/>
          <w:lang w:val="en-US" w:eastAsia="en-US" w:bidi="ar-SA"/>
        </w:rPr>
        <w:t>, the Court stated that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Rowe was neither a wage-earner nor a salaried employee, nor did he receive remuneration for his work in the form of the profits of a closely-held company through which he carried on business. However, </w:t>
      </w:r>
      <w:r>
        <w:rPr>
          <w:rFonts w:ascii="arial" w:eastAsia="arial" w:hAnsi="arial" w:cs="arial"/>
          <w:color w:val="000000"/>
          <w:sz w:val="20"/>
          <w:u w:val="single"/>
          <w:lang w:val="en-US" w:eastAsia="en-US" w:bidi="ar-SA"/>
        </w:rPr>
        <w:t>it is not disputed that, by reason of his injuries, he was unable to do many things that, but for his injuries, he could have done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Forsyth</w:t>
      </w:r>
      <w:r>
        <w:rPr>
          <w:rFonts w:ascii="arial" w:eastAsia="arial" w:hAnsi="arial" w:cs="arial"/>
          <w:color w:val="000000"/>
          <w:sz w:val="20"/>
          <w:lang w:val="en-US" w:eastAsia="en-US" w:bidi="ar-SA"/>
        </w:rPr>
        <w:t xml:space="preserve">, all three plaintiffs suffered tortuous injuries that negatively impacted their ability to earn an income. In </w:t>
      </w:r>
      <w:r>
        <w:rPr>
          <w:rFonts w:ascii="arial" w:eastAsia="arial" w:hAnsi="arial" w:cs="arial"/>
          <w:b/>
          <w:i/>
          <w:color w:val="000000"/>
          <w:sz w:val="20"/>
          <w:lang w:val="en-US" w:eastAsia="en-US" w:bidi="ar-SA"/>
        </w:rPr>
        <w:t>Knickle</w:t>
      </w:r>
      <w:r>
        <w:rPr>
          <w:rFonts w:ascii="arial" w:eastAsia="arial" w:hAnsi="arial" w:cs="arial"/>
          <w:color w:val="000000"/>
          <w:sz w:val="20"/>
          <w:lang w:val="en-US" w:eastAsia="en-US" w:bidi="ar-SA"/>
        </w:rPr>
        <w:t>, the Court found that the plaintiff's past income would have been higher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Downey also relied upon </w:t>
      </w:r>
      <w:r>
        <w:rPr>
          <w:rFonts w:ascii="arial" w:eastAsia="arial" w:hAnsi="arial" w:cs="arial"/>
          <w:b/>
          <w:i/>
          <w:color w:val="000000"/>
          <w:sz w:val="20"/>
          <w:lang w:val="en-US" w:eastAsia="en-US" w:bidi="ar-SA"/>
        </w:rPr>
        <w:t>Bains v. Prasad</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[2005] B.C.J. No. 2643</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2005 BCSC 1694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[2005] B.C.J. No. 2838</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2005 BCSC 1812</w:t>
        </w:r>
      </w:hyperlink>
      <w:r>
        <w:rPr>
          <w:rFonts w:ascii="arial" w:eastAsia="arial" w:hAnsi="arial" w:cs="arial"/>
          <w:color w:val="000000"/>
          <w:sz w:val="20"/>
          <w:lang w:val="en-US" w:eastAsia="en-US" w:bidi="ar-SA"/>
        </w:rPr>
        <w:t>, where there was no actual loss of income but the Court still awarded damages for loss of future earning capacity. Those cases are also distinguishable because in each there was a finding that the plaintiff's ability to perform "other" kinds of work was limited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Steward</w:t>
      </w:r>
      <w:r>
        <w:rPr>
          <w:rFonts w:ascii="arial" w:eastAsia="arial" w:hAnsi="arial" w:cs="arial"/>
          <w:color w:val="000000"/>
          <w:sz w:val="20"/>
          <w:lang w:val="en-US" w:eastAsia="en-US" w:bidi="ar-SA"/>
        </w:rPr>
        <w:t>, the Court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44 In my view, this was not a case where it would be appropriate to calculate potential loss of earnings for the plaintiff in the future. It appears that the plaintiff may earn as much in the future as he would have if not injured.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45 This does not mean, however, that the plaintiff is not entitled to compensation for the impairment of his earning capacity </w:t>
      </w:r>
      <w:r>
        <w:rPr>
          <w:rFonts w:ascii="arial" w:eastAsia="arial" w:hAnsi="arial" w:cs="arial"/>
          <w:color w:val="000000"/>
          <w:sz w:val="20"/>
          <w:u w:val="single"/>
          <w:lang w:val="en-US" w:eastAsia="en-US" w:bidi="ar-SA"/>
        </w:rPr>
        <w:t>in other occupations that may now be closed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Bains</w:t>
      </w:r>
      <w:r>
        <w:rPr>
          <w:rFonts w:ascii="arial" w:eastAsia="arial" w:hAnsi="arial" w:cs="arial"/>
          <w:color w:val="000000"/>
          <w:sz w:val="20"/>
          <w:lang w:val="en-US" w:eastAsia="en-US" w:bidi="ar-SA"/>
        </w:rPr>
        <w:t>, the trial judge was satisfied that ([paragraph]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capacity to perform certain work-related activities which require ongoing physical exertion and stamina </w:t>
      </w:r>
      <w:r>
        <w:rPr>
          <w:rFonts w:ascii="arial" w:eastAsia="arial" w:hAnsi="arial" w:cs="arial"/>
          <w:color w:val="000000"/>
          <w:sz w:val="20"/>
          <w:u w:val="single"/>
          <w:lang w:val="en-US" w:eastAsia="en-US" w:bidi="ar-SA"/>
        </w:rPr>
        <w:t>is limited by his injuries</w:t>
      </w:r>
      <w:r>
        <w:rPr>
          <w:rFonts w:ascii="arial" w:eastAsia="arial" w:hAnsi="arial" w:cs="arial"/>
          <w:color w:val="000000"/>
          <w:sz w:val="20"/>
          <w:lang w:val="en-US" w:eastAsia="en-US" w:bidi="ar-SA"/>
        </w:rPr>
        <w:t xml:space="preserve"> and that as a consequence his income earning capacity has been impaired. On the authority of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this loss is compensable even in the absence of actual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There are circumstances in which a plaintiff who does not suffer a loss in earnings as a result of tortious injury may still be awarded damages for loss of earning capacity. However, the reason for an award in that type of case is that whereas the tortious injury has not affected the plaintiff's ability to earn money in his present line of work, it has reduced his ability to earn money in other occupations, since those other occupations may now be closed to him by reason of the tortious injury. As noted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Here, Mr. Downey does not have any additional occupations closed to him as a result of the limousine accident than were not already closed to him by reason of his pre-existing injuries immediately before the limousine accident. This is not an appropriate case for an award of damages for loss of future earning capacity. On the facts, the accident did not negatively impact Mr. Downey's ability to earn an income, either in his current line of work or in other lines of work, any more so than it was already affected by his pre-existing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Downey is entitled to:</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amount of $75,000</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in the amount of $7,000.</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amount of $3,610.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Farallon Mining Ltd. v. St. Eloi, [2012] B.C.J. No. 815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S096393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609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Farallon Mining Ltd. and J. Richard H. Whittington, Plaintiffs, and David St. Eloi,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6" w:name="Keywords_46"/>
      <w:bookmarkEnd w:id="386"/>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Particulars — Application by plaintiff for order striking out defendant's further amended response to claim allowed in part — Plaintiff brought action for damages for internet defamation — Defendant published commentary alleging that plaintiff had stolen mining project from its rightful owner on internet — Defendant relied principally on defence of justification — Defendant failed to provide sufficient particulars of justification — Striking defendant's entire pleading would have been disproportionate response — Appropriate response was to order further and better particulars — Paragraphs of response that did not disclose reasonable defence were struck.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Pleadings — Pleading justification — Particulars — Application by plaintiff for order striking out defendant's further amended response to claim allowed in part — Plaintiff brought action for damages for internet defamation — Defendant published commentary alleging that plaintiff had stolen mining project from its rightful owner on internet — Defendant relied principally on defence of justification — Defendant failed to provide sufficient particulars of justification — Striking defendant's entire pleading would have been disproportionate response — Appropriate response was to order further and better particulars — Paragraphs of response that did not disclose reasonable defence were struck.</w:t>
      </w:r>
    </w:p>
    <w:p>
      <w:pPr>
        <w:jc w:val="both"/>
        <w:rPr>
          <w:rFonts w:ascii="arial" w:eastAsia="arial" w:hAnsi="arial" w:cs="arial"/>
          <w:sz w:val="20"/>
          <w:lang w:val="en-US" w:eastAsia="en-US" w:bidi="ar-SA"/>
        </w:rPr>
      </w:pPr>
      <w:bookmarkStart w:id="387" w:name="Counsel_46"/>
      <w:bookmarkEnd w:id="3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Tom Hakemi and Joel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Jeremy Rusinek.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8" w:name="Judgment_46"/>
      <w:bookmarkEnd w:id="388"/>
      <w:r>
        <w:pict>
          <v:line id="_x0000_s1263"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9" w:name="J.C. GRAUER J."/>
            <w:bookmarkEnd w:id="389"/>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an order striking out the defendant's Further Amended (No. 2) Response to Civil Claim, or alternatively striking out portions of that response. Other applications on both sides were adjourned pending the result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brought in the context of an action for damages for Internet defamation. Farallon Mining Ltd. is a publicly traded Vancouver-based mining company whose shares are listed on the Toronto Stock exchange under the symbol FAN. Richard Whittington is its president and chief executive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object to commentary published by David St. Eloi on the Internet concerning Farallon's Campo Morado project in Guerrero, one of the United Mexican States. Mr. St. Eloi lives in Sydney, Australia, and posted a number of comments concerning the Campo Morado project on a bulletin board devoted to Farallon at the &lt;stockhouse.ca&gt; website, which covers a number of junior mining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basic theme of Mr. St. Eloi's postings is that Farallon stole, or participated in the theft of, the project from its rightful owner, one David Hermiston, so that Farallon does not have rightful title to the project, and has been misleading its shareholders. The following is a representative example of Mr. St. Eloi's postings, which I have not corrected for apostrophe use or other punctuation eccentricities: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only scraped the surface of this conspiracy, and the more I read and the more I dig the more I want to get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this hermy fella, will make more on a book and movie deal.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really is a sad day, when a person know's that another persons life work was stolen right out from underneath him, and are only happy, when they are trying to make money off another mans misery.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was a FAN.shareholder I don't think I would be able to sleep at night, knowing that I was part of the biggest scam since bre-x.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other examples, Mr. St. Eloi called Farallon "THE BIGGEST PACK OF LIARS" [emphasis original], described its actions as fraudulent, and compared Mr. Whittington to the infamous Bernie Madoff. When litigation in Mexico concerning the rights to the project was resolved against Mr. Hermiston, Mr. St. Eloi added bribery of the judiciary to his list of sins committed by the company and its president. The Amended Notice of Civil Claim sets out some 30 pages of alleged defamatory postings with particulars of innuendo.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serving Mr. St. Eloi substitutionally, Farallon initially obtained judgment against him in default of an appearance. Mr. St. Eloi successfully applied to set aside that default judgment. In his affidavit No. 1, filed in support of that application, Mr. St. Eloi deposed:</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admit posting the statements alleged by Farallon Mining Corporation [sic]. I lived in Australia when I made those posts from my personal computer however I had good reason to say what I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St. Eloi subsequently applied for summary dismissal of the plaintiffs' action, which application was dismissed by Wedge J.: </w:t>
      </w:r>
      <w:r>
        <w:rPr>
          <w:rFonts w:ascii="arial" w:eastAsia="arial" w:hAnsi="arial" w:cs="arial"/>
          <w:i/>
          <w:color w:val="000000"/>
          <w:sz w:val="20"/>
          <w:lang w:val="en-US" w:eastAsia="en-US" w:bidi="ar-SA"/>
        </w:rPr>
        <w:t>Farallon Mining Ltd. v. St. Eloi</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2012 BCSC 264</w:t>
        </w:r>
      </w:hyperlink>
      <w:r>
        <w:rPr>
          <w:rFonts w:ascii="arial" w:eastAsia="arial" w:hAnsi="arial" w:cs="arial"/>
          <w:color w:val="000000"/>
          <w:sz w:val="20"/>
          <w:lang w:val="en-US" w:eastAsia="en-US" w:bidi="ar-SA"/>
        </w:rPr>
        <w:t>. The application was based upon the proposition that the plaintiffs could not prove their claim because they could not establish that the printouts of the postings which they downloaded from the Stockhouse website were authentic copies of the electronically-based documents on which they relied. In the absence of evidence of a chain of custody, or evidence from Stockhouse confirming their authenticity, their claim, the defendant argued,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Madam Justice Wedge noted that the defendant had admitted making at least some of the postings, and that discovery was incomplete. Accordingly, she concluded that the matter was not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Notwithstanding his admissions, the defendant continues to advance that evidentiary defence in the form of a general denial that he published the postings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terms of the pleadings, the defendant filed his first statement of defence after the default judgment was set aside, in approximately May of 2010. In August of 2010, the Statement of Claim was converted into a Notice of Civil Claim, and the defendant's Response to Civil Claim was filed on October 14, 2010. The plaintiff filed an Amended Notice of Civil Claim by consent on May 4, 2011, principally to specify which aspects of the postings that had been appended to its previous pleading in full, were allegedly defamatory, and also to particularize the defamatory meanings. The defendant filed its Amended Response to Civil Claim on May 10, 2011, and a Further Amended Response to Civil Claim on May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had brought an application in March of 2011 which included an application for an order striking out the defendant's Response to Civil Claim. That was adjourned by order of Sigurdson J. to allow the defendant time to retain new counsel, the defendant and his previous counsel having parted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appointment of new counsel led to the amended response and further amended response filed in May of 2011. On July 21, 2011, the plaintiffs applied before Butler J. for an order striking out the Further Amended Response to Civil Claim. Mr. Justice Butler ordered, among other things, that the defendant serve the plaintiffs with certain further and better particulars by August 12, 2011, following which the plaintiff would be at liberty to renew their application for an order striking out the defendant's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this order, the defendant filed its Further Amended (No. 2) Response to Civil Claim on October 13, 2011. The plaintiffs have now renewed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appreciate the basis for the plaintiffs' application, it is important to understand the essential nature of Mr. St. Eloi's defence. As suggested by the paragraph quoted above from his affidavit No. 1, Mr. St. Eloi relies principally on the defence of justification, pleading:</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there exists decisions of the courts in Mexico that have made findings that certain Mexican individuals [names omitted] acted either fraudulently or unlawfully to deprive David Hermiston of his shares in a Mexican company, Minera Summit de Mexico S.A. de C.V. ("Minera Summit"), which held the mining concessions to the Campo Morado Mining property ("Campo Dorado"), and that [X] fraudulently or unlawfully conspired to transfer such shares to Farallon or an agent or subsidiary of Farallon. The defendant further says that Farallon's actions before, during and following the transfer of shares constitute various wrongs, as set out in paragraph 5A below, and which the defendant further relies on for his justification defence. The defendant has particularized the facts and matters relied on for these allegations in paragraph 19, subparagraphs iv, xv, xvi, xix-xxviii, xxxiii-xxxv, xxxviii, xxxix, xli, xliii, xliv, and xlvi. To further particularize, the defendant says that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19 sets out what are described as "Defendant's Particulars re: justification and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argue that notwithstanding the many opportunities the defendant has had to provide proper particulars of his defence of justification, he has failed to do so. Although he has pleaded, for instance, fraud on the part of certain named persons against David Hermiston in relation to the title to the Campo Morado project, he has failed to plead any particulars that would connect the alleged defrauding of Mr. Hermiston to anything done by either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closest that the pleadings come to such a connection is in paragraph 5A, where the following particulars are supplied: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Farallon, its agents and representatives, or one or more of them, knew of Hermiston's interest in Minera Summit and assisted [X] in wrongfully depriving Hermiston of his Minera Summit shares for Farallon's benefit, or alternatively, Farallon received the Minera Summit shares from [X] knowing that they had been obtained wrongfully, or recklessly, without caring that they had been obtained wrongfully;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even if Farallon did not knowingly assist [X] in the fraud on Hermiston, or if Farallon did not purchase Minera Summit knowing of [X]'s fraud, which is specifically denied, Farallon could obtain no better title to the Minera Summit shares than [X] possessed at the time of the sale and that, as against Hermiston, [X] did not have good title to the shares. In the premises Farallon did not obtain good title to the shares from [X] as against Hermiston and Farallon's denials of Hermiston's ownership rights and its own assertions of ownership ... amount to misrepresentation and lies about Farallon's title to the shares and, by extension, Campo Morado.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doubt that, as the plaintiffs submit, "defamation proceedings are technical in nature and 'pleading-dependent'." (</w:t>
      </w:r>
      <w:r>
        <w:rPr>
          <w:rFonts w:ascii="arial" w:eastAsia="arial" w:hAnsi="arial" w:cs="arial"/>
          <w:i/>
          <w:color w:val="000000"/>
          <w:sz w:val="20"/>
          <w:lang w:val="en-US" w:eastAsia="en-US" w:bidi="ar-SA"/>
        </w:rPr>
        <w:t>Meyer v. Chouhan</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2001 BCSC 1446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is particularly important where the defences of justification and fair comment are raised. Before going to trial, the plaintiffs are entitled to know precisely what it is they are alleged to have done that justifies what was said about them; see, for instance, </w:t>
      </w:r>
      <w:r>
        <w:rPr>
          <w:rFonts w:ascii="arial" w:eastAsia="arial" w:hAnsi="arial" w:cs="arial"/>
          <w:i/>
          <w:color w:val="000000"/>
          <w:sz w:val="20"/>
          <w:lang w:val="en-US" w:eastAsia="en-US" w:bidi="ar-SA"/>
        </w:rPr>
        <w:t>International Brotherhood of Electrical Workers, Local No. 213 v. Pacific Newspaper Group Inc.</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2004 BCSC 310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failure to provide appropriately specific particulars exposes the plaintiffs to unreasonably wide discovery of documents and examination for discovery while the defendant fishes for helpful evidence. It must be borne in mind that the particulars required relate to facts that were in the hands of the defendant at the time of the alleged libel. Justification cannot arise from after-acquired facts: </w:t>
      </w:r>
      <w:r>
        <w:rPr>
          <w:rFonts w:ascii="arial" w:eastAsia="arial" w:hAnsi="arial" w:cs="arial"/>
          <w:i/>
          <w:color w:val="000000"/>
          <w:sz w:val="20"/>
          <w:lang w:val="en-US" w:eastAsia="en-US" w:bidi="ar-SA"/>
        </w:rPr>
        <w:t>International Brotherhood of Electrical Workers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Fletcher-Gordon v. Southam Inc.</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(1997), 28 B.C.L.R. (3d) 187</w:t>
        </w:r>
      </w:hyperlink>
      <w:r>
        <w:rPr>
          <w:rFonts w:ascii="arial" w:eastAsia="arial" w:hAnsi="arial" w:cs="arial"/>
          <w:color w:val="000000"/>
          <w:sz w:val="20"/>
          <w:lang w:val="en-US" w:eastAsia="en-US" w:bidi="ar-SA"/>
        </w:rPr>
        <w:t xml:space="preserve"> (S.C.), aff'd </w:t>
      </w:r>
      <w:hyperlink r:id="rId973" w:history="1">
        <w:r>
          <w:rPr>
            <w:rFonts w:ascii="arial" w:eastAsia="arial" w:hAnsi="arial" w:cs="arial"/>
            <w:i/>
            <w:color w:val="0077CC"/>
            <w:sz w:val="20"/>
            <w:u w:val="single"/>
            <w:shd w:val="clear" w:color="auto" w:fill="FFFFFF"/>
            <w:lang w:val="en-US" w:eastAsia="en-US" w:bidi="ar-SA"/>
          </w:rPr>
          <w:t>(1997), 29 B.C.L.R. (3d) 197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Consequently, a defendant cannot rely upon particulars 'within the knowledge of the plaintiffs' or 'to be provided after discovery'. If a defendant is unable to particularize facts within his knowledge at the time of the alleged libel which justify what he said, then he ought not to be pleading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Most of the particulars provided by the defendant seem at least to verge on constituting vexatious and embarrassing pleadings, seeking to relitigate court proceedings that have been completed in Mexico, and setting out allegations that have little to do with the plaintiffs. They do not specify just what it is that Farallon did that allegedly justified Mr. St. Eloi accusing it of outright theft, fraud, bribery of judicial officials, and manipulation of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the defendant, the heart of his justification of the theft allegations is set out in pleadings to the effect that Farallon through its agents took action to acquire the property from the purported owner, X, notwithstanding knowledge that there was a dispute between X and Mr. Hermiston: an example is paragraph 26:</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and in response to the plaintiffs' particular allegations ... that the words complained of, in their natural and ordinary meaning and/or by innuendo, meant and were understood to mean that the plaintiff's or either of them "had engaged in theft" and "had obtained the Campell Morado property through illicit means", which meanings are denied, the defendant says that if he published the words complained of, which is denied, the words meant and were understood to mean that Farallon had acquired Campell Morado from [X] who had acquired the property through a series of transactions which involved forgery and fraud perpetrated on the rightful owner of Campell Morado, Hermiston as 100% shareholder in Minera Summit, and Farallon knew, ought to have known or was willfully blind to the reality of how [X] came to acquire Campell Morado and was complicit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of this dances around the question of how it is that the defendant proposes to justify the allegations he denies making yet admits having made, but does not provide the specificity required in the circumstances. The "transactions which involved forgery and fraud", of which Farallon allegedly knew, are not described in any detail, nor is it stated on what basis Farallon ought to have known of such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Similarly, when it comes to the bribery allegations, the particulars at best support a suggestion that the delays in and results of the Mexican court rulings: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could be blamed on the evidence of judicial and legal misconduct in the Hermiston civil case ..., and the procedures in place in the Mexican court system such as the amparo and constitutional revision procedures designed to deal with concerns about judicial corruption.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Nothing is pleaded to particularize what the plaintiffs did that would constitute bribery, with one exception that is clearly inadequate in its hearsay form, constituting evidence rather than fact, and its lack of any identification of the lawyer in question, not to mention any reference to time, date and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28(b) because of delays in moving his claims forward, Hermiston visited his Mexican lawyer's office and discovered his lawyer's relationship with [X] and that this lawyer was being paid by Farallon to delay the trial and then intentionally lose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question is whether these inadequacies justify an order striking out the pleading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I noted in </w:t>
      </w:r>
      <w:r>
        <w:rPr>
          <w:rFonts w:ascii="arial" w:eastAsia="arial" w:hAnsi="arial" w:cs="arial"/>
          <w:i/>
          <w:color w:val="000000"/>
          <w:sz w:val="20"/>
          <w:lang w:val="en-US" w:eastAsia="en-US" w:bidi="ar-SA"/>
        </w:rPr>
        <w:t>Haebler Construction (2003) Inc. v. Condura Forming Ltd.</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2011 BCSC 1509</w:t>
        </w:r>
      </w:hyperlink>
      <w:r>
        <w:rPr>
          <w:rFonts w:ascii="arial" w:eastAsia="arial" w:hAnsi="arial" w:cs="arial"/>
          <w:color w:val="000000"/>
          <w:sz w:val="20"/>
          <w:lang w:val="en-US" w:eastAsia="en-US" w:bidi="ar-SA"/>
        </w:rPr>
        <w:t xml:space="preserve">, quoting Southin J.A. in </w:t>
      </w:r>
      <w:r>
        <w:rPr>
          <w:rFonts w:ascii="arial" w:eastAsia="arial" w:hAnsi="arial" w:cs="arial"/>
          <w:i/>
          <w:color w:val="000000"/>
          <w:sz w:val="20"/>
          <w:lang w:val="en-US" w:eastAsia="en-US" w:bidi="ar-SA"/>
        </w:rPr>
        <w:t>Homer Estate v. Eurocopter S.A</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striking a defence "is a Draconian remedy only to be invoked in the most egregious of cases because it deprives the litigants of a trial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Important factors to be taken into account in determining whether to invoke the remedy include whether the defendant is guilty of repeated instances of non-compliance with the rules or court orders, and whether the degree of delict is proportional to the degree of sanction imposed. This raises the issue of whether a lesser remedy would suffice. See, for instance: </w:t>
      </w:r>
      <w:r>
        <w:rPr>
          <w:rFonts w:ascii="arial" w:eastAsia="arial" w:hAnsi="arial" w:cs="arial"/>
          <w:i/>
          <w:color w:val="000000"/>
          <w:sz w:val="20"/>
          <w:lang w:val="en-US" w:eastAsia="en-US" w:bidi="ar-SA"/>
        </w:rPr>
        <w:t>Schwarzinger v. Bramwell</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2011 BCSC 304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612797 B.C. Ltd. v. Ferguson</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2009 BCCA 404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House of Sga'nisim v. Canada (Attorney General)</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2007 BCCA 483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following factors persuade me that it would be disproportionate to strike out the defendant's response at this stage: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not, strictly speaking, guilty of repeated instances of non-compliance. Although he has filed several amended pleadings, he has provided lengthy responses to the requests and order for particulars. This is a complicated area, and although the particulars in support of his plea of justification are largely inadequate, it cannot be said that they are wholly unresponsive, or that he has ignored his obligations under the rules or court orders.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other issues raised in his defence which ought not to be struck at this time simply because of the inadequacies in relation to particulars of justification.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what I consider to be a satisfactory alternative remedy, being an order to provide further and better particulars, and an order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I decline to strike out the defendant's Further Amended (No. 2) Response to Civil Claim, but grant the plaintiffs' alternative application for an order that the defendant provide further and better particulars of his pleas of justification and fair comment. With respect to the latter plea, I refer, of course, to its factual component: the facts in relation to which the comment was allegedly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shall provide those particulars within 30 days of the date of this order. In relation to the allegations that Farallon stole the Campo Morado property and/or defrauded its rightful owner or participated in any such activity, that Farallon bribed Mexican judges or otherwise corrupted the judicial process or participated in any such activity, and that Farallon manipulated, lied to or deceived its shareholders, the particulars shall include not only details of the events and transactions in question, but also the identity of all persons involved, the dates on which the events occurred, and the places at which events occurred. They must relate to what Farallon is alleged to have done, not what others did that did not involve Farallon.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If the defendant fails to provide appropriate particulars as ordered, then the plaintiffs will be at liberty to renew their application for an order striking out the defendant's Further Amended (No. 2) Response to Civil Claim. They will no doubt wish to argue that the remedy they seek would no longer be disproportionate to the defendant's delict.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now turn to consider the plaintiffs' alternative application for an order striking out certain paragraphs of the defendant's Further Amended (No. 2)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 consents to removing paragraphs 37, 38 and 39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paragraphs 47 and 48 (a plea that others had said negative comments about the plaintiffs). Those pleas were certainly improper, and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further seek an order striking paragraphs 11 and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Paragraph 11 has the virtue of providing some entertainment value, if nothing else. It reads: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response to the whole of the Amended Notice of Civil Claim, the defendant says that the nature of bulletin board communications, including the Farallon bullboard communications, is and was that of a casual conversation between those posters who supported Farallon ... and those posters who did not support Farallon, including among others the defendant, and that much of that conversation involved mere vulgar and childish abuse that were [sic] not intended to be and would not have been taken seriously by any right-minded person including the ordinary reader or poster on the Farallon bullboard. The defendant believed and believes that the defamation remedy exists to restore serious injury to reputation and is not available for this kind of vulgar abuse such that, in the premises, the plaintiffs' action amounts to an abuse of the court's process and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"merely vulgar and childish abuse" plea demonstrates a rather serious lack of understanding of the cause of action of defamation, and should be struck. While it is open to the defendant to plead that in the specified circumstances, right-minded members of the public would not have understood the words complained of to mean what the plaintiffs claim they mean, this is not the way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Paragraph 52 is pleaded as a response to paragraph 18.3 of the Amended Notice of Civil Claim, which alleges that the defendant "has not withdrawn or apologized for any of the statements [complained of]". The defendant says in response that: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1, 2010, at the office of counsel for the plaintiffs, the defendant offered to sign a written apology to the plaintiffs but this offer was refused and the defendant was told that this was not about the money;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30, 2010, the defendants sent an e-mail to Whittington at Farallon offering an apology but received no response to his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argue that this pleading does not satisfy the requirements of an apology defence, because it relates only to the offer of an apology, not actually publishing one, and in any event the alleged offers were not made "as soon afterwards as the defendant had opportunity", in compliance with section 10 of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unable to find that it is "plain and obvious" that this paragraph discloses no reasonable defence. It is a response to a specific plea by the plaintiffs, and whether it is ultimately effective in grounding a plea of mitigation of damages will turn on all of the evidence. I therefore refuse to strike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 order will go striking out paragraphs 11, 37, 38, 39, 47 and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balance of relief sought by the parties in their applications must be dealt with another day. I am not seized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will have their costs of the application in any event of the cause,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4"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Forsyth v. Pender Harbour Golf Club Society, [2006] B.C.J. No. 1637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12 - 16,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L023466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974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Irene Forsyth, plaintiff, and Pender Harbour Golf Club Society,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0" w:name="Keywords_47"/>
      <w:bookmarkEnd w:id="390"/>
      <w:r>
        <w:rPr>
          <w:rFonts w:ascii="arial" w:eastAsia="arial" w:hAnsi="arial" w:cs="arial"/>
          <w:b/>
          <w:color w:val="000000"/>
          <w:sz w:val="20"/>
          <w:lang w:val="en-US" w:eastAsia="en-US" w:bidi="ar-SA"/>
        </w:rPr>
        <w:t>Civil procedure — Costs — When not awarded — Successful defendant not awarded costs due to failure to provide timely disclosure.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warn of danger — Plaintiff not entitled to succeed against golf club, as risks of descending a slippery slope to hit a ball were obvious, and she willingly assumed such risks.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1" w:name="Case Summary_44"/>
            <w:bookmarkEnd w:id="3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Forsyth played golf and hit her ball off the course -- She went to hit the ball by walking down a steep and slippery slope with her golf cart -- Forsyth could have gotten to the ball via a paved route -- She slipped and broke her ankle -- There was evidence of other falls in the same area of the course, and the defendant Golf Club's president had broken her leg in the same area -- After the accident, the Club posted a sign warning that the area was slippery -- HELD: Forsyth's action against the Club dismissed, but each party to bear its own costs -- The Club did not breach its duty of care to Forsyth -- The fact that the slope was steep and potentially slippery was obvious, as were the risks of walking down the slope -- Forsyth had other alternatives to getting to the ball the way that she did -- She understood the obvious risks inherent in descending the slope and willingly assumed them -- In addition to other damages, if the court had allowed the action, it would have awarded non-pecuniary damages of $45,000 -- Despite the Club's success, the court exercised its discretion not to award it costs, as the Club failed to make timely disclosure of relevant documents -- Failure by a party to disclose relevant facts in a timely way frustrated the settlement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2" w:name="Legislation Cited_40"/>
      <w:bookmarkEnd w:id="3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03"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3" w:name="Counsel_47"/>
      <w:bookmarkEnd w:id="3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 Clive Boulton, D. Chun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Michael J. Percival, A. Farber,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4" w:name="Judgment_47"/>
      <w:bookmarkEnd w:id="394"/>
      <w:r>
        <w:pict>
          <v:line id="_x0000_s1268"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5" w:name="ALLAN J."/>
            <w:bookmarkEnd w:id="395"/>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 2002, the plaintiff, Irene Forsyth, fell on a slope at the Pender Harbour Golf Club owned by the defendant Pender Harbour Golf Club Society (the "Society"). Mrs. Forsyth had duffed her ball a short distance from the ladies' first tee. She then duffed her ball a second time and it landed some distance down a slope that is too steep to be machine groomed and is properly described as the "rough" rather than part of the fairway (the "Slope"). As Mrs. Forsyth traversed across and down the Slope into the rough, pulling her golf cart behind her, her left foot slipped and she landed on her right ankle, which she broke, and she slid down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her fall, Mrs. Forsyth was 46 years old. She was 5 feet, 1 1/2 inches tall and weighed between 165 and 168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essence of Mrs. Forsyth's case is that the Slope was deceptively dangerous and that the Society was aware of its perilous nature as other players had fallen and injured themselves there in the past. In fact, about a month after this accident, without conducting any investigation, the Society erected a sign at the top of the Slope that states: "Caution. Slope extremely slippery and steep." Mrs. Forsyth concedes that it is settled law that remedial steps taken by a defendant after an accident are not proof that such steps were necessary to make the premises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Society submits that there was nothing deceptive about the Slope and Mrs. Forsyth is the unfortunate author of her own misfortune. It submits that there is no duty to warn an adult of common everyday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Circumstances of Mrs. Forsyth's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1, 2002, Mr. and Mrs. Forsyth and a friend, Mr. Kammerle, started their round of golf at about 1:15 p.m. It was a beautiful sunny day, although it had rained the previous day. The Forsyths' son, Tyler, worked at the golf club and they frequently golfed in the evening before driving him home. Before her accident, Mrs. Forsyth had never walked down the Slope. She had always used the paved cart path that intersects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Forsyth and Mr. Kammerle teed off at the men's first tee and both of their balls landed on the fairway. Mrs. Forsyth proceeded to the ladies' tee and duffed her ball, which flew higher than it travelled forwards and landed on a knoll 20-30 feet below her on a shelf of land. She took a second shot, which veered over to the right towards the cart path, where her husband and friend were standing, and down the Slope a little. She traversed the Slope, across the hill, pulling her golf cart behind her with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Forsyth testified that the ground was dry and stable and she was confident but careful because she was on a hill. She said that her golf cart was no impediment as she was traversing on a groomed shelf. She said that her golf shoes were free from mud or gravel and that her cleats were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Forsyth testified that as she traversed the Slope, all of a sudden, her left foot hit something and went flying into the air. She had no time to react and her right foot went underneath her and her body weight fell on it. She heard her ankle snap twice and she tried to break her fall with her right hand. Her golf cart tipped over and the handle and golf clubs spearheaded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Forsyth described the topography of the Slope where she fell as "rock and moss everywhere" and said the ground was totally unstable, unlike anything she had ever seen on a golf course. She said that she was not on the steep part of the hill and that she had been paying attention to where she was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Forsyth was not watching his wife when she fell. He knew that she was walking on the Slope to retrieve her ball but he did not consider her to be in danger. He heard her call out for him and then saw her on her back and buttocks. When he went to rescue her, he thought that the ground was "slippery and loose". He could see exposed rocks that had been cleared of moss by his wife's buttocks as she skidded down the slope. He recalled the rocky area where she had slipped as "brown and gooey".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Forsyth and Mr. Kammerle helped her over to the cart path and into a golf cart that Mr. Kammerle had obtained from the pro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Condition of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Forsyth and Mr. Harvey West, an engineer, attended the golf course together some four years later, on March 7, 2006 and examined the approximate location of the fall that Mrs. Forsyth had identified from photographs that Mr. Forsyth had taken in 2002. No one can say exactly where Mrs. Forsyth fell or what she slipped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West considered the direction from the position that the first ball landed to the second ball's position. There, the grade of the Slope ranged between 26% and 30% in the vicinity where Mrs. Forsyth apparently slipped. From the location that Mrs. Forsyth slipped to her resting position three to five metres directly down the Slope, the grade was approximately 40%. To give an idea of how steep those grades are, Mr. West noted that the steepest highway in BC would have less than a 20% grade. However, there are at least two slopes on the golf course, at tee #2 and at tee #4, that are far steeper.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West said that the cleats on Mrs. Forsyth's shoes would bite into the ground and the fact that she slipped indicated that the ground cover itself must have yielded. Two possible causes of losing traction are that the ground was saturated with water or that she had stepped onto a moss-covered rock outcrop that would not let the cleats bite in. Mr. West was wearing work boots with hiking-type soles; nevertheless, he slipped and lost his balance in an area slightly below and to the right of where he understood Mrs. Forsyth had come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Mr. West agreed that the vegetation would change in four years but there was no appreciable difference between the ground and ground cover that he observed and that shown in the photographs taken soon after the accident. He agreed that it was speculation as to where Mrs. Forsyth had fallen and the exact state of the vegetation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Mr. Forsyth described the area where his wife fell as part of the fairway, I prefer the Society's witnesses' evidence that it was part of the rough. That area is trimmed with a weed eater because it is too steep to be groomed by machines. The area at the bottom of the Slope is visibly pooled with water. That fact, as well as the additional steepness of the lower part of the Slope would make it unlikely that a golfer would descend the cart path to the bottom of the Slope and climb back up to retrieve a ball. Moreover, the pooled water would also suggest that the whole Slope, which faces north, might well be wet and therefore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Tyler Forsyth worked for the Society for a couple of years while he was in high school and golfed there frequently. He was familiar with the course and described the Slope as deceiving with mossy and rocky areas. Because it faces north, it does not get much sun and it is wet. He said that he had slid down the Slope and that he had seen a few of his friends fall there. He stated that the Society had no system for reporting accidents 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Society's Response to Mrs. Forsyth's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Forsyth told Mr. Thurwell, the manager of the golf club who ran the pro shop, that his wife had been badly injured and that they were going to the hospital. Mr. Thurwell gave Mr. Forsyth two "rain checks" but he did not come out to see what had happened or to inquire whether Mrs. Forsyth was badly hurt. Carol Reid, a member and the Forsyths' realtor at the time, and Christine Wharton, an employee of the Society, both brought ice for Mrs. Forsyth's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Society never conducted an investigation into the accident. No one telephoned the Forsyths to inquire what had happened or to ask how Mrs. Forsyth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Society's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Boulton subpoenaed Carol Reid and Janet Watson to testify for Mrs. Forsyth. Ms. Reid had fallen on the Slope seven to ten years ago but she did not hurt herself. She did not remember whether she had thought it looked dangerous at the time. She did not recall if she had told anyone about her fall. She knew that Ms. Watson and Mrs. Forsyth had also fallen there. She agreed that she would probably not walk down the Slope again as she knew it was slippery and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Ms. Reid agreed that she could have walked over to and down the cart path and then up the Slope to retrieve her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Watson has been a member of the Society since its inception and served as its president from October 2000 to October 2002. She was a director from 1999 to 2005. She stated that as president, it was her responsibility to ensure that everything was safe and to rectify any problems. If the staff or guests voiced any safety concerns, the Society would do its best to remedy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August 28, 2001, she played in a tournament on the golf course. It was wet and she fell on the Slope. She said that she had taken one club with her, left the rest of them on the cart path, and gone down the Slope after her ball. She slipped and her leg went under her. She broke one bone in her lower leg, just above her ankle. She was unable to say what she might have slipped on, other than wet grass. She considered the fall to be her own fault, in part because her cleats were worn. She said no investigation was necessary: she didn't need an engineer to tell her that the Slope was wet and her cleats were worn. She agreed that she could have approached the ball from the bottom of the Slope or that she could have taken another shot from the tee box. Although leaving the ball was a possibility, she said that she was winning at the time and she chose to take a chance on the steep Slope rather than take a penalty. She said that she still walks down the Slope but she takes more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Watson said that although the sign was erected after Mrs. Forsyth's accident, the steepness of the Slope is obvious and there are steeper areas on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agreed that there are some exposed rocks on the Slope and that there may be rocks under the moss. She also agreed that tourists are encouraged to golf at the course and that they may wear runners instead of golf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July 2002, after the Society had received a letter from Mr. Boulton regarding Mrs. Forsyth's fall, Ms. Watson gave a written statement to the Society's insurance adjuster.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never had any lawsuits that have developed as a result of falls in this area historically, however I am aware that Mrs. Forsythe's fall is not the first and only ever that has taken place in that general area on hole number one. In fact last year I broke my own leg when I slipped and fell in the same location. The hill itself is quite steep and due to spring runoff and moisture on the grass, it is very slippery on occasion. Since the event of this litigation we have posted signage that essentially states "caution, steep slope, slippery when wet." This may not be 100% precise in its wording but it generally expressed the concern that this area is extremely hazardous when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she testified that when she gave her statement, she was unaware that anyone else had fallen on the Slope, other than herself and Mrs. Forsyth. She was not shaken from that position although, as Mr. Boulton submits, her statement does suggest that she was aware of other falls on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Watson said that prior to Mr. Boulton's letter, the Society had never received any official notice that Mrs. Forsyth had fallen or been injured. It was only aware that she had broken her ankle "from local rumour."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next meeting of the Society's board of directors following Mrs. Forsyth's accident was held on April 17, 2002. Under "new business", the minutes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another accident on #1. The club will have a sign posted that reads "Slippery When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Watson was not at that meeting. She testified that she was unaware of any discussion about putting up a sign. She assumed it was put up because of the two falls but said the decision would have been made by the chairman of the greens committee. She believed that he had had the sign made and decided on its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Rusty Ellis, a director at the time and subsequently the president of the Society, was present at the April 17, 2002 meeting. He testified that he did not recall any discussion about Ms. Watson's fall the year before and could not recall any discussion other than the fact that the Slope was known to be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Ms. Watson and Mr. Ellis were both present at the directors' meeting of May 15, 2002. The minutes of the previous meeting were approved. Attached to the minutes of the May 15 meeting was the written report of the greens committee of the same date. It stated,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 on #1 has been installed to warn golfers that the hill in front of red tee is very slippery and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minutes were also approved. As Mr. Boulton notes, it is clear that all of the 11 directors present at that meeting approved the greens report and endorsed the wording that drew attention to the fact that the Slope was "extremely slippery and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Ms. Watson and Mr. Ellis confirmed that no investigation had been conducted regarding Mrs. Forsyth's accident. Neither spoke to Mr. Greg Moore, the golf superintendent at the time, or Mr. George Grout, the chairman of the greens committee, with respect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his first examination for discovery, Mr. Ellis testified that he had no knowledge of the specific area where Mrs. Forsyth had fallen. At his second discovery, he admitted that he had known where the accident had occurred within days of its occurrence. In fact, after the Society had received the July 2002 letter from Mr. Boulton, he and Ms. Watson took several photographs of the area. At trial, he stated that he might not have understood the question put to him at the first discovery. He had conceded on discovery that "everybody" knew that the Slope "had caused problems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Society introduced an expert report of Mr. Furber, a golf-course architect, who stated that as of April 1, 2002, there were no industry standards or practices that required golf courses to identify hazards of the game and post warning signs for players to use caution. Echoing what is really common sense, he stated that "it is not possible to identify the degree of danger that all hazardous areas on a golf course may offer to the players of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salient issue is whether the Society breached its duty of care to Mrs.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3(3)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Percival advised the court that the only reported case in Canada involving a fall on a slope is </w:t>
      </w:r>
      <w:r>
        <w:rPr>
          <w:rFonts w:ascii="arial" w:eastAsia="arial" w:hAnsi="arial" w:cs="arial"/>
          <w:b/>
          <w:i/>
          <w:color w:val="000000"/>
          <w:sz w:val="20"/>
          <w:lang w:val="en-US" w:eastAsia="en-US" w:bidi="ar-SA"/>
        </w:rPr>
        <w:t>Malcolm v. British Columbia Transit et al</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(C.A.). In that case, a fully-loaded bus had stopped on a steep hill and was unable to start up again because of insufficient power. The bus driver asked for volunteers to disembark and walk up to the top of a hill to lighten the load. The plaintiff got off and started to walk uphill in the rain. After about 40 feet, she slipped and fell on a wet grassy slope, breaking her arm and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trial judge found the driver at fault for failing to warn the passengers to watch their footing on the slippery grass on the steep slope. Allowing the appeal, Chief Justice McEachern, for the court, found that the defendant had not breached any duty of care. He stated at pp. 318-19: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hidden or unusual danger and therefore such a warning would have been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What steps, if any, should the Society have taken to ensure Mrs. Forsyth's safety? The fact that the Slope was steep was obvious. The fact that the Slope was potentially slippery was also obvious. It had rained the day before and the Slope faces north, thus there is never much sun to dry it out. Moreover, at the base of the Slope is a large pond indicating the general wetness of that area. The natural vegetation is grass with obvious patches of rock, weeds, and some moss. The sign that was erected drew attention to the extreme slippery and steep nature of the Slope but the risks of walking down the Slope were obvious. The view from the plateau of the ladies' tee box looking down the slope accurately depicts the terrain.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she had not walked down the Slope before, Mrs. Forsyth had played on the golf course on at least 20 prior occasions. She was aware that the cart path provided a safer route down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Forsyth had other alternatives. She could have left her ball in the rough and taken another shot. She could have left her golf cart with her husband, and taken a single club, which might have improved her balance. She could have walked down the cart path and traversed the slope across to her ball. I do not agree with the Society that it would have been reasonable for Mrs. Forsyth to walk down the cart path and then uphill for her ball. However, she could have walked across the Slope to the paved cart path and down, and then back across the Slope to her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that Mrs. Forsyth understood the obvious risks inherent in descending the Slope, which was clearly steep and potentially slippery terrain, and willingly assumed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I am dismissing Mrs. Forsyth's claim, I will go on to assess damages in the event that she appeals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the accident, Mrs. Forsyth's husband took her to St. Mary's Hospital in Sechelt where her ankle was x-rayed. She suffered three significant fractures of the ankle. She suffered a medial and lateral fracture of her right malleolis and a crack fracture at the rear of that bone. She was given morphine for pain but then required additional medication for her stomach. The nurses there were "working to rule" and after a temporary cast was placed on her leg, she was told to go home and wait for a phone call from Lion's Gate Hospital in North Vancouver. That call never came and the next day, Mr. and Mrs. Forsyth took a ferry to Lion's Gate Hospital where they waited for a long time in a chaotic emergency ward. Finally, Mrs. Forsyth was taken to the orthopaedic ward and she had surgery in the afternoon of the following day. She was discharged on April 4 after the nurses ascertained that she could manoeuvre stairs on crutches.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Forsyth used a wheelchair for two or three weeks and then, at her husband's insistence, she graduated to crutches, which she used for another six to eight weeks. She "crab-walked" up and down their stairs. She took physiotherapy treatments for a while but then did the exercises at home by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Forsyth is now 50 years old. She and Mr. Forsyth married in 1980 and they have two children, born in 1982 and 1984. Mrs. Forsyth obtained her teacher's certificate in 1979, but stayed at home with her children until 1989, when they were both in school. The family moved to the Sunshine Coast in 1993 and Mrs. Forsyth has taught in that school district continuously since then, although in different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was unable to return to her job for the rest of the school year. When she returned in September 2003, she limped and her tolerance for standing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did not recover as well as Dr. Vaisler, her surgeon, had hoped. The incision was slow to heal. The hardware implanted in her leg was troublesome and had to be removed in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also injured her left wrist, which did not require treatment at the time. Apparently, some time after the accident, it began to hurt and it continues to cause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is by all accounts an excellent teacher. However, her residual injuries prevent her from being as active as her duties require. She manages with the assistance of other teachers and a stool in her classroom that she can rest on from time to time but she finds work draining and she is exhausted each day when she returns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Prior to this accident, Mrs. Forsyth was an avid golfer and she and her husband took regular golfing holidays. At the present time, she can only golf with the assistance of a motorized golf cart. She now plays golf infrequently. She does very little housework and no work in the garden. She cannot walk recreationally, dance, or engage in racket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Forsyth's ankle is still painful and she has noticeable scars. She cannot flex her ankle up to a normal position. Dr. Vaisler has suggested that she have an MRI to determine if there is a bone chip in that area. If so, she may have that removed 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Mrs. Forsyth has other health problems that are unrelated to her ankle injury. She has taken medication for high blood pressure since 1997-98 and has suffered from sciatica since 2005. Both of those conditions, which are unrelated, prevent her from heavy lifting. However, some of her low-back problems stem from the fact that she favours her left side in order to take the weight off her right ankle. As well, she developed painful plantar fasciitis in 2003; Dr. Vaisler has opined that condition is unrelated to her ankle injuries. Although she was a heavy woman at the time of the accident, she has gained about 25 pounds since that time, exacerbating her health problems. She has also suffered depression as a result of her injuries and her inability to pursue her previous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would assess Mrs. Forsyth's non-pecuniary damages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Mrs. Forsyth suffered no actual loss of income. She seeks the sum of $25,921 to compensate her for the "sick days" that she was forced to take from her bank of sick days. Teachers accumulate sick days that can be carried over in a particular school district from year to year until retirement. They have no cash value. Mr. Boulton calculated the sick days at the present higher </w:t>
      </w:r>
      <w:r>
        <w:rPr>
          <w:rFonts w:ascii="arial" w:eastAsia="arial" w:hAnsi="arial" w:cs="arial"/>
          <w:i/>
          <w:color w:val="000000"/>
          <w:sz w:val="20"/>
          <w:lang w:val="en-US" w:eastAsia="en-US" w:bidi="ar-SA"/>
        </w:rPr>
        <w:t>per diem</w:t>
      </w:r>
      <w:r>
        <w:rPr>
          <w:rFonts w:ascii="arial" w:eastAsia="arial" w:hAnsi="arial" w:cs="arial"/>
          <w:color w:val="000000"/>
          <w:sz w:val="20"/>
          <w:lang w:val="en-US" w:eastAsia="en-US" w:bidi="ar-SA"/>
        </w:rPr>
        <w:t xml:space="preserve"> value. Mr. Percival submits they should be valued at the rates when they were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Percival proposes that her wage loss be calculated at $18,544.54. That represents 64 sick days taken between April and June 2002 at $260.075 each ($16,644.80); 12 sick days after her second surgery at $277.91 each ($3,334.92); and a wage loss of $625.32 after receiving short-term disability benefits for 4.5 days. That total, $20,605.04, should be reduced by a 10% contingency factor to represent the possibility that she might have had to use those sick days for other reasons. In my opinion, that calculation fairly compensates Mrs. Forsyth for her lost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principles relating to loss of a capital asset are not in dispute.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at [paragraph] 25, the Court of Appeal quoted with approval the factors used to measure the loss or impairment of a capital asset described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[paragraph] 8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Forsyth's salary at the time of the trial was $72,000. Mr. Boulton submits that, although Mrs. Forsyth hopes to teach until retirement at age 65, she may not be able to carry on. She can retire on a full pension at age 63. It is possible that she will have to have a further ankle operation if an MRI reveals a bone chip that must be removed. That will require her to take further time off work. On the other hand, surgery may improve her ankle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Forsyth has other medical conditions that preclude her from alternative occupations: her high blood pressure, her sciatica, and her neck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would assess her loss of earning capacity related to her ankle injuries as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would award the sum of $5,000 for the cost of future care items. This would include a recumbent bicycle that would enable Mrs. Forsyth to exercise efficiently; a sum for housework assistance; a shock absorber heel modification to her orthotics that she requires for her plantar fasciitis; and the periodic cost of renting a motorized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Special damages were agreed at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In-Trust Claim for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[2006] B.C.J. No. 921</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Madam Justice Sinclair Prowse stated at [paragraph] 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loss of housekeeping capacity is designed to compensate a plaintiff for his/her loss of ability, or diminished capacity, to do regular housekeeping tasks. Depending on the circumstances, loss of housekeeping capacity may fall under any of five heads of damages (non-pecuniary damages, special damages, past loss of income, cost of future care or loss of future earning capacity) - or it may constitute its own separate head of damages: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123 D.L.R. (4th) 652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Forsyth testified that, prior to the accident, she did all the housework and that, for some time after her injury, her husband did all of it. At the present time, they share the household chores. Mr. Boulton suggests that it would be appropriate to award $21,000 for past services of an hour a day at $15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unlikely that, but for this accident, Mrs. Forsyth would have, or should have, done all of the housework. Her evidence was that her high blood pressure and sciatica prevent her from lifting weights over five pounds or lifting weights over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it is clear that Mr. Forsyth has done significantly more housework as a result of his wife's accident. Accepting his evidence that the extra work has constituted an hour a day, and assuming a reasonable hourly rate of $15, I would value that claim at the figure suggested by Mr. Boulton of $21,000.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Costs are discretionary and the court's discretion must be exercised in a principled way, having regard for the general rule that costs follow the event: Rule 57(9). In this case, I am of the view that, although the Society is successful on the merits, its conduct in the course of this litigation disentitles it to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minutes of the board of directors' April 17 and May 15 meetings, which are clearly relevant to this litigation, were not provided to Mrs. Forsyth in a timely fashion. On January 27, 2003, in response to Mrs. Forsyth's demand for documents, Mr. Percival delivered the Society's list of documents. Under Part 1, it listed the demand letter of June 3, 2002 from Mr. Boulton to the Society. Under Part 2, it listed, as privileged documents, 22 photographs taken of the golf course and Ms. Watson's July 2, 2002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Mrs. Forsyth's counsel examined Mr. Ellis for discovery on May 2, 2003 and May 9, 2006. At the first examination for discovery, Mr. Ellis was asked to provide any minutes relating to discussions by the board of directors with respect to the Slope being slippery. The Society then provided minutes of the board's meetings from 1999 up to May 2002. At the continuation of Mr. Ellis' examination for discovery, Mr. Boulton requested the board's minutes that were created in and after May 2002. Mr. Ellis and Ms. Watson, who were involved in the litigation at various stages, were both aware of the minutes of the April 17 and May 15 meetings. I cannot accept Mr. Ellis' evidence that he, the Society's representative in this litigation, who dealt with counsel's requests for relevant documents, was unaware that those documents might be relevant to the litigation. The May 15 minutes were only produced to Mrs. Forsyth's counsel three days before this trial commenced. All of the minutes of the board's meetings since 1999 have been stored at the clubhouse and are easily accessible.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Timely and thorough production of relevant documents is essential to the proper conduct of civil litigation. The classical authority for the definition of a relevant document is </w:t>
      </w:r>
      <w:r>
        <w:rPr>
          <w:rFonts w:ascii="arial" w:eastAsia="arial" w:hAnsi="arial" w:cs="arial"/>
          <w:b/>
          <w:i/>
          <w:color w:val="000000"/>
          <w:sz w:val="20"/>
          <w:lang w:val="en-US" w:eastAsia="en-US" w:bidi="ar-SA"/>
        </w:rPr>
        <w:t>Compagnie Financiere du Pacifique v. Peruvian Guano Co</w:t>
      </w:r>
      <w:r>
        <w:rPr>
          <w:rFonts w:ascii="arial" w:eastAsia="arial" w:hAnsi="arial" w:cs="arial"/>
          <w:color w:val="000000"/>
          <w:sz w:val="20"/>
          <w:lang w:val="en-US" w:eastAsia="en-US" w:bidi="ar-SA"/>
        </w:rPr>
        <w:t>. (1882), 11 Q.B.D. 55, in which Brett L.J. said at p.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every document relates to the matters in question in the action, which not only would be evidence upon any issue, but also which, it is reasonable to suppose, contains information which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 not which </w:t>
      </w:r>
      <w:r>
        <w:rPr>
          <w:rFonts w:ascii="arial" w:eastAsia="arial" w:hAnsi="arial" w:cs="arial"/>
          <w:i/>
          <w:color w:val="000000"/>
          <w:sz w:val="20"/>
          <w:lang w:val="en-US" w:eastAsia="en-US" w:bidi="ar-SA"/>
        </w:rPr>
        <w:t>must</w:t>
      </w:r>
      <w:r>
        <w:rPr>
          <w:rFonts w:ascii="arial" w:eastAsia="arial" w:hAnsi="arial" w:cs="arial"/>
          <w:color w:val="000000"/>
          <w:sz w:val="20"/>
          <w:lang w:val="en-US" w:eastAsia="en-US" w:bidi="ar-SA"/>
        </w:rPr>
        <w:t xml:space="preserve"> - either directly or indirectly enable the party requiring the affidavit either to advance his own case or to damage the case of his adversary. I have put in the words "either directly or indirectly," because, as it seems to me, a document can properly be said to contain information which may enable the party requiring the affidavit either to advance his own case or to damage the case of his adversary, if it is a document which may fairly lead him to a train of inquiry, which may have either of these two consequences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Boxer v. Reesor</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(1983), 43 B.C.L.R. 352</w:t>
        </w:r>
      </w:hyperlink>
      <w:r>
        <w:rPr>
          <w:rFonts w:ascii="arial" w:eastAsia="arial" w:hAnsi="arial" w:cs="arial"/>
          <w:color w:val="000000"/>
          <w:sz w:val="20"/>
          <w:lang w:val="en-US" w:eastAsia="en-US" w:bidi="ar-SA"/>
        </w:rPr>
        <w:t>, McEachern C.J.S.C. emphasized at p. 357 the role of counsel in preparing a list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of a solicitor in connection with the preparation of a list of documents has often been stated. I regard the following extract from Fraser &amp; Horn, The Conduct of Civil Litigation in British Columbia (1978), vol. 1, pp. 276-277, to be an accurate statement of the law except that in this province we do not require an order for production and lists of documents are no longer verified by affidavit: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Nowhere in civil procedure is the responsibility of the lawyer greater than in the area of discovery of documents.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partly because the lawyer's concept of relevancy is ordinarily more extensive than that of the client. It seems rarely to occur to a litigant that such things as cancelled cheques, receipts, birthday cards, telephone bills and the like might have a bearing on the case. A kind of documentation which a client notoriously fails to produce, unless specifically asked to do so by his lawyer, is the interoffice memo, sometimes a rich and critical source of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Additionally, the litigant, owing no special duty of loyalty to the integrity of the judicial system, may be unenthusiastic about disclosing the existence of documents harmful to his case. As an officer of the Court, the lawyer has the responsibility to police the conscience of his client in this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process of discovery of documents tends to pinch most, as one might expect, where the party from whom discovery is sought has numerous records to go through. The task of persuading a client to undertake this duty faithfully can be considerable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Plaintiff's counsel faces a very difficult task as the trial date approaches in any litigation. He or she must advise their client about the economics of proceeding to trial, thereby incurring significant costs and exposing the client to an additional award of costs in the event they are unsuccessful. Almost all litigation can be settled short of trial even it is settled by abandonment of the plaintiff's claim with or without payment of court costs. Failure by a party to disclose relevant facts in a timely way frustrates this process. A defendant who does so should not be rewarded with costs, even though the plaintiff is unsuccessful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the parties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9" style="position:absolute;z-index:251905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Gary Tonks Ltd. v. Terasen Gas Inc., [2004] B.C.J. No. 1120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18 - 20,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C982143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718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R.P.R. (4th) 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842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Tonks Ltd., plaintiff, and Terasen Gas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6" w:name="Keywords_48"/>
      <w:bookmarkEnd w:id="396"/>
      <w:r>
        <w:rPr>
          <w:rFonts w:ascii="arial" w:eastAsia="arial" w:hAnsi="arial" w:cs="arial"/>
          <w:b/>
          <w:color w:val="000000"/>
          <w:sz w:val="20"/>
          <w:lang w:val="en-US" w:eastAsia="en-US" w:bidi="ar-SA"/>
        </w:rPr>
        <w:t>Civil procedure — Trials — Summary trials — Trial of an issue — Contracts — Interpretation — Ambiguity — Extrinsic evidence — Real property law — Interests in land — Easements - - Creation — By express grant.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7" w:name="Case Summary_45"/>
            <w:bookmarkEnd w:id="3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Gary Tonks against Terasen Gas for breach of an easement agreement. In 1959 an easement was granted to the utility over a portion of the land now owned by Gary Tonks. The easement allowed the placement of pipelines below the surface of the land. The agreement included a clause that made the utility responsible for not interfering with the ordinary use of the land. At the time of the agreement the land was vacant. Gary Tonks wished to use the land for industrial purposes that required the land to be raised. Terasen Gas refused to allow the fill, as it would damage the pipeline. Gary Tonks sought a declaration that Terasen Gas was in breach of its obligation under the easement to allow the raising of the land and that it had the unrestricted right to use the land not covered by the easement agreement however it saw fit.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8" w:name="Holdings of Court_40"/>
            <w:bookmarkEnd w:id="39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not sufficient evidence presented to allow the Court to determine the issues at summary trial. The easement agreement did not contemplate industrial use as ordinary use of the land. The agreement included an implied term that the owner would not do on the rest of the land those things it agreed to not do on the easement if those things could jeopardize the pipeline. There was no action for nuisance.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9" w:name="Legislation Cited_41"/>
      <w:bookmarkEnd w:id="3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7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0" w:name="Counsel_48"/>
      <w:bookmarkEnd w:id="4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2"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F.L. Lamer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J.L. Hayes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1" w:name="Judgment_48"/>
      <w:bookmarkEnd w:id="401"/>
      <w:r>
        <w:pict>
          <v:line id="_x0000_s1273" style="position:absolute;z-index:251862016"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ROGERS J.</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summary trial the plaintiff seeks a number of declarations to the effect that the defendant is in breach of the express or implied terms an easement agreement over the plaintiff's property. The plaintiff also seeks a declaration that the easement constitutes a private nuisance of the plaintiff's enjoyment of its property. The defendant is a utility. It owns and operates three gas pipelines buried under a right-of-way created by the easement agreement. The property in question is on the shore of the Fraser River near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relief claimed in the notice of motion is: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was and continues to be in breach of the express or implied terms of the right of way agreement dated May 9, 1960 between Canadian National Railway Company and British Columbia Electric Company Limited ("ROW Agreement") by failing to make, at its own expense, adequate preparation of the soils in the right of way provided for in the ROW Agreement (the "Right of Way") or to take such other steps as may be necessary to accommodate the reasonable and foreseeable use and development of the Plaintiff's lands legally described as follow ("Lands"): &lt;legal description omitted&gt;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is in breach of its obligation to allow the plaintiff to place land fill and pavement over the right of way to elevate the right of way to the same level as the lands.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pursuant to the express or implied terms of the ROW Agreement, the plaintiff has an unrestricted right to: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 the area of the lands located outside the right of way for any purpose whatsoever, without compensation to the defendant for the cost of upgrading its pipelines;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 landfill and pavement on the area of the right of way to the same elevation as the remainder of the lands, without compensation to the defendant for the cost of upgrading its pipelines;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declaration or direction as this court may deem fit;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has committed the tort of nuisance;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all other relief requested by the Plaintiff in the statement of claim, including injunctive relief and damages, be adjourned generally;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defendant are successors in title to the parties that negotiated the easement agreement. Those original parties were the Canadian National Railway as land owner and British Columbia Electric Company Limited as the utility. The utility first proposed the easement to the owner in 1959. I will refer to the property in question as Lot 3. Lot 3 is about 5 acres in size. It is a narrow rectangular piece of land, longer north to south than it is wide east to west. The southern edge of the property is bounded by the Fraser River, the northern edge is defined by River Road, to the west lies a road allowance and to the east is private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Back in 1959 the utility wanted to construct a pipeline through Lot 3. The utility proposed to CNR that it should grant the utility a pipeline easement along a narrow strip of Lot 3. That strip would comprise the lot's most westerly 50 feet and would run the full length of the property's western edge between River Road and the Fraser River. After some negotiation, the content and import of which the present parties contest, the CNR agreed to grant the easement. The utility paid CNR $2,475 in consideration for the easement. That figure was the original compensation offered and was not changed throughout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pipeline was actually constructed on the lot before the easement was fully negotiated and executed. Some time later the utility built two more pipelines under the easement. Later still the utility decided that it required ownership of a part of the easement property. Counsel at the summary trial advised the utility made this decision because there is a valve or control device on that small piece of property. The utility purchased that piece. It turned out to be a square section of land on the easement somewhat closer to the River than to the road. That parcel was subdivided away from the land. The subdivided parcel became Lot 7. Naturally, the easement merged into title of Lot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easement was negotiated the natural elevation of Lot 3 was about 10 feet below the 100 year flood plain and the land was vacant and unused. There was no evidence at trial that regulations in 1959-1960 required that the land be raised to any particular elevation in order for it to be used for industrial purposes. There was evidence that CNR believed that the land would have to be filled to some degree to be used for industry, but whether that fill requirement was only 1 inch or 10, or 1 foot or ten is not something that could not be determined on the evidence. I cannot conclude on the evidence at the summary trial that the amount of fill required to put the property to industrial use was a significant or an insignificant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Lot 3 was still at its original elevation when the plaintiff bought it in 1997. Immediately upon acquisition the plaintiff decided to put the property to use as an auto towing yard. In 1997 the land use regulations required that the land fill be brought up to the 100 year flood level. That required putting about 10 feet of fill on Lot 3. The plaintiff commenced to dump the necessary fill on the Lot. As that work approached the easement the plaintiff received a letter from the utility. That letter warned the plaintiff of the dangers of placing fill on or near the easement without first ensuring that the weight of the fill would not jeopardize the pipeline. This letter instructed the plaintiff to stop putting fill on Lot 3 within 50 feet of the edge of the easement. The plaintiff and the utility had a number of discussions about how the property might be developed. Various geotechnical studies were undertaken. In the end, the parties agree that the pipeline was constructed in such a way that the surface of the easement cannot be paved, nor can it be used as a road or a parking lot. No vehicle weighing more than 5,000 kg can roll over the easement's surface. The pipeline cannot safely withstand fill to bring the surface of the easement up to the 100 year flood plain. Any of these activities would, the parties agree, cause subsidence of the soil such as to threaten the pipeline's integrity. The consequence of a failure of the pipeline could be dire. Although the utility expressed concern about putting 100 year flood plain fill within 50 feet of the edge of the easement, the evidence at trial did not demonstrate that this would actually jeopardize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main issue in the summary trial is whether the terms of the easement required the utility to install the pipeline and to upgrade the pipeline now so that the line could withstand industrial use of the easement's surface. The plaintiff says that the easement does impose that requirement and that the cost of upgrading the pipeline is on the utility's account. The utility says that the easement imposes no such obligation. The utility argues that the cost of developing the land and the pipeline to accommodate the evolving land use is on the landowner's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salient provisions of the easement are these: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hereby covenants with the company: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make, place, erect or maintain on the right of way any building, structure, excavation, well, foundation, pile of material or obstruction which, in the opinion of the Company, might interfere with the safe and efficient operation of the works;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diminish or substantially add to the ground cover over the said pipe lines or any of them, except to such extent as may be necessary to raise the elevation of the right of way to the same elevation as the remainder of the land;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event of the owner constructing a spur line over any pipe line of the company on the right of way, it will give the company sixty (60) days prior notice of its intention to do so, and will perform any strengthening or bridging of the pipe line which the company may request by reason of such intended construction.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hereby covenants with the Owner: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pay full compensation to the owner for any damage done to buildings, crops (including timber), fences, livestock, bridges, culverts, drains, ditches, roads and fruit, nut or ornamental tress on the land caused by the company in the exercise of any of its rights hereunder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owner;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will, as soon as weather and soil conditions permit and insofar as it is practicable to do so, bury and maintain all the pipe lines constructed hereunder so as not to interfere with the drainage or ordinary cultivation and use of the land;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company will reimburse the owner for any expense incurred by the owner in strengthening or bridging any pipe line of the company at the company's request pursuant to paragraph 2(c) hereof, and any additional expense which shall necessarily be incurred by the owner in complying, in the course of constructing a spur line over any pipeline of the company on the right of way, with the regulations of the board of transport commissioners of Canada with reference to pipe lines under railways, and which would not have been incurred if such pipe line had not been in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asserts that the words "ordinary cultivation and use of the land" are ambiguous and must be interpreted with the aid of reference to the correspondence exchanged by the negotiators of the easement back in 1959-60. According to the plaintiff, the proper interpretation of 'ordinary use' is industrial use for parking and storage. The plaintiff asserts that 'practicable' in clause 3(b) means physically possible regardless of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utility maintains that the easement is not ambiguous and that 'ordinary use' means the use of the property when the easement was negotiated (i.e.: vacant land). The utility argues that ordinary use cannot mean whatever use owners might from time to time decide to employ. Further, the utility says that the stipulation in clause 3(b) that installation and maintenance be 'practicable' means that if the cost of building or maintaining the pipeline to accommodate a particular ordinary use of the land is extremely high then the utility may be excused from building the line to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DECLARATIONS 1 &amp;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outset of the application I raised with counsel the question of whether these issues were capable of resolution on a summary trial. My concern was then, and is now, that it may not be just to employ a summary trial to determine the facts necessary to making or dismissing these declarations. Rule 18A jurisprudence dictates that the court should postpone determining whether it is just to summarily decide a case until after the parties have presented the whole of their respective arguments. Accordingly, the parties argued this matter in full and that effort took 3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Again, the plaintiff's case is that in 1959 Lot 3 was vacant unused land. The plaintiff maintains that the CNR anticipated that at some point in the future the land might be put to industrial use. The easement stipulates that the utility must bury and maintain the pipeline insofar as it is practicable to do so without interfering with the ordinary cultivation and use of the land. The plaintiff says that the easement CNR negotiated with the utility must be interpreted so as to fix the utility with an obligation to construct the pipeline in the first place and to upgrade the pipeline from time to time so as to permit the owner of Lot 3 to put the surface of the easement to industrial use. That is because, according to the plaintiff, in 1959 industrial use was an 'ordinary use' of the land. Further, the plaintiff asserts that 'practicable' means physically possible, and says that the defendant has failed to show that it was not practicable to construct the pipeline in that fashion. The plaintiff goes on to say that the circumstances surrounding negotiation of the easement imply that the parties agreed that it would be practicable to build the pipeline to allow for industrial use of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maintains that the easement contains no ambiguous or contradictory terms so it is not necessary and indeed improper to interpret the agreement by looking at the negotiations between the owner and the utility. The defendant says that 'ordinary use' of the land means simply the use the land was put to in 1959, i.e.: fallow and vacant. Therefore, the utility did not have to lay the pipeline to a standard that accommodated a more intensive use. The defendant says that if the easement is interpreted to require construction to an industrial use standard in 1959, it is not possible to summarily determine whether it was physically and economically practicable to build the pipeline to that standard. Finally, the defendant says that it is absurd to assert that the utility would pay for an easement on the terms suggested by the plaintiff. That is because the terms asserted by the plaintiff place on the utility all of the risk of upgrading the pipeline to accommodate whatever industrial use of the property the owner might select from time to time, and to accommodate whatever changes in zoning or land use might be permitted by regulatory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Assuming without finding that the plaintiff is correct that the easement must be interpreted to require the utility to build the pipeline in the first place to accommodate industrial activity on the easement surface, to declare that the utility is in breach of that obligation the court must find as a fact that it was practicable to build the pipeline to that standard. 'Practicable' is used here in the context of industrial construction. That is an inherently economic activity. I find that 'practicable' is not limited to physically possible. 'Practicable' must mean both physically possible and economically feasible. That applies equally to the plaintiff's assertion that the utility has a continuing and current obligation to upgrade the pipeline to accommodate any use changes the owner might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 in order to make the declaration the plaintiff seeks the court must determine whether it was in the past or is in the present economically and physically practicable to build the pipeline so as to allow industrial use of the surface of the easement. I find that the evidence on this summary trial simply does not permit the court to make that determination. The parties did not come to court with an agreement on practicality; neither were there admissions to that effect. There was some correspondence between the CNR and the utility in 1959-60 but that correspondence falls far short of showing that the parties turned their minds to the exact nature of the industrial use anticipated, whether the soil in the area could be prepared to accommodate that use, or whether the cost of making that preparation was economic or prohibitive. This is not a minor point. If in 1959 the cost of preparing the soil for industrial use was so high that it was out of all proportion to the value of the land, perhaps the utility would have selected a different route for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to practicability of remediation work in the context of modern times, I find that the evidence is entirely inadequate for me to decide it. One individual filed an affidavit containing nothing more than a guess that such work could be done and that if done it might cost on the order of $3 million. That affidavit falls far short of establishing that feasibility and those costs as facts. Again, this is no minor matter. The practicality of remediation is essential to the declaration the plaintiff seeks. Even if the plaintiff succeeds on the 'ordinary use' issue, if the work cannot be shown to be practicable then the utility cannot be made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short, the parties are asking a summary judge to decide that remedial work is practicable without adducing evidence necessary to reach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Leaving aside whether the evidence permits summary determination of the practicality of remediation, there is another significant impediment to deciding that issue in advance of a damage assessment. That impediment is the proscription against a summary trial judge finding facts which may fetter the discretion of the damages judge. A summary trial judge should not make findings of fact that could embarrass the subsequent trial judge who might be asked to make contrary findings based on further and full evidence (Prevost v. Vetter, </w:t>
      </w:r>
      <w:r>
        <w:rPr>
          <w:rFonts w:ascii="arial" w:eastAsia="arial" w:hAnsi="arial" w:cs="arial"/>
          <w:i/>
          <w:color w:val="000000"/>
          <w:sz w:val="20"/>
          <w:lang w:val="en-US" w:eastAsia="en-US" w:bidi="ar-SA"/>
        </w:rPr>
        <w:t>[2002] B.C.J. No. 602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at para. 8). I am concerned that if I decide that it is practical to remediate the pipeline, the parties will then proceed to try the issue of damages at trial. The full evidence of the cost of that work may establish that remediation is not practical. The subsequent trial judge could then be faced with the unpalatable choice of ignoring trial evidence so as to not disturb my finding that the work is practicable, or of overturning my conclusion as if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come to the conclusion that it would not be just to make the declaration the plaintiff seeks in paragraphs 1 and 2 of its notice of motion. The evidence at the summary trial was simply inadequate to determine practicability, and finding practicability is an essential precursor to making those declarations. I have some regret about this conclusion - the summary trial was lengthy and the parties were anxious to achieve a resolution, but nothing can be done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I have decided that I cannot grant all of the relief the plaintiff sought, there remains the possibility that the court can assist the parties to some degree by making declarations on issues that can be tried by summarily. I have concluded that the pleadings and the evidence do permit the court to address the following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Meaning of "Ordinary cultivation and use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takes the view that the phrase "ordinary cultivation and use of the land" is ambiguous. According to the plaintiff that ambiguity is revealed by clause 2(b) and by reference to the correspondence between the parties when the easement was under negotiation. The utility says otherwise. It says that "ordinary use and cultivation" is perfectly clear and meaningful and that nothing in the agreement suggests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starting point in this analysis is a statement of the principles to be applied when determining if a contractual provision is ambiguous. In London Drugs Ltd. v. Truscan Realty Ltd., </w:t>
      </w:r>
      <w:hyperlink r:id="rId1000" w:history="1">
        <w:r>
          <w:rPr>
            <w:rFonts w:ascii="arial" w:eastAsia="arial" w:hAnsi="arial" w:cs="arial"/>
            <w:i/>
            <w:color w:val="0077CC"/>
            <w:sz w:val="20"/>
            <w:u w:val="single"/>
            <w:shd w:val="clear" w:color="auto" w:fill="FFFFFF"/>
            <w:lang w:val="en-US" w:eastAsia="en-US" w:bidi="ar-SA"/>
          </w:rPr>
          <w:t>[1988] B.C.J. No. 1366</w:t>
        </w:r>
      </w:hyperlink>
      <w:r>
        <w:rPr>
          <w:rFonts w:ascii="arial" w:eastAsia="arial" w:hAnsi="arial" w:cs="arial"/>
          <w:color w:val="000000"/>
          <w:sz w:val="20"/>
          <w:lang w:val="en-US" w:eastAsia="en-US" w:bidi="ar-SA"/>
        </w:rPr>
        <w:t xml:space="preserve"> (B.C.S.C.) Legg J.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general rules of interpretation are set out in a number of cases but I find helpful the reasoning of Mr. Justice Coffin in v. Nova Scotia Light &amp; Power Co. Ltd. </w:t>
      </w:r>
      <w:hyperlink r:id="rId1001" w:history="1">
        <w:r>
          <w:rPr>
            <w:rFonts w:ascii="arial" w:eastAsia="arial" w:hAnsi="arial" w:cs="arial"/>
            <w:i/>
            <w:color w:val="0077CC"/>
            <w:sz w:val="20"/>
            <w:u w:val="single"/>
            <w:shd w:val="clear" w:color="auto" w:fill="FFFFFF"/>
            <w:lang w:val="en-US" w:eastAsia="en-US" w:bidi="ar-SA"/>
          </w:rPr>
          <w:t>(1976), 16 N.S.R. (2d) 488</w:t>
        </w:r>
      </w:hyperlink>
      <w:r>
        <w:rPr>
          <w:rFonts w:ascii="arial" w:eastAsia="arial" w:hAnsi="arial" w:cs="arial"/>
          <w:color w:val="000000"/>
          <w:sz w:val="20"/>
          <w:lang w:val="en-US" w:eastAsia="en-US" w:bidi="ar-SA"/>
        </w:rPr>
        <w:t xml:space="preserve"> (N.S.C.A.), who adopted at page 494 a statement from the judgment of Lord Chief Justice Tindel in Shore v. Wilson (1842), 9 Cl. &amp; Fin. 355. I repeat the general rule from Shore v. Wilson,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general rule I take to be, that where the words of any written instrument are free from ambiguity in themselves, and where external circumstances do not create any doubt or difficulty as to the proper application of those words to claimants under the instrument, or the subject-matter to which the instrument relates, such instrument is always to be construed according to the strict, plain, common meaning of the words themselves; and that in such case evidence dehors the instrument, for the purpose of explaining it according to the surmised or alleged intention of the parties to the instrument, is utterly inadmissible. If it were otherwise, no lawyer would be safe in advising upon the construction of a written instrument, nor any party in taking under it; for the ablest advice might be controlled, and the clearest title undermined, if, at some future period, parol evidence of the particular meaning which the party affixed to his words, or of his secret intention in making the instrument, or of the objects he meant to take benefit under it, might be set up to contradict or vary the plain language of the instrument itself.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true interpretation, however, of every instrument being manifestly that which will make the instrument speak the intention of the party at the time it was made, it has always been considered as an exception, or perhaps, to speak more precisely, not so much an exception from, as a corollary to, the general rule above stated, that where any doubt arises upon the true sense and meaning of the words themselves, or any difficulty as to their application under the surrounding circumstances, the sense and meaning of the language may be investigated and ascertained by evidence dehors the instrument itself; for both reason and common sense agree that by no other means can the language of the instrument be made to speak the real mind of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 plain reading of clause 3(b) I cannot detect any ambiguity in the phrase "ordinary cultivation and use of the land". Those words clearly mean the use to which Lot 3 was put in and around the time the parties negotiated the easement, i.e: vacant fallow land. The words do not mean every possible use to which the land could then be put. Nor do the words mean every possible use to which the land might at some time in the future be put in response to changes in relevant regulatory schemes affecting the land or in response to changing aspirations of the owner(s) from time to time. On the face of the document the phrase is not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question is whether external circumstances create doubt or difficulty of application of the words to the parties or to the subject matter to which the easement relates. The external circumstances include, according to the plaintiff, allusions by CNR and the utility to uses to which the property might be put in the future. Those allusions are contained in correspondence between CNR and the utility in and around 1959. In the February 13, 1959 letter from CNR to the utility CNR demurs to the utility's request for an easement citing the devaluation the easement would cause to the property for industrial purposes. I see that as a negotiating tactic - an effort by CNR to convince the utility that the easement it proposed merited more compensation than was then on offer. There are more letters between the parties in which the industrial use is mentioned. I do not consider that this correspondence determines anything in particular. The letters do not establish that the parties were ad idem that the "ordinary cultivation and use of the land" meant anything other than the use to which the property was then put, that being vacant land. I am confirmed in that view by the fact that the consideration the utility offered in its first proposal in January 1959 is precisely the same consideration CNR accepted when the easement was signed in 1960. The first offer was not informed by any references to industrial use of the land. That is to say: the consideration first offered was not altered to take into account some potential for industrial use of the property. The parties could not, therefore, have been particularly concerned about that potential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easement itself contains no reference to industrial use. I find this latter a particularly compelling fact. These were two sophisticated well informed parties who both had the benefit of sound advice from their professional land managers and their own lawyers. They chose to draw the easement without reference to industrial use of Lot 3. Instead they were content with the phrase "ordinary cultivation and use of the land". The plaintiff reaches too far when it argues that these competent parties employed an ambiguous phrase when it would have been simplicity itself for them to have written instead "ordinary cultivation and use of the land including present and future industrial use of whatever kind". To find ambiguity in the impugned phrase and to resolve it in that fashion is to rewrite the contract for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observe generally that the plaintiff's argument at summary trial was, basically, that because in 1959-60 the land could have been used for an industrial purpose then industrial purpose was then an ordinary use of the land. That argument is fundamentally flawed. The ordinary use of land is not whatever future use the land might be put to according to an owner's changing whims and pursuant to whatever regulatory regimes might from time to time pertain. The plaintiff would have clause 3(b) interpreted as saying "ordinary cultivation and all possible future uses of the land". To accede to the plaintiff's argument would, in my view, be to substantially rewrite the agreement. It would import into the agreement a term the plaintiff now wishes the CNR had stipulated. The plaintiff seeks, basically, to be put in a better position than its predecessor in title. That is obviously not something the court can countenance.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summary, then, I find that the phrase "ordinary cultivation and use of the land" means the use of the land in and about the time the easement was negotiated. It is not an ambiguous term. The circumstances surrounding the making of the contract do not dictate that these parties made a bargain that now needs to be fixed by importing additional terms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Necessity of Extrinsic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If I am wrong and the phrase "ordinary cultivation and use of the land" is ambiguous, then I must turn to the extrinsic evidence to determine whether it dictates that the phrase be interpreted to include industrial use of the land. As noted earlier, the extrinsic evidence comprises a series of letters between the parties between January 1959 and April 1961. Those letters describe negotiations between the parties. I believe that the court can make only limited use of those letters, and they cannot be considered in isolation from the agreement itself. That is because in any negotiation a party will assert interests and take positions with a view to gaining an advantage over the other. Not every position is reflected in the final agreement. The court should proceed on the basis that if a negotiating position does not make it into the final agreement, the party who asserted the position decided to abandon it. That assumption might be displaced by evidence of fraud, deception, undue influence, the principle of non est factum, or by one of the other doctrines by which a party can escape the terms of a contract. It might also be displaced if the circumstances reveal that the contract can only achieve its true business objective by importing into it some term implied by the extrinsic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extrinsic evidence reveals that the parties took various positions and made various arguments in an effort to achieve their respective ends. CNR asserted that the easement would devalue the land for industrial purposes. CNR accepted the same consideration offered before as after it made that assertion. From this I conclude that the assertion was not very important to CNR. It certainly was not a factor that governed CNR's decision to agree to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 the extrinsic evidence shows that CNR was genuinely concerned that it be able to cross the easement with a spur line. This suggests that CNR understood that absent that provision it would not be allowed to make that crossing, or if it did build the crossing it would have to pay to strengthen the pipeline. CNR wanted to ensure that the extra cost of such a crossing would be born by the utility. CNR negotiated clause 3(c) so that if it did build a spur line across the easement the utility would indemnify CNR for any extra costs associated with that construction. If, as the plaintiff asserts, the easement took from the CNR only those ownership rights specifically enumerated in the easement, and if those ownership rights automatically included the right to cross the easement without having to pay to strengthen the pipeline, then why did CNR consider it necessary to negotiate clause 3(c)? The clear answer is that both parties appreciated that the presence of the pipeline under the ground would limit the use to which CNR could put the surface of the easement. The inescapable conclusion is that both parties understood and accepted that clause 2(a) of the easement limited CNR's right to do anything on the natural surface of the easement that could jeopardize the integrity of the pipeline. For that reason CNR negotiated clause 3(c) as an exception to that limitation. Had CNR been doing anything other than employing future industrial use as a tactic to win a higher price for the easement, it would surely have held out for a higher price or it would have ensured that the easement contained some language preserving its right to use the easement for industrial purposes. That is what it did with the spur line issue. Instead CNR accepted the first price offered, agreed to the phrase "ordinary cultivation and use of the land" and extracted a free spur line crossing from the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whole, and considering the correspondence, the negotiations, and the final agreement, I find that the business objectives of the parties in making the agreement are fully reflected in the terms of the agreement itself. The negotiations were nothing more than that. CNR's allusions to potential industrial use of some unspecified nature at some unknown future time did not form a bedrock element it wished to include in the agreement. If there was a bedrock element for CNR it was that CNR wanted to be paid a reasonable amount for the easement and it wanted the utility to pay any extra cost of a spur line crossing necessitated by the pipeline. The agreement as signed achieves the business ends the parties sought to achieve by making it. It is not necessary to achieve those ends by bringing into the agreement an implied term that the utility must build the pipeline to accommodate some unspecified industrial use that might at some point in the future happen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cannot, therefore, make a declaration that the extrinsic evidence informs the content of the agreement. That extrinsic evidence does not describe a situation in which the CNR thought it was getting one deal but the written contract reflects a different deal. Instead, the extrinsic evidence shows that the parties negotiated, some positions were taken and accepted, while others were proposed and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Declaration 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subject of this suit is substantially the same as in B.C. Gas Utility Ltd. v. Alpha Manufacturing Inc., </w:t>
      </w:r>
      <w:hyperlink r:id="rId1002" w:history="1">
        <w:r>
          <w:rPr>
            <w:rFonts w:ascii="arial" w:eastAsia="arial" w:hAnsi="arial" w:cs="arial"/>
            <w:i/>
            <w:color w:val="0077CC"/>
            <w:sz w:val="20"/>
            <w:u w:val="single"/>
            <w:shd w:val="clear" w:color="auto" w:fill="FFFFFF"/>
            <w:lang w:val="en-US" w:eastAsia="en-US" w:bidi="ar-SA"/>
          </w:rPr>
          <w:t>[1998] B.C.J. No. 939</w:t>
        </w:r>
      </w:hyperlink>
      <w:r>
        <w:rPr>
          <w:rFonts w:ascii="arial" w:eastAsia="arial" w:hAnsi="arial" w:cs="arial"/>
          <w:color w:val="000000"/>
          <w:sz w:val="20"/>
          <w:lang w:val="en-US" w:eastAsia="en-US" w:bidi="ar-SA"/>
        </w:rPr>
        <w:t xml:space="preserve"> (B.C.S.C.). A difference does lie in wording of the land use restrictions accepted by the land owner. In the Alpha case the relevant provision was: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hereby covenants with the company: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do or knowingly permit to be done any act or thing which might in the opinion of the company, interfere with or injure the works or any part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present case the relevant restrictions read: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hereby covenants with the company: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make, place, erect or maintain on the right of way any building, structure, excavation, well, foundation, pile of material or obstruction which, in the opinion of the Company, might interfere with the safe and efficient operation of this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asserts it is significant that in this agreement the restrictions against the owner's use of the land are limited to use of the right of way alone, while in Alpha the restrictions applied to use of the land as a whole. The plaintiff says, therefore, that clause 2(a) of its agreement does not restrict its use of the remainder of Lot 3. If that is so then, according to the plaintiff, it can load the land immediately adjacent to the right of way and the utility must pay to strengthen the pipeline to accommodate any part of that load transmitted through the soil from Lot 3 into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Here I find that the easement does contain a genuine internal contradiction. The business objective of the easement was nothing less than placement and safe operation of the pipeline under Lot 3's soil. The utility's overriding concern was to ensure that nothing done by the owner would jeopardize the pipeline. That objective is clear on the face of the document and in the pre-agreement documents. Yet, the parties' agreement appears to permit the owner to use the remainder of Lot 3 in any way it likes, including ways that could damage the pipeline. Was protection of the pipeline a negotiating position proposed by the utility but abandoned in the end? I cannot conceive that. The agreement itself and the surrounding documents show that while CNR thought about future industrial use, it did not adhere to that objective with such vigour as to indicate that preserving that use was essential to its consent. So, although the parties discussed industrial use of Lot 3, I find that that objective did not drive the parties to the agreement they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compelled to conclude, then, that clause 2(a) includes an implied term that the owner would not do on the rest of the land those things it agreed to not do on the easement if those things could jeopardize the pipeline. I cannot make the declaration the plaintiff seeks in paragraph 3(a), and I dismiss that application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Declaration 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Given the foregoing, I find that clause 2(b) can only mean that the owner may not put so much fill on the right of way as to jeopardize the pipeline. In order to conform to the overall business objective of the easement clause 2(b) must mean that the owner cannot risk harming the pipeline by putting too much fill on the surface of the easement. Certainly the owner can put some fill on the surface of the easement, enough at least to bring that surface level with the surrounding surface when in its ordinary use. Since ordinary use means the land in its natural state, clause 2(b) means that the authorized amount of fill on the right of way is limited to that amount of fill necessary to bring the easement level with the land's natural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on Declarations 3(a) &amp;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it is necessary to the proper construction of the easement and to give effect to its true objective to interpret clause 2(a) as limiting the owner's freedom to use the land adjacent to the right of way in a fashion that could jeopardize the pipeline. I find that the owner's freedom in clause 2(b) is governed by clause 2(a) so that the amount of fill the owner may place on the right of way cannot interfere with the safe operation of the utility's works. Accordingly, I find that I must dismiss the plaintiff's request for the declarations in paragraph 3(a) and 3(b) of the summary trial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parties agree and the court concurs that any failure by the utility to conform to the terms of the easement is actionable by the plaintiff as a breach of that agreement. Such a failure is not actionable in trespass or nuisance. Therefore nothing that the utility did or did not do pursuant to the easement over the plaintiff's land can bottom an action by the plaintiff for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asserts that leaving aside the easement, the presence of the pipeline on Lot 7 constitutes a nuisance to the plaintiff because the delicacy of the line's placement is such that the plaintiff cannot develop its adjacent property. This assertion cannot succeed. That is because the utility's ownership and use of Lot 7 does not affect the plaintiff's use of its property (unless, of course, the utility sues to prevent the plaintiff from doing something to damage the utility's enjoyment of Lot 7). To put it more plainly: imagine a hypothetical case where the pipeline on Lot 7 comes in from the west, makes a U-turn under Lot 7's surface, and exits again all without going under the plaintiff's property. In this hypothetical, there is no easement and the pipeline lies entirely within land owned by the utility. The pipeline would not affect the plaintiff's use of its property in its natural state. Then suppose the plaintiff wished to develop its property and started to dump fill on the border with Lot 7. The plaintiff could continue to apply fill until it achieved its purpose or until some legal process was invoked to stop it. The plaintiff would not invoke that process against itself - after all, it wants to put fill on the land. However, if the fill caused subsurface stress on the pipeline, then, keeping in mind that it is the party that suffers harm who may sue in nuisance, the utility might sue in nuisance to prevent the plaintiff from jeopardizing the pipeline by dumping fill on the land. Thus, if the analysis is confined to rights and obligations arising out of the presence of the pipeline on Lot 7 alone, then only the utility could suffer harm from the fill on Lot 3 adjacent to Lot 7, and only the utility could sue in nuisance consequent to the plaintiff's development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is wrong, therefore, in its assertion that the utility's burial of a pipeline under Lot 7 created a nuisance to the plaintiff. In fact, when the plaintiff sought to develop the surrounding land that development may have comprised a nuisance to the utility but it certainly gave rise to no claim in nuisance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 the extent that the plaintiff's claims nuisance with respect to Lot 7, that claim is dismissed. To the extent that the plaintiff claims nuisance arising from the utility's use of the land covered by the easement, that claim is also dismissed because that wrong can only be addressed as a breach of the easement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Severence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foregoing findings may assist the parties in their preparation to try the rest of the issues raised by the pleadings. I order that those issues proceed to trial in the usual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costs of the summary trial will be in the discretion of the subsequent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4" style="position:absolute;z-index:2519060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Rent a Car System, Inc. v. Philadelphia Indemnity Insurance Co., [2018] B.C.J. No. 165</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Chow v. Subway Franchise Restaurants of Canada Ltd., [2017] B.C.J. No. 1190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Ciolli v. Galley, [2010] B.C.J. No. 143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Emel v. Westfair Foods Ltd. (c.o.b. Real Canadian Superstore), [2002] B.C.J. No. 2574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 v. Henley, [2006] B.C.J. No. 1528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Ferris v. Greater Vancouver (Regional District), [2002] B.C.J. No. 299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Depot of Canada Inc. v. Ladner Downs, [2003] B.C.J. No. 2905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v. British Columbia, [2006] B.C.J. No. 1286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Jansen v. British Columbia Transit, [2004] B.C.J. No. 1115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Johnston Estate v. Johnston, [2016] B.C.J. No. 1596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Laponder v. Birkich, [2017] B.C.J. No. 2100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 v. John Doe 1, [2015] B.C.J. No. 1237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Loxterkamp v. Cluff, [2005] B.C.J. No. 1399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MacEachern (Committee of) v. Rennie, [2009] B.C.J. No. 1034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 v. Tam, [2002] B.C.J. No. 1749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McEvoy v. McEachnie, [2008] B.C.J. No. 1787</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Okayasu v. Poulsen, [2001] B.C.J. No. 1008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Rodrigues v. Tribe, [2016] B.C.J. No. 1422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R.P.C. Inc. v. Fournell Estate, [2003] B.C.J. No. 1390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Schram v. Osten, [2004] B.C.J. No. 2902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Schryer v. Canada (Attorney General), [2001] B.C.J. No. 180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Semenoff Estate v. Bridgeman, [2013] B.C.J. No. 1217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Sidhu (Litigation guardian of) v. Hiebert, [2018] B.C.J. No. 456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Corp. VR 2673 v. Comissiona, [2000] B.C.J. No. 1681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2643 v. Harold Developments Ltd., [2009] B.C.J. No. 2207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Varzari v. Vinh, [2004] B.C.J. No. 965</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Visser v. Loblaws Inc. (c.o.b. The Real Canadian Superstore), [2001] B.C.J. No. 2728</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Wang v. Epoch Press Ltd., [2017] B.C.J. No. 148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Woodworth v. J.S. McMillan Fisheries Ltd., [2000] B.C.J. No. 2485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0742848 B.C. Ltd. v. Squamish (District), [2018] B.C.J. No. 1230</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 v. C.D., [2010] B.C.J. No. 2114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Alec v. Domonkos, [2003] B.C.J. No. 1398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China v. Fan, [2015] B.C.J. No. 703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Barakett v. Foley, [2016] B.C.J. No. 1000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Battrum v. MacKenzie Estate, [2008] B.C.J. No. 1201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Bendzak v. Bohnet, [2013] B.C.J. No. 464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Tekavec, [2012] B.C.J. No. 1881</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Buchan v. Rome Estate, [2011] B.C.J. No. 1693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Forest Products Ltd. v. B.C. Rail Ltd., [2003] B.C.J. No. 809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Casses v. Canadian Broadcasting Corp., [2016] B.C.J. No. 1087</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Choi v. Paik, [2008] B.C.J. No. 1588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Chouinard v. Army &amp; Navy Dept. Store Ltd., [2007] B.C.J. No. 2315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Cimaco International Sales Inc. (c.o.b. Cimaco Travel) v. British Airways PLC, [2005] B.C.J. No. 1282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Coutinho &amp; Ferrostaal GmbH v. Tracomex (Canada) Ltd., [2015] B.C.J. No. 963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Dawson v. Gee, [2000] B.C.J. No. 154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Diamond 11 Excavating and Demolition Ltd. v. Dhunna, [2018] B.C.J. No. 6908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Downey v. Brousseau, [2007] B.C.J. No. 184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Farallon Mining Ltd. v. St. Eloi, [2012] B.C.J. No. 815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Forsyth v. Pender Harbour Golf Club Society, [2006] B.C.J. No. 1637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Gary Tonks Ltd. v. Terasen Gas Inc., [2004] B.C.J. No. 1120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v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v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i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i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i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v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12)"/>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i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13)"/>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58F298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898E4D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8E6540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DE49E9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139C993B"/>
    <w:multiLevelType w:val="multilevel"/>
    <w:tmpl w:val="00000001"/>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164E9DA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18E64CF0"/>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1F3049D7"/>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2625375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2AF7478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2B6279F2"/>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2D2C0308"/>
    <w:multiLevelType w:val="multilevel"/>
    <w:tmpl w:val="00000001"/>
    <w:lvl w:ilvl="0">
      <w:start w:val="19"/>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2E37082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2E8FC35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2F69D61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2FFA352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30FFCDB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34FF0C2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35583163"/>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3A3B91DD"/>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3D63C81B"/>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4454CBD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48DC1E33"/>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4D6952A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5062AFD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507CE53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5257F50D"/>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5933926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63E6802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6B38D1BD"/>
    <w:multiLevelType w:val="multilevel"/>
    <w:tmpl w:val="00000001"/>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6BDDAD7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6C616225"/>
    <w:multiLevelType w:val="multilevel"/>
    <w:tmpl w:val="00000001"/>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62768A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78E6DF3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927C47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BC9C4F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7D1EAE2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134"/>
  </w:num>
  <w:num w:numId="49">
    <w:abstractNumId w:val="143"/>
  </w:num>
  <w:num w:numId="50">
    <w:abstractNumId w:val="148"/>
  </w:num>
  <w:num w:numId="51">
    <w:abstractNumId w:val="127"/>
  </w:num>
  <w:num w:numId="52">
    <w:abstractNumId w:val="144"/>
  </w:num>
  <w:num w:numId="53">
    <w:abstractNumId w:val="152"/>
  </w:num>
  <w:num w:numId="54">
    <w:abstractNumId w:val="153"/>
  </w:num>
  <w:num w:numId="55">
    <w:abstractNumId w:val="151"/>
  </w:num>
  <w:num w:numId="56">
    <w:abstractNumId w:val="149"/>
  </w:num>
  <w:num w:numId="57">
    <w:abstractNumId w:val="156"/>
  </w:num>
  <w:num w:numId="58">
    <w:abstractNumId w:val="146"/>
  </w:num>
  <w:num w:numId="59">
    <w:abstractNumId w:val="138"/>
  </w:num>
  <w:num w:numId="60">
    <w:abstractNumId w:val="123"/>
  </w:num>
  <w:num w:numId="61">
    <w:abstractNumId w:val="125"/>
  </w:num>
  <w:num w:numId="62">
    <w:abstractNumId w:val="136"/>
  </w:num>
  <w:num w:numId="63">
    <w:abstractNumId w:val="135"/>
  </w:num>
  <w:num w:numId="64">
    <w:abstractNumId w:val="47"/>
  </w:num>
  <w:num w:numId="65">
    <w:abstractNumId w:val="48"/>
  </w:num>
  <w:num w:numId="66">
    <w:abstractNumId w:val="49"/>
  </w:num>
  <w:num w:numId="67">
    <w:abstractNumId w:val="50"/>
  </w:num>
  <w:num w:numId="68">
    <w:abstractNumId w:val="51"/>
  </w:num>
  <w:num w:numId="69">
    <w:abstractNumId w:val="52"/>
  </w:num>
  <w:num w:numId="70">
    <w:abstractNumId w:val="53"/>
  </w:num>
  <w:num w:numId="71">
    <w:abstractNumId w:val="54"/>
  </w:num>
  <w:num w:numId="72">
    <w:abstractNumId w:val="55"/>
  </w:num>
  <w:num w:numId="73">
    <w:abstractNumId w:val="56"/>
  </w:num>
  <w:num w:numId="74">
    <w:abstractNumId w:val="57"/>
  </w:num>
  <w:num w:numId="75">
    <w:abstractNumId w:val="58"/>
  </w:num>
  <w:num w:numId="76">
    <w:abstractNumId w:val="59"/>
  </w:num>
  <w:num w:numId="77">
    <w:abstractNumId w:val="60"/>
  </w:num>
  <w:num w:numId="78">
    <w:abstractNumId w:val="61"/>
  </w:num>
  <w:num w:numId="79">
    <w:abstractNumId w:val="62"/>
  </w:num>
  <w:num w:numId="80">
    <w:abstractNumId w:val="63"/>
  </w:num>
  <w:num w:numId="81">
    <w:abstractNumId w:val="64"/>
  </w:num>
  <w:num w:numId="82">
    <w:abstractNumId w:val="65"/>
  </w:num>
  <w:num w:numId="83">
    <w:abstractNumId w:val="66"/>
  </w:num>
  <w:num w:numId="84">
    <w:abstractNumId w:val="67"/>
  </w:num>
  <w:num w:numId="85">
    <w:abstractNumId w:val="68"/>
  </w:num>
  <w:num w:numId="86">
    <w:abstractNumId w:val="69"/>
  </w:num>
  <w:num w:numId="87">
    <w:abstractNumId w:val="70"/>
  </w:num>
  <w:num w:numId="88">
    <w:abstractNumId w:val="71"/>
  </w:num>
  <w:num w:numId="89">
    <w:abstractNumId w:val="72"/>
  </w:num>
  <w:num w:numId="90">
    <w:abstractNumId w:val="73"/>
  </w:num>
  <w:num w:numId="91">
    <w:abstractNumId w:val="74"/>
  </w:num>
  <w:num w:numId="92">
    <w:abstractNumId w:val="75"/>
  </w:num>
  <w:num w:numId="93">
    <w:abstractNumId w:val="76"/>
  </w:num>
  <w:num w:numId="94">
    <w:abstractNumId w:val="77"/>
  </w:num>
  <w:num w:numId="95">
    <w:abstractNumId w:val="78"/>
  </w:num>
  <w:num w:numId="96">
    <w:abstractNumId w:val="79"/>
  </w:num>
  <w:num w:numId="97">
    <w:abstractNumId w:val="80"/>
  </w:num>
  <w:num w:numId="98">
    <w:abstractNumId w:val="81"/>
  </w:num>
  <w:num w:numId="99">
    <w:abstractNumId w:val="82"/>
  </w:num>
  <w:num w:numId="100">
    <w:abstractNumId w:val="83"/>
  </w:num>
  <w:num w:numId="101">
    <w:abstractNumId w:val="84"/>
  </w:num>
  <w:num w:numId="102">
    <w:abstractNumId w:val="85"/>
  </w:num>
  <w:num w:numId="103">
    <w:abstractNumId w:val="86"/>
  </w:num>
  <w:num w:numId="104">
    <w:abstractNumId w:val="87"/>
  </w:num>
  <w:num w:numId="105">
    <w:abstractNumId w:val="88"/>
  </w:num>
  <w:num w:numId="106">
    <w:abstractNumId w:val="89"/>
  </w:num>
  <w:num w:numId="107">
    <w:abstractNumId w:val="90"/>
  </w:num>
  <w:num w:numId="108">
    <w:abstractNumId w:val="91"/>
  </w:num>
  <w:num w:numId="109">
    <w:abstractNumId w:val="92"/>
  </w:num>
  <w:num w:numId="110">
    <w:abstractNumId w:val="93"/>
  </w:num>
  <w:num w:numId="111">
    <w:abstractNumId w:val="94"/>
  </w:num>
  <w:num w:numId="112">
    <w:abstractNumId w:val="95"/>
  </w:num>
  <w:num w:numId="113">
    <w:abstractNumId w:val="96"/>
  </w:num>
  <w:num w:numId="114">
    <w:abstractNumId w:val="97"/>
  </w:num>
  <w:num w:numId="115">
    <w:abstractNumId w:val="98"/>
  </w:num>
  <w:num w:numId="116">
    <w:abstractNumId w:val="99"/>
  </w:num>
  <w:num w:numId="117">
    <w:abstractNumId w:val="100"/>
  </w:num>
  <w:num w:numId="118">
    <w:abstractNumId w:val="147"/>
  </w:num>
  <w:num w:numId="119">
    <w:abstractNumId w:val="128"/>
  </w:num>
  <w:num w:numId="120">
    <w:abstractNumId w:val="130"/>
  </w:num>
  <w:num w:numId="121">
    <w:abstractNumId w:val="126"/>
  </w:num>
  <w:num w:numId="122">
    <w:abstractNumId w:val="133"/>
  </w:num>
  <w:num w:numId="123">
    <w:abstractNumId w:val="154"/>
  </w:num>
  <w:num w:numId="124">
    <w:abstractNumId w:val="120"/>
  </w:num>
  <w:num w:numId="125">
    <w:abstractNumId w:val="142"/>
  </w:num>
  <w:num w:numId="126">
    <w:abstractNumId w:val="137"/>
  </w:num>
  <w:num w:numId="127">
    <w:abstractNumId w:val="139"/>
  </w:num>
  <w:num w:numId="128">
    <w:abstractNumId w:val="132"/>
  </w:num>
  <w:num w:numId="129">
    <w:abstractNumId w:val="122"/>
  </w:num>
  <w:num w:numId="130">
    <w:abstractNumId w:val="129"/>
  </w:num>
  <w:num w:numId="131">
    <w:abstractNumId w:val="140"/>
  </w:num>
  <w:num w:numId="132">
    <w:abstractNumId w:val="131"/>
  </w:num>
  <w:num w:numId="133">
    <w:abstractNumId w:val="101"/>
  </w:num>
  <w:num w:numId="134">
    <w:abstractNumId w:val="102"/>
  </w:num>
  <w:num w:numId="135">
    <w:abstractNumId w:val="103"/>
  </w:num>
  <w:num w:numId="136">
    <w:abstractNumId w:val="104"/>
  </w:num>
  <w:num w:numId="137">
    <w:abstractNumId w:val="105"/>
  </w:num>
  <w:num w:numId="138">
    <w:abstractNumId w:val="106"/>
  </w:num>
  <w:num w:numId="139">
    <w:abstractNumId w:val="107"/>
  </w:num>
  <w:num w:numId="140">
    <w:abstractNumId w:val="108"/>
  </w:num>
  <w:num w:numId="141">
    <w:abstractNumId w:val="109"/>
  </w:num>
  <w:num w:numId="142">
    <w:abstractNumId w:val="110"/>
  </w:num>
  <w:num w:numId="143">
    <w:abstractNumId w:val="111"/>
  </w:num>
  <w:num w:numId="144">
    <w:abstractNumId w:val="112"/>
  </w:num>
  <w:num w:numId="145">
    <w:abstractNumId w:val="113"/>
  </w:num>
  <w:num w:numId="146">
    <w:abstractNumId w:val="114"/>
  </w:num>
  <w:num w:numId="147">
    <w:abstractNumId w:val="115"/>
  </w:num>
  <w:num w:numId="148">
    <w:abstractNumId w:val="116"/>
  </w:num>
  <w:num w:numId="149">
    <w:abstractNumId w:val="117"/>
  </w:num>
  <w:num w:numId="150">
    <w:abstractNumId w:val="118"/>
  </w:num>
  <w:num w:numId="151">
    <w:abstractNumId w:val="119"/>
  </w:num>
  <w:num w:numId="152">
    <w:abstractNumId w:val="150"/>
  </w:num>
  <w:num w:numId="153">
    <w:abstractNumId w:val="155"/>
  </w:num>
  <w:num w:numId="154">
    <w:abstractNumId w:val="121"/>
  </w:num>
  <w:num w:numId="155">
    <w:abstractNumId w:val="124"/>
  </w:num>
  <w:num w:numId="156">
    <w:abstractNumId w:val="145"/>
  </w:num>
  <w:num w:numId="157">
    <w:abstractNumId w:val="1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RKJ-9CN1-F60C-X1R5-00000-00&amp;context=" TargetMode="External" /><Relationship Id="rId100" Type="http://schemas.openxmlformats.org/officeDocument/2006/relationships/header" Target="header12.xml" /><Relationship Id="rId1000" Type="http://schemas.openxmlformats.org/officeDocument/2006/relationships/hyperlink" Target="https://advance.lexis.com/api/document?collection=cases-ca&amp;id=urn:contentItem:5F7T-S6Y1-JNY7-X2XX-00000-00&amp;context=" TargetMode="External" /><Relationship Id="rId1001" Type="http://schemas.openxmlformats.org/officeDocument/2006/relationships/hyperlink" Target="https://advance.lexis.com/api/document?collection=cases-ca&amp;id=urn:contentItem:5F7T-XPR1-JBDT-B4PG-00000-00&amp;context=" TargetMode="External" /><Relationship Id="rId1002" Type="http://schemas.openxmlformats.org/officeDocument/2006/relationships/hyperlink" Target="https://advance.lexis.com/api/document?collection=cases-ca&amp;id=urn:contentItem:5F7T-S751-JG02-S2JG-00000-00&amp;context=" TargetMode="External" /><Relationship Id="rId1003" Type="http://schemas.openxmlformats.org/officeDocument/2006/relationships/numbering" Target="numbering.xml" /><Relationship Id="rId1004" Type="http://schemas.openxmlformats.org/officeDocument/2006/relationships/styles" Target="styles.xml" /><Relationship Id="rId101" Type="http://schemas.openxmlformats.org/officeDocument/2006/relationships/footer" Target="footer12.xml" /><Relationship Id="rId102" Type="http://schemas.openxmlformats.org/officeDocument/2006/relationships/hyperlink" Target="https://advance.lexis.com/api/document?collection=cases-ca&amp;id=urn:contentItem:5F7T-S7B1-FH4C-X39B-00000-00&amp;context=" TargetMode="External" /><Relationship Id="rId103" Type="http://schemas.openxmlformats.org/officeDocument/2006/relationships/hyperlink" Target="https://advance.lexis.com/api/document?collection=legislation-ca&amp;id=urn:contentItem:5F41-1FJ1-JKPJ-G0P7-00000-00&amp;context=" TargetMode="External" /><Relationship Id="rId104" Type="http://schemas.openxmlformats.org/officeDocument/2006/relationships/hyperlink" Target="https://advance.lexis.com/api/document?collection=cases-ca&amp;id=urn:contentItem:5F8N-K6Y1-JB2B-S04P-00000-00&amp;context=" TargetMode="External" /><Relationship Id="rId105" Type="http://schemas.openxmlformats.org/officeDocument/2006/relationships/header" Target="header13.xml" /><Relationship Id="rId106" Type="http://schemas.openxmlformats.org/officeDocument/2006/relationships/header" Target="header14.xml" /><Relationship Id="rId107" Type="http://schemas.openxmlformats.org/officeDocument/2006/relationships/footer" Target="footer13.xml" /><Relationship Id="rId108" Type="http://schemas.openxmlformats.org/officeDocument/2006/relationships/footer" Target="footer14.xml" /><Relationship Id="rId109" Type="http://schemas.openxmlformats.org/officeDocument/2006/relationships/header" Target="header15.xml" /><Relationship Id="rId11" Type="http://schemas.openxmlformats.org/officeDocument/2006/relationships/hyperlink" Target="https://advance.lexis.com/api/document?collection=legislation-ca&amp;id=urn:contentItem:5F41-1FM1-FGJR-216H-00000-00&amp;context=" TargetMode="External" /><Relationship Id="rId110" Type="http://schemas.openxmlformats.org/officeDocument/2006/relationships/footer" Target="footer15.xml" /><Relationship Id="rId111" Type="http://schemas.openxmlformats.org/officeDocument/2006/relationships/hyperlink" Target="https://advance.lexis.com/api/document?collection=cases-ca&amp;id=urn:contentItem:5F7T-S7F1-JK4W-M1XM-00000-00&amp;context=" TargetMode="External" /><Relationship Id="rId112" Type="http://schemas.openxmlformats.org/officeDocument/2006/relationships/hyperlink" Target="https://advance.lexis.com/api/document?collection=cases-ca&amp;id=urn:contentItem:5F7T-S781-F06F-23X6-00000-00&amp;context=" TargetMode="External" /><Relationship Id="rId113" Type="http://schemas.openxmlformats.org/officeDocument/2006/relationships/header" Target="header16.xml" /><Relationship Id="rId114" Type="http://schemas.openxmlformats.org/officeDocument/2006/relationships/header" Target="header17.xml" /><Relationship Id="rId115" Type="http://schemas.openxmlformats.org/officeDocument/2006/relationships/footer" Target="footer16.xml" /><Relationship Id="rId116" Type="http://schemas.openxmlformats.org/officeDocument/2006/relationships/footer" Target="footer17.xml" /><Relationship Id="rId117" Type="http://schemas.openxmlformats.org/officeDocument/2006/relationships/header" Target="header18.xml" /><Relationship Id="rId118" Type="http://schemas.openxmlformats.org/officeDocument/2006/relationships/footer" Target="footer18.xml" /><Relationship Id="rId119" Type="http://schemas.openxmlformats.org/officeDocument/2006/relationships/hyperlink" Target="https://advance.lexis.com/api/document?collection=cases-ca&amp;id=urn:contentItem:5F7T-S781-JC5P-G1FC-00000-00&amp;context=" TargetMode="External" /><Relationship Id="rId12" Type="http://schemas.openxmlformats.org/officeDocument/2006/relationships/hyperlink" Target="https://advance.lexis.com/api/document?collection=legislation-ca&amp;id=urn:contentItem:5JPF-NN31-F1WF-M307-00000-00&amp;context=" TargetMode="External" /><Relationship Id="rId120" Type="http://schemas.openxmlformats.org/officeDocument/2006/relationships/header" Target="header19.xml" /><Relationship Id="rId121" Type="http://schemas.openxmlformats.org/officeDocument/2006/relationships/header" Target="header20.xml" /><Relationship Id="rId122" Type="http://schemas.openxmlformats.org/officeDocument/2006/relationships/footer" Target="footer19.xml" /><Relationship Id="rId123" Type="http://schemas.openxmlformats.org/officeDocument/2006/relationships/footer" Target="footer20.xml" /><Relationship Id="rId124" Type="http://schemas.openxmlformats.org/officeDocument/2006/relationships/header" Target="header21.xml" /><Relationship Id="rId125" Type="http://schemas.openxmlformats.org/officeDocument/2006/relationships/footer" Target="footer21.xml" /><Relationship Id="rId126" Type="http://schemas.openxmlformats.org/officeDocument/2006/relationships/hyperlink" Target="https://advance.lexis.com/api/document?collection=cases-ca&amp;id=urn:contentItem:5F7T-S7C1-JSRM-611Y-00000-00&amp;context=" TargetMode="External" /><Relationship Id="rId127" Type="http://schemas.openxmlformats.org/officeDocument/2006/relationships/hyperlink" Target="https://advance.lexis.com/api/document?collection=cases-ca&amp;id=urn:contentItem:5F7T-S6T1-FJTD-G1PG-00000-00&amp;context=" TargetMode="External" /><Relationship Id="rId128" Type="http://schemas.openxmlformats.org/officeDocument/2006/relationships/hyperlink" Target="https://advance.lexis.com/api/document?collection=cases-ca&amp;id=urn:contentItem:5F7T-S761-JX8W-M2VY-00000-00&amp;context=" TargetMode="External" /><Relationship Id="rId129" Type="http://schemas.openxmlformats.org/officeDocument/2006/relationships/hyperlink" Target="https://advance.lexis.com/api/document?collection=cases-ca&amp;id=urn:contentItem:5F7T-S781-F27X-61FY-00000-00&amp;context=" TargetMode="External" /><Relationship Id="rId13" Type="http://schemas.openxmlformats.org/officeDocument/2006/relationships/hyperlink" Target="https://advance.lexis.com/api/document?collection=legislation-ca&amp;id=urn:contentItem:5F41-1FG1-JJYN-B03B-00000-00&amp;context=" TargetMode="External" /><Relationship Id="rId130" Type="http://schemas.openxmlformats.org/officeDocument/2006/relationships/hyperlink" Target="https://advance.lexis.com/api/document?collection=cases-ca&amp;id=urn:contentItem:5F8T-N3N1-JWXF-24CY-00000-00&amp;context=" TargetMode="External" /><Relationship Id="rId131" Type="http://schemas.openxmlformats.org/officeDocument/2006/relationships/hyperlink" Target="https://advance.lexis.com/api/document?collection=cases-ca&amp;id=urn:contentItem:5F8P-SBT1-F7ND-G47P-00000-00&amp;context=" TargetMode="External" /><Relationship Id="rId132" Type="http://schemas.openxmlformats.org/officeDocument/2006/relationships/hyperlink" Target="https://advance.lexis.com/api/document?collection=cases-ca&amp;id=urn:contentItem:5F8P-SC31-JSXV-G325-00000-00&amp;context=" TargetMode="External" /><Relationship Id="rId133" Type="http://schemas.openxmlformats.org/officeDocument/2006/relationships/hyperlink" Target="https://advance.lexis.com/api/document?collection=cases-ca&amp;id=urn:contentItem:5F7T-S6V1-F956-S04T-00000-00&amp;context=" TargetMode="External" /><Relationship Id="rId134" Type="http://schemas.openxmlformats.org/officeDocument/2006/relationships/hyperlink" Target="https://advance.lexis.com/api/document?collection=cases-ca&amp;id=urn:contentItem:5F7T-S6Y1-JF75-M3Y3-00000-00&amp;context=" TargetMode="External" /><Relationship Id="rId135" Type="http://schemas.openxmlformats.org/officeDocument/2006/relationships/hyperlink" Target="https://advance.lexis.com/api/document?collection=cases-ca&amp;id=urn:contentItem:5F7V-3DK1-FCYK-245N-00000-00&amp;context=" TargetMode="External" /><Relationship Id="rId136" Type="http://schemas.openxmlformats.org/officeDocument/2006/relationships/hyperlink" Target="https://advance.lexis.com/api/document?collection=cases-ca&amp;id=urn:contentItem:5F7T-S761-F81W-21YY-00000-00&amp;context=" TargetMode="External" /><Relationship Id="rId137" Type="http://schemas.openxmlformats.org/officeDocument/2006/relationships/header" Target="header22.xml" /><Relationship Id="rId138" Type="http://schemas.openxmlformats.org/officeDocument/2006/relationships/header" Target="header23.xml" /><Relationship Id="rId139" Type="http://schemas.openxmlformats.org/officeDocument/2006/relationships/footer" Target="footer22.xml" /><Relationship Id="rId14" Type="http://schemas.openxmlformats.org/officeDocument/2006/relationships/hyperlink" Target="https://advance.lexis.com/api/document?collection=cases-ca&amp;id=urn:contentItem:5G8T-89T1-JNCK-22W1-00000-00&amp;context=" TargetMode="External" /><Relationship Id="rId140" Type="http://schemas.openxmlformats.org/officeDocument/2006/relationships/footer" Target="footer23.xml" /><Relationship Id="rId141" Type="http://schemas.openxmlformats.org/officeDocument/2006/relationships/header" Target="header24.xml" /><Relationship Id="rId142" Type="http://schemas.openxmlformats.org/officeDocument/2006/relationships/footer" Target="footer24.xml" /><Relationship Id="rId143" Type="http://schemas.openxmlformats.org/officeDocument/2006/relationships/hyperlink" Target="https://advance.lexis.com/api/document?collection=cases-ca&amp;id=urn:contentItem:5F7T-S7F1-JK4W-M1JX-00000-00&amp;context=" TargetMode="External" /><Relationship Id="rId144" Type="http://schemas.openxmlformats.org/officeDocument/2006/relationships/hyperlink" Target="https://advance.lexis.com/api/document?collection=cases-ca&amp;id=urn:contentItem:5F8T-N3R1-JJSF-22NG-00000-00&amp;context=" TargetMode="External" /><Relationship Id="rId145" Type="http://schemas.openxmlformats.org/officeDocument/2006/relationships/hyperlink" Target="https://advance.lexis.com/api/document?collection=cases-ca&amp;id=urn:contentItem:5F8T-N3T1-JGHR-M273-00000-00&amp;context=" TargetMode="External" /><Relationship Id="rId146" Type="http://schemas.openxmlformats.org/officeDocument/2006/relationships/hyperlink" Target="https://advance.lexis.com/api/document?collection=cases-ca&amp;id=urn:contentItem:5F81-VJV1-F8D9-M0XF-00000-00&amp;context=" TargetMode="External" /><Relationship Id="rId147" Type="http://schemas.openxmlformats.org/officeDocument/2006/relationships/hyperlink" Target="https://advance.lexis.com/api/document?collection=cases-ca&amp;id=urn:contentItem:5F8P-SBT1-F8KH-X2PR-00000-00&amp;context=" TargetMode="External" /><Relationship Id="rId148" Type="http://schemas.openxmlformats.org/officeDocument/2006/relationships/hyperlink" Target="https://advance.lexis.com/api/document?collection=cases-ca&amp;id=urn:contentItem:5F8T-N3P1-K0BB-S0YR-00000-00&amp;context=" TargetMode="External" /><Relationship Id="rId149" Type="http://schemas.openxmlformats.org/officeDocument/2006/relationships/hyperlink" Target="https://advance.lexis.com/api/document?collection=cases-ca&amp;id=urn:contentItem:5F7T-S7H1-JG02-S3GM-00000-00&amp;context=" TargetMode="External" /><Relationship Id="rId15" Type="http://schemas.openxmlformats.org/officeDocument/2006/relationships/hyperlink" Target="https://advance.lexis.com/api/document?collection=cases-ca&amp;id=urn:contentItem:5F7T-S7H1-JFSV-G2T3-00000-00&amp;context=" TargetMode="External" /><Relationship Id="rId150" Type="http://schemas.openxmlformats.org/officeDocument/2006/relationships/hyperlink" Target="https://advance.lexis.com/api/document?collection=cases-ca&amp;id=urn:contentItem:5F8P-SCJ1-F27X-600J-00000-00&amp;context=" TargetMode="External" /><Relationship Id="rId151" Type="http://schemas.openxmlformats.org/officeDocument/2006/relationships/hyperlink" Target="https://advance.lexis.com/api/document?collection=cases-ca&amp;id=urn:contentItem:5F7T-S761-JS5Y-B1R2-00000-00&amp;context=" TargetMode="External" /><Relationship Id="rId152" Type="http://schemas.openxmlformats.org/officeDocument/2006/relationships/hyperlink" Target="https://advance.lexis.com/api/document?collection=cases-ca&amp;id=urn:contentItem:5F7T-S7C1-JXG3-X03W-00000-00&amp;context=" TargetMode="External" /><Relationship Id="rId153" Type="http://schemas.openxmlformats.org/officeDocument/2006/relationships/hyperlink" Target="https://advance.lexis.com/api/document?collection=cases-ca&amp;id=urn:contentItem:5F8T-N3V1-FC1F-M48G-00000-00&amp;context=" TargetMode="External" /><Relationship Id="rId154" Type="http://schemas.openxmlformats.org/officeDocument/2006/relationships/hyperlink" Target="https://advance.lexis.com/api/document?collection=cases-ca&amp;id=urn:contentItem:5F7T-S6X1-F06F-22C1-00000-00&amp;context=" TargetMode="External" /><Relationship Id="rId155" Type="http://schemas.openxmlformats.org/officeDocument/2006/relationships/hyperlink" Target="https://advance.lexis.com/api/document?collection=cases-ca&amp;id=urn:contentItem:5F81-VJX1-JKPJ-G1KW-00000-00&amp;context=" TargetMode="External" /><Relationship Id="rId156" Type="http://schemas.openxmlformats.org/officeDocument/2006/relationships/hyperlink" Target="https://advance.lexis.com/api/document?collection=cases-ca&amp;id=urn:contentItem:5F8T-N3V1-JTGH-B0YP-00000-00&amp;context=" TargetMode="External" /><Relationship Id="rId157" Type="http://schemas.openxmlformats.org/officeDocument/2006/relationships/hyperlink" Target="https://advance.lexis.com/api/document?collection=cases-ca&amp;id=urn:contentItem:5F7T-S791-FJTD-G2W2-00000-00&amp;context=" TargetMode="External" /><Relationship Id="rId158" Type="http://schemas.openxmlformats.org/officeDocument/2006/relationships/hyperlink" Target="https://advance.lexis.com/api/document?collection=cases-ca&amp;id=urn:contentItem:5F81-VJX1-JJYN-B4PB-00000-00&amp;context=" TargetMode="External" /><Relationship Id="rId159" Type="http://schemas.openxmlformats.org/officeDocument/2006/relationships/hyperlink" Target="https://advance.lexis.com/api/document?collection=cases-ca&amp;id=urn:contentItem:5F81-VJX1-JJYN-B52H-00000-00&amp;context=" TargetMode="External" /><Relationship Id="rId16" Type="http://schemas.openxmlformats.org/officeDocument/2006/relationships/hyperlink" Target="https://advance.lexis.com/api/document?collection=cases-ca&amp;id=urn:contentItem:5F7T-S7H1-F016-S3NP-00000-00&amp;context=" TargetMode="External" /><Relationship Id="rId160" Type="http://schemas.openxmlformats.org/officeDocument/2006/relationships/hyperlink" Target="https://advance.lexis.com/api/document?collection=cases-ca&amp;id=urn:contentItem:5F81-VJX1-F22N-X20M-00000-00&amp;context=" TargetMode="External" /><Relationship Id="rId161" Type="http://schemas.openxmlformats.org/officeDocument/2006/relationships/hyperlink" Target="https://advance.lexis.com/api/document?collection=cases-ca&amp;id=urn:contentItem:5F8P-SD81-JX8W-M4JF-00000-00&amp;context=" TargetMode="External" /><Relationship Id="rId162" Type="http://schemas.openxmlformats.org/officeDocument/2006/relationships/hyperlink" Target="https://advance.lexis.com/api/document?collection=cases-ca&amp;id=urn:contentItem:5F8T-N3V1-FC1F-M46D-00000-00&amp;context="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cases-ca&amp;id=urn:contentItem:5F7T-S7C1-F4NT-X3SB-00000-00&amp;context=" TargetMode="External" /><Relationship Id="rId17" Type="http://schemas.openxmlformats.org/officeDocument/2006/relationships/hyperlink" Target="https://advance.lexis.com/api/document?collection=cases-ca&amp;id=urn:contentItem:5F8T-N3V1-JF75-M3B9-00000-00&amp;context=" TargetMode="External" /><Relationship Id="rId170" Type="http://schemas.openxmlformats.org/officeDocument/2006/relationships/hyperlink" Target="https://advance.lexis.com/api/document?collection=cases-ca&amp;id=urn:contentItem:5K6Y-81M1-JN6B-S1F8-00000-00&amp;context=" TargetMode="External" /><Relationship Id="rId171" Type="http://schemas.openxmlformats.org/officeDocument/2006/relationships/hyperlink" Target="https://advance.lexis.com/api/document?collection=cases-ca&amp;id=urn:contentItem:5F8T-N3P1-FC6N-X1MN-00000-00&amp;context=" TargetMode="External" /><Relationship Id="rId172" Type="http://schemas.openxmlformats.org/officeDocument/2006/relationships/hyperlink" Target="https://advance.lexis.com/api/document?collection=cases-ca&amp;id=urn:contentItem:5F7T-S6W1-JXNB-6262-00000-00&amp;context=" TargetMode="External" /><Relationship Id="rId173" Type="http://schemas.openxmlformats.org/officeDocument/2006/relationships/hyperlink" Target="https://advance.lexis.com/api/document?collection=cases-ca&amp;id=urn:contentItem:5F82-1SD1-JFKM-60F5-00000-00&amp;context="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collection=cases-ca&amp;id=urn:contentItem:5N54-05W1-JPGX-S1H3-00000-00&amp;context=" TargetMode="External" /><Relationship Id="rId180" Type="http://schemas.openxmlformats.org/officeDocument/2006/relationships/hyperlink" Target="https://advance.lexis.com/api/document?collection=cases-ca&amp;id=urn:contentItem:5KD1-W4V1-JC5P-G3DJ-00000-00&amp;context=" TargetMode="External" /><Relationship Id="rId181" Type="http://schemas.openxmlformats.org/officeDocument/2006/relationships/hyperlink" Target="https://advance.lexis.com/api/document?collection=legislation-ca&amp;id=urn:contentItem:5F41-1FG1-F4NT-X092-00000-00&amp;context=" TargetMode="External" /><Relationship Id="rId182" Type="http://schemas.openxmlformats.org/officeDocument/2006/relationships/hyperlink" Target="https://advance.lexis.com/api/document?collection=legislation-ca&amp;id=urn:contentItem:5F41-1FJ1-JPGX-S0G0-00000-00&amp;context=" TargetMode="External" /><Relationship Id="rId183" Type="http://schemas.openxmlformats.org/officeDocument/2006/relationships/hyperlink" Target="https://advance.lexis.com/api/document?collection=cases-ca&amp;id=urn:contentItem:5MN1-S7H1-JS5Y-B36H-00000-00&amp;context=" TargetMode="External" /><Relationship Id="rId184" Type="http://schemas.openxmlformats.org/officeDocument/2006/relationships/hyperlink" Target="https://advance.lexis.com/api/document?collection=cases-ca&amp;id=urn:contentItem:5F7T-S6Y1-JNY7-X2BH-00000-00&amp;context=" TargetMode="External" /><Relationship Id="rId185" Type="http://schemas.openxmlformats.org/officeDocument/2006/relationships/hyperlink" Target="https://advance.lexis.com/api/document?collection=cases-ca&amp;id=urn:contentItem:5F7T-S7C1-FGRY-B08S-00000-00&amp;context=" TargetMode="External" /><Relationship Id="rId186" Type="http://schemas.openxmlformats.org/officeDocument/2006/relationships/hyperlink" Target="https://advance.lexis.com/api/document?collection=cases-ca&amp;id=urn:contentItem:5F7T-S7N1-JW09-M134-00000-00&amp;context=" TargetMode="External" /><Relationship Id="rId187" Type="http://schemas.openxmlformats.org/officeDocument/2006/relationships/hyperlink" Target="https://advance.lexis.com/api/document?collection=cases-ca&amp;id=urn:contentItem:5F7T-S7K1-JX3N-B2MR-00000-00&amp;context=" TargetMode="External" /><Relationship Id="rId188" Type="http://schemas.openxmlformats.org/officeDocument/2006/relationships/hyperlink" Target="https://advance.lexis.com/api/document?collection=cases-ca&amp;id=urn:contentItem:5F7T-S731-FG12-628V-00000-00&amp;context=" TargetMode="External" /><Relationship Id="rId189" Type="http://schemas.openxmlformats.org/officeDocument/2006/relationships/hyperlink" Target="https://advance.lexis.com/api/document?collection=cases-ca&amp;id=urn:contentItem:5F7T-S7D1-DY89-M480-00000-00&amp;context=" TargetMode="External" /><Relationship Id="rId19" Type="http://schemas.openxmlformats.org/officeDocument/2006/relationships/hyperlink" Target="https://advance.lexis.com/api/document?collection=cases-ca&amp;id=urn:contentItem:5F7T-S7G1-JWR6-S1NB-00000-00&amp;context=" TargetMode="External" /><Relationship Id="rId190" Type="http://schemas.openxmlformats.org/officeDocument/2006/relationships/hyperlink" Target="https://advance.lexis.com/api/document?collection=cases-ca&amp;id=urn:contentItem:5F7T-S7F1-JBT7-X2R8-00000-00&amp;context=" TargetMode="External" /><Relationship Id="rId191" Type="http://schemas.openxmlformats.org/officeDocument/2006/relationships/hyperlink" Target="https://advance.lexis.com/api/document?collection=cases-ca&amp;id=urn:contentItem:5F7T-S7F1-JFKM-61VX-00000-00&amp;context=" TargetMode="External" /><Relationship Id="rId192" Type="http://schemas.openxmlformats.org/officeDocument/2006/relationships/hyperlink" Target="https://advance.lexis.com/api/document?collection=cases-ca&amp;id=urn:contentItem:5F7T-S761-FFMK-M15W-00000-00&amp;context=" TargetMode="External" /><Relationship Id="rId193" Type="http://schemas.openxmlformats.org/officeDocument/2006/relationships/hyperlink" Target="https://advance.lexis.com/api/document?collection=cases-ca&amp;id=urn:contentItem:5F7T-S7C1-FCSB-S21P-00000-00&amp;context=" TargetMode="External" /><Relationship Id="rId194" Type="http://schemas.openxmlformats.org/officeDocument/2006/relationships/hyperlink" Target="https://advance.lexis.com/api/document?collection=cases-ca&amp;id=urn:contentItem:5F7T-S7H1-JFSV-G30N-00000-00&amp;context=" TargetMode="External" /><Relationship Id="rId195" Type="http://schemas.openxmlformats.org/officeDocument/2006/relationships/hyperlink" Target="https://advance.lexis.com/api/document?collection=cases-ca&amp;id=urn:contentItem:5F7T-S771-F361-M1HH-00000-00&amp;context=" TargetMode="External" /><Relationship Id="rId196" Type="http://schemas.openxmlformats.org/officeDocument/2006/relationships/hyperlink" Target="https://advance.lexis.com/api/document?collection=cases-ca&amp;id=urn:contentItem:5F7T-S6X1-FJDY-X17B-00000-00&amp;context=" TargetMode="External" /><Relationship Id="rId197" Type="http://schemas.openxmlformats.org/officeDocument/2006/relationships/hyperlink" Target="https://advance.lexis.com/api/document?collection=cases-ca&amp;id=urn:contentItem:5F7T-S6W1-JYYX-61X7-00000-00&amp;context=" TargetMode="External" /><Relationship Id="rId198" Type="http://schemas.openxmlformats.org/officeDocument/2006/relationships/hyperlink" Target="https://advance.lexis.com/api/document?collection=cases-ca&amp;id=urn:contentItem:5F7T-S711-F4W2-61FJ-00000-00&amp;context=" TargetMode="External" /><Relationship Id="rId199" Type="http://schemas.openxmlformats.org/officeDocument/2006/relationships/hyperlink" Target="https://advance.lexis.com/api/document?collection=cases-ca&amp;id=urn:contentItem:5F7T-S6P1-F30T-B1Y4-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K1-JWXF-20T3-00000-00&amp;context=" TargetMode="External" /><Relationship Id="rId200" Type="http://schemas.openxmlformats.org/officeDocument/2006/relationships/hyperlink" Target="https://advance.lexis.com/api/document?collection=cases-ca&amp;id=urn:contentItem:5F7T-S711-JB2B-S0YN-00000-00&amp;context=" TargetMode="External" /><Relationship Id="rId201" Type="http://schemas.openxmlformats.org/officeDocument/2006/relationships/hyperlink" Target="https://advance.lexis.com/api/document?collection=cases-ca&amp;id=urn:contentItem:5F7T-S711-JNS1-M0R9-00000-00&amp;context=" TargetMode="External" /><Relationship Id="rId202" Type="http://schemas.openxmlformats.org/officeDocument/2006/relationships/hyperlink" Target="https://advance.lexis.com/api/document?collection=cases-ca&amp;id=urn:contentItem:5F7T-S7C1-JXG3-X0KH-00000-00&amp;context=" TargetMode="External" /><Relationship Id="rId203" Type="http://schemas.openxmlformats.org/officeDocument/2006/relationships/hyperlink" Target="https://advance.lexis.com/api/document?collection=cases-ca&amp;id=urn:contentItem:5GCC-XVB1-JGHR-M478-00000-00&amp;context=" TargetMode="External" /><Relationship Id="rId204" Type="http://schemas.openxmlformats.org/officeDocument/2006/relationships/hyperlink" Target="https://advance.lexis.com/api/document?collection=cases-ca&amp;id=urn:contentItem:5F7T-S7F1-FFFC-B266-00000-00&amp;context=" TargetMode="External" /><Relationship Id="rId205" Type="http://schemas.openxmlformats.org/officeDocument/2006/relationships/hyperlink" Target="https://advance.lexis.com/api/document?collection=cases-ca&amp;id=urn:contentItem:5F7T-S7F1-FBN1-21WM-00000-00&amp;context=" TargetMode="External" /><Relationship Id="rId206" Type="http://schemas.openxmlformats.org/officeDocument/2006/relationships/hyperlink" Target="https://advance.lexis.com/api/document?collection=cases-ca&amp;id=urn:contentItem:5F7T-S731-F1WF-M284-00000-00&amp;context=" TargetMode="External" /><Relationship Id="rId207" Type="http://schemas.openxmlformats.org/officeDocument/2006/relationships/hyperlink" Target="https://advance.lexis.com/api/document?collection=cases-ca&amp;id=urn:contentItem:5F7T-S7D1-JN6B-S0N3-00000-00&amp;context=" TargetMode="External" /><Relationship Id="rId208" Type="http://schemas.openxmlformats.org/officeDocument/2006/relationships/hyperlink" Target="https://advance.lexis.com/api/document?collection=cases-ca&amp;id=urn:contentItem:5F7T-S7K1-DY33-B1RF-00000-00&amp;context=" TargetMode="External" /><Relationship Id="rId209" Type="http://schemas.openxmlformats.org/officeDocument/2006/relationships/hyperlink" Target="https://advance.lexis.com/api/document?collection=cases-ca&amp;id=urn:contentItem:5G77-HXG1-FCK4-G3WX-00000-00&amp;context=" TargetMode="External" /><Relationship Id="rId21" Type="http://schemas.openxmlformats.org/officeDocument/2006/relationships/hyperlink" Target="https://advance.lexis.com/api/document?collection=cases-ca&amp;id=urn:contentItem:5F7T-S7M1-JJK6-S1N0-00000-00&amp;context=" TargetMode="External" /><Relationship Id="rId210" Type="http://schemas.openxmlformats.org/officeDocument/2006/relationships/hyperlink" Target="https://advance.lexis.com/api/document?collection=cases-ca&amp;id=urn:contentItem:5F7T-S7N1-JW09-M0YW-00000-00&amp;context=" TargetMode="External" /><Relationship Id="rId211" Type="http://schemas.openxmlformats.org/officeDocument/2006/relationships/hyperlink" Target="https://advance.lexis.com/api/document?collection=cases-ca&amp;id=urn:contentItem:5F7T-S791-FJTD-G31W-00000-00&amp;context=" TargetMode="External" /><Relationship Id="rId212" Type="http://schemas.openxmlformats.org/officeDocument/2006/relationships/hyperlink" Target="https://advance.lexis.com/api/document?collection=cases-ca&amp;id=urn:contentItem:5F7T-S761-F7ND-G461-00000-00&amp;context=" TargetMode="External" /><Relationship Id="rId213" Type="http://schemas.openxmlformats.org/officeDocument/2006/relationships/hyperlink" Target="https://advance.lexis.com/api/document?collection=cases-ca&amp;id=urn:contentItem:5F16-9371-JT99-21M9-00000-00&amp;context=" TargetMode="External" /><Relationship Id="rId214" Type="http://schemas.openxmlformats.org/officeDocument/2006/relationships/hyperlink" Target="https://advance.lexis.com/api/document?collection=cases-ca&amp;id=urn:contentItem:5F82-1SF1-F1P7-B3PR-00000-00&amp;context=" TargetMode="External" /><Relationship Id="rId215" Type="http://schemas.openxmlformats.org/officeDocument/2006/relationships/hyperlink" Target="https://advance.lexis.com/api/document?collection=cases-ca&amp;id=urn:contentItem:5F8T-N3V1-JTGH-B1C7-00000-00&amp;context=" TargetMode="External" /><Relationship Id="rId216" Type="http://schemas.openxmlformats.org/officeDocument/2006/relationships/hyperlink" Target="https://advance.lexis.com/api/document?collection=cases-ca&amp;id=urn:contentItem:5F7T-S7P1-JNJT-B2VD-00000-00&amp;context=" TargetMode="External" /><Relationship Id="rId217" Type="http://schemas.openxmlformats.org/officeDocument/2006/relationships/hyperlink" Target="https://advance.lexis.com/api/document?collection=cases-ca&amp;id=urn:contentItem:5F7T-S7M1-DYMS-621H-00000-00&amp;context=" TargetMode="External" /><Relationship Id="rId218" Type="http://schemas.openxmlformats.org/officeDocument/2006/relationships/hyperlink" Target="https://advance.lexis.com/api/document?collection=cases-ca&amp;id=urn:contentItem:5F7T-S7J1-JYYX-62M0-00000-00&amp;context=" TargetMode="External" /><Relationship Id="rId219" Type="http://schemas.openxmlformats.org/officeDocument/2006/relationships/hyperlink" Target="https://advance.lexis.com/api/document?collection=cases-ca&amp;id=urn:contentItem:5F7T-S7K1-JWXF-210C-00000-00&amp;context=" TargetMode="External" /><Relationship Id="rId22" Type="http://schemas.openxmlformats.org/officeDocument/2006/relationships/hyperlink" Target="https://advance.lexis.com/api/document?collection=cases-ca&amp;id=urn:contentItem:5J5P-WBH1-F8KH-X37D-00000-00&amp;context=" TargetMode="External" /><Relationship Id="rId220" Type="http://schemas.openxmlformats.org/officeDocument/2006/relationships/hyperlink" Target="https://advance.lexis.com/api/document?collection=cases-ca&amp;id=urn:contentItem:5F7T-S7M1-F4W2-622S-00000-00&amp;context=" TargetMode="External" /><Relationship Id="rId221" Type="http://schemas.openxmlformats.org/officeDocument/2006/relationships/hyperlink" Target="https://advance.lexis.com/api/document?collection=cases-ca&amp;id=urn:contentItem:5F7T-S771-JN14-G279-00000-00&amp;context=" TargetMode="External" /><Relationship Id="rId222" Type="http://schemas.openxmlformats.org/officeDocument/2006/relationships/hyperlink" Target="https://advance.lexis.com/api/document?collection=cases-ca&amp;id=urn:contentItem:5F7T-S7F1-FBN1-21M0-00000-00&amp;context=" TargetMode="External" /><Relationship Id="rId223" Type="http://schemas.openxmlformats.org/officeDocument/2006/relationships/hyperlink" Target="https://advance.lexis.com/api/document?collection=cases-ca&amp;id=urn:contentItem:5F7T-S781-JSC5-M44J-00000-00&amp;context=" TargetMode="External" /><Relationship Id="rId224" Type="http://schemas.openxmlformats.org/officeDocument/2006/relationships/hyperlink" Target="https://advance.lexis.com/api/document?collection=cases-ca&amp;id=urn:contentItem:5F7T-S6S1-JNY7-X26R-00000-00&amp;context=" TargetMode="External" /><Relationship Id="rId225" Type="http://schemas.openxmlformats.org/officeDocument/2006/relationships/hyperlink" Target="https://advance.lexis.com/api/document?collection=cases-ca&amp;id=urn:contentItem:5F7T-S6V1-JFKM-60YP-00000-00&amp;context=" TargetMode="External" /><Relationship Id="rId226" Type="http://schemas.openxmlformats.org/officeDocument/2006/relationships/hyperlink" Target="https://advance.lexis.com/api/document?collection=cases-ca&amp;id=urn:contentItem:5F81-VJX1-JKPJ-G1K4-00000-00&amp;context=" TargetMode="External" /><Relationship Id="rId227" Type="http://schemas.openxmlformats.org/officeDocument/2006/relationships/hyperlink" Target="https://advance.lexis.com/api/document?collection=cases-ca&amp;id=urn:contentItem:5F8P-SDN1-JJD0-G2GW-00000-00&amp;context=" TargetMode="External" /><Relationship Id="rId228" Type="http://schemas.openxmlformats.org/officeDocument/2006/relationships/hyperlink" Target="https://advance.lexis.com/api/document?collection=cases-ca&amp;id=urn:contentItem:5F82-1SF1-F1P7-B3J2-00000-00&amp;context=" TargetMode="External" /><Relationship Id="rId229" Type="http://schemas.openxmlformats.org/officeDocument/2006/relationships/hyperlink" Target="https://advance.lexis.com/api/document?collection=cases-ca&amp;id=urn:contentItem:5F8P-SDT1-JYYX-63KP-00000-00&amp;context=" TargetMode="External" /><Relationship Id="rId23" Type="http://schemas.openxmlformats.org/officeDocument/2006/relationships/hyperlink" Target="https://advance.lexis.com/api/document?collection=cases-ca&amp;id=urn:contentItem:5F7T-S7N1-DXWW-20C2-00000-00&amp;context=" TargetMode="External" /><Relationship Id="rId230" Type="http://schemas.openxmlformats.org/officeDocument/2006/relationships/hyperlink" Target="https://advance.lexis.com/api/document?collection=cases-ca&amp;id=urn:contentItem:5F7T-S751-JNS1-M1C7-00000-00&amp;context=" TargetMode="External" /><Relationship Id="rId231" Type="http://schemas.openxmlformats.org/officeDocument/2006/relationships/hyperlink" Target="https://iclr.co.uk/pubrefLookup/redirectTo?ref=1914+P.+192" TargetMode="External" /><Relationship Id="rId232" Type="http://schemas.openxmlformats.org/officeDocument/2006/relationships/image" Target="media/image1.png" /><Relationship Id="rId233" Type="http://schemas.openxmlformats.org/officeDocument/2006/relationships/hyperlink" Target="https://advance.lexis.com/api/document?collection=cases-ca&amp;id=urn:contentItem:5F7T-S771-JWBS-61CK-00000-00&amp;context=" TargetMode="External" /><Relationship Id="rId234" Type="http://schemas.openxmlformats.org/officeDocument/2006/relationships/hyperlink" Target="https://advance.lexis.com/api/document?collection=cases-ca&amp;id=urn:contentItem:5F7T-S7M1-JJK6-S1R8-00000-00&amp;context=" TargetMode="External" /><Relationship Id="rId235" Type="http://schemas.openxmlformats.org/officeDocument/2006/relationships/hyperlink" Target="https://advance.lexis.com/api/document?collection=cases-ca&amp;id=urn:contentItem:5F7T-S6X1-F7ND-G40V-00000-00&amp;context=" TargetMode="External" /><Relationship Id="rId236" Type="http://schemas.openxmlformats.org/officeDocument/2006/relationships/hyperlink" Target="https://advance.lexis.com/api/document?collection=cases-ca&amp;id=urn:contentItem:5F7T-S6X1-F7ND-G3TR-00000-00&amp;context=" TargetMode="External" /><Relationship Id="rId237" Type="http://schemas.openxmlformats.org/officeDocument/2006/relationships/hyperlink" Target="https://advance.lexis.com/api/document?collection=cases-ca&amp;id=urn:contentItem:5F7T-S6X1-FCCX-60Y4-00000-00&amp;context=" TargetMode="External" /><Relationship Id="rId238" Type="http://schemas.openxmlformats.org/officeDocument/2006/relationships/hyperlink" Target="https://advance.lexis.com/api/document?collection=cases-ca&amp;id=urn:contentItem:5F7T-S751-F361-M101-00000-00&amp;context=" TargetMode="External" /><Relationship Id="rId239" Type="http://schemas.openxmlformats.org/officeDocument/2006/relationships/hyperlink" Target="https://advance.lexis.com/api/document?collection=cases-ca&amp;id=urn:contentItem:5F82-1SD1-FC1F-M2X8-00000-00&amp;context=" TargetMode="External" /><Relationship Id="rId24" Type="http://schemas.openxmlformats.org/officeDocument/2006/relationships/hyperlink" Target="https://advance.lexis.com/api/document?collection=cases-ca&amp;id=urn:contentItem:5F8T-N3V1-JTGH-B1F4-00000-00&amp;context=" TargetMode="External" /><Relationship Id="rId240" Type="http://schemas.openxmlformats.org/officeDocument/2006/relationships/hyperlink" Target="https://advance.lexis.com/api/document?collection=cases-ca&amp;id=urn:contentItem:5F7T-S7G1-JWR6-S20P-00000-00&amp;context=" TargetMode="External" /><Relationship Id="rId241" Type="http://schemas.openxmlformats.org/officeDocument/2006/relationships/hyperlink" Target="https://advance.lexis.com/api/document?collection=cases-ca&amp;id=urn:contentItem:5F7T-S771-JJD0-G17B-00000-00&amp;context=" TargetMode="External" /><Relationship Id="rId242" Type="http://schemas.openxmlformats.org/officeDocument/2006/relationships/header" Target="header31.xml" /><Relationship Id="rId243" Type="http://schemas.openxmlformats.org/officeDocument/2006/relationships/header" Target="header32.xml" /><Relationship Id="rId244" Type="http://schemas.openxmlformats.org/officeDocument/2006/relationships/footer" Target="footer31.xml" /><Relationship Id="rId245" Type="http://schemas.openxmlformats.org/officeDocument/2006/relationships/footer" Target="footer32.xml" /><Relationship Id="rId246" Type="http://schemas.openxmlformats.org/officeDocument/2006/relationships/header" Target="header33.xml" /><Relationship Id="rId247" Type="http://schemas.openxmlformats.org/officeDocument/2006/relationships/footer" Target="footer33.xml" /><Relationship Id="rId248" Type="http://schemas.openxmlformats.org/officeDocument/2006/relationships/hyperlink" Target="https://advance.lexis.com/api/document?collection=cases-ca&amp;id=urn:contentItem:5PWP-KW51-DXHD-G1P4-00000-00&amp;context=" TargetMode="External" /><Relationship Id="rId249" Type="http://schemas.openxmlformats.org/officeDocument/2006/relationships/hyperlink" Target="https://advance.lexis.com/api/document?collection=cases-ca&amp;id=urn:contentItem:5PTJ-X351-FD4T-B2T0-00000-00&amp;context=" TargetMode="External" /><Relationship Id="rId25" Type="http://schemas.openxmlformats.org/officeDocument/2006/relationships/hyperlink" Target="https://advance.lexis.com/api/document?collection=cases-ca&amp;id=urn:contentItem:5F81-VJY1-FBN1-22YR-00000-00&amp;context=" TargetMode="External" /><Relationship Id="rId250" Type="http://schemas.openxmlformats.org/officeDocument/2006/relationships/hyperlink" Target="https://advance.lexis.com/api/document?collection=cases-ca&amp;id=urn:contentItem:5F7T-S7M1-F4W2-6298-00000-00&amp;context=" TargetMode="External" /><Relationship Id="rId251" Type="http://schemas.openxmlformats.org/officeDocument/2006/relationships/hyperlink" Target="https://advance.lexis.com/api/document?collection=cases-ca&amp;id=urn:contentItem:5F8P-SC11-FJM6-603R-00000-00&amp;context=" TargetMode="External" /><Relationship Id="rId252" Type="http://schemas.openxmlformats.org/officeDocument/2006/relationships/hyperlink" Target="https://advance.lexis.com/api/document?collection=cases-ca&amp;id=urn:contentItem:5F7H-KW91-DYV0-G0KM-00000-00&amp;context=" TargetMode="External" /><Relationship Id="rId253" Type="http://schemas.openxmlformats.org/officeDocument/2006/relationships/hyperlink" Target="https://advance.lexis.com/api/document?collection=cases-ca&amp;id=urn:contentItem:5F8T-N3V1-FC1F-M4BS-00000-00&amp;context=" TargetMode="External" /><Relationship Id="rId254" Type="http://schemas.openxmlformats.org/officeDocument/2006/relationships/hyperlink" Target="https://advance.lexis.com/api/document?collection=cases-ca&amp;id=urn:contentItem:5F8T-N3V1-JF75-M3K1-00000-00&amp;context=" TargetMode="External" /><Relationship Id="rId255" Type="http://schemas.openxmlformats.org/officeDocument/2006/relationships/hyperlink" Target="https://advance.lexis.com/api/document?collection=cases-ca&amp;id=urn:contentItem:5F8T-N3V1-JTGH-B175-00000-00&amp;context=" TargetMode="External" /><Relationship Id="rId256" Type="http://schemas.openxmlformats.org/officeDocument/2006/relationships/header" Target="header34.xml" /><Relationship Id="rId257" Type="http://schemas.openxmlformats.org/officeDocument/2006/relationships/header" Target="header35.xml" /><Relationship Id="rId258" Type="http://schemas.openxmlformats.org/officeDocument/2006/relationships/footer" Target="footer34.xml" /><Relationship Id="rId259" Type="http://schemas.openxmlformats.org/officeDocument/2006/relationships/footer" Target="footer35.xml" /><Relationship Id="rId26" Type="http://schemas.openxmlformats.org/officeDocument/2006/relationships/hyperlink" Target="https://advance.lexis.com/api/document?collection=cases-ca&amp;id=urn:contentItem:5G8K-Y431-JWR6-S2F3-00000-00&amp;context=" TargetMode="External" /><Relationship Id="rId260" Type="http://schemas.openxmlformats.org/officeDocument/2006/relationships/header" Target="header36.xml" /><Relationship Id="rId261" Type="http://schemas.openxmlformats.org/officeDocument/2006/relationships/footer" Target="footer36.xml" /><Relationship Id="rId262" Type="http://schemas.openxmlformats.org/officeDocument/2006/relationships/hyperlink" Target="https://advance.lexis.com/api/document?collection=cases-ca&amp;id=urn:contentItem:5G8K-Y431-JWR6-S2F0-00000-00&amp;context=" TargetMode="External" /><Relationship Id="rId263" Type="http://schemas.openxmlformats.org/officeDocument/2006/relationships/hyperlink" Target="https://advance.lexis.com/api/document?collection=cases-ca&amp;id=urn:contentItem:5K6Y-81T1-JYYX-61T7-00000-00&amp;context=" TargetMode="External" /><Relationship Id="rId264" Type="http://schemas.openxmlformats.org/officeDocument/2006/relationships/hyperlink" Target="https://advance.lexis.com/api/document?collection=legislation-ca&amp;id=urn:contentItem:5F3B-B7M1-F1WF-M0Y1-00000-00&amp;context=" TargetMode="External" /><Relationship Id="rId265" Type="http://schemas.openxmlformats.org/officeDocument/2006/relationships/hyperlink" Target="https://advance.lexis.com/api/document?collection=legislation-ca&amp;id=urn:contentItem:5VYK-47Y1-F06F-21ND-00000-00&amp;context=" TargetMode="External" /><Relationship Id="rId266" Type="http://schemas.openxmlformats.org/officeDocument/2006/relationships/hyperlink" Target="https://advance.lexis.com/api/document?collection=cases-ca&amp;id=urn:contentItem:5F7T-S7M1-DYMS-62J6-00000-00&amp;context=" TargetMode="External" /><Relationship Id="rId267" Type="http://schemas.openxmlformats.org/officeDocument/2006/relationships/hyperlink" Target="https://advance.lexis.com/api/document?collection=cases-ca&amp;id=urn:contentItem:5F7T-S7J1-JGBH-B26N-00000-00&amp;context=" TargetMode="External" /><Relationship Id="rId268" Type="http://schemas.openxmlformats.org/officeDocument/2006/relationships/hyperlink" Target="https://advance.lexis.com/api/document?collection=cases-ca&amp;id=urn:contentItem:5F7T-S7K1-F528-G32W-00000-00&amp;context=" TargetMode="External" /><Relationship Id="rId269" Type="http://schemas.openxmlformats.org/officeDocument/2006/relationships/hyperlink" Target="https://advance.lexis.com/api/document?collection=cases-ca&amp;id=urn:contentItem:5F7T-S7N1-F57G-S2BX-00000-00&amp;context=" TargetMode="External" /><Relationship Id="rId27" Type="http://schemas.openxmlformats.org/officeDocument/2006/relationships/hyperlink" Target="https://advance.lexis.com/api/document?collection=cases-ca&amp;id=urn:contentItem:5RYS-K5V1-FD4T-B459-00000-00&amp;context=" TargetMode="External" /><Relationship Id="rId270" Type="http://schemas.openxmlformats.org/officeDocument/2006/relationships/hyperlink" Target="https://advance.lexis.com/api/document?collection=cases-ca&amp;id=urn:contentItem:5F7T-S791-JCJ5-2547-00000-00&amp;context=" TargetMode="External" /><Relationship Id="rId271" Type="http://schemas.openxmlformats.org/officeDocument/2006/relationships/hyperlink" Target="https://advance.lexis.com/api/document?collection=cases-ca&amp;id=urn:contentItem:5F7T-S761-JX8W-M343-00000-00&amp;context=" TargetMode="External" /><Relationship Id="rId272" Type="http://schemas.openxmlformats.org/officeDocument/2006/relationships/hyperlink" Target="https://advance.lexis.com/api/document?collection=cases-ca&amp;id=urn:contentItem:5F7T-S781-JSC5-M3W5-00000-00&amp;context=" TargetMode="External" /><Relationship Id="rId273" Type="http://schemas.openxmlformats.org/officeDocument/2006/relationships/hyperlink" Target="https://advance.lexis.com/api/document?collection=cases-ca&amp;id=urn:contentItem:5F7T-S7K1-DY33-B1B2-00000-00&amp;context=" TargetMode="External" /><Relationship Id="rId274" Type="http://schemas.openxmlformats.org/officeDocument/2006/relationships/hyperlink" Target="https://advance.lexis.com/api/document?collection=cases-ca&amp;id=urn:contentItem:5F7T-S711-JC0G-62R6-00000-00&amp;context=" TargetMode="External" /><Relationship Id="rId275" Type="http://schemas.openxmlformats.org/officeDocument/2006/relationships/hyperlink" Target="https://advance.lexis.com/api/document?collection=cases-ca&amp;id=urn:contentItem:5F7T-S7B1-F7ND-G51J-00000-00&amp;context=" TargetMode="External" /><Relationship Id="rId276" Type="http://schemas.openxmlformats.org/officeDocument/2006/relationships/hyperlink" Target="https://advance.lexis.com/api/document?collection=cases-ca&amp;id=urn:contentItem:5F7T-S7C1-FGRY-B0JX-00000-00&amp;context=" TargetMode="External" /><Relationship Id="rId277" Type="http://schemas.openxmlformats.org/officeDocument/2006/relationships/hyperlink" Target="https://advance.lexis.com/api/document?collection=cases-ca&amp;id=urn:contentItem:5F7T-S7F1-JFKM-622J-00000-00&amp;context=" TargetMode="External" /><Relationship Id="rId278" Type="http://schemas.openxmlformats.org/officeDocument/2006/relationships/hyperlink" Target="https://advance.lexis.com/api/document?collection=cases-ca&amp;id=urn:contentItem:5F7T-S721-F5T5-M2F4-00000-00&amp;context=" TargetMode="External" /><Relationship Id="rId279" Type="http://schemas.openxmlformats.org/officeDocument/2006/relationships/hyperlink" Target="https://advance.lexis.com/api/document?collection=cases-ca&amp;id=urn:contentItem:5F7T-S7K1-JSJC-X161-00000-00&amp;context=" TargetMode="External" /><Relationship Id="rId28" Type="http://schemas.openxmlformats.org/officeDocument/2006/relationships/hyperlink" Target="https://advance.lexis.com/api/document?collection=cases-ca&amp;id=urn:contentItem:5F8T-N3V1-FH4C-X203-00000-00&amp;context=" TargetMode="External" /><Relationship Id="rId280" Type="http://schemas.openxmlformats.org/officeDocument/2006/relationships/hyperlink" Target="https://advance.lexis.com/api/document?collection=cases-ca&amp;id=urn:contentItem:5F7T-S7C1-JSRM-60VC-00000-00&amp;context=" TargetMode="External" /><Relationship Id="rId281" Type="http://schemas.openxmlformats.org/officeDocument/2006/relationships/hyperlink" Target="https://advance.lexis.com/api/document?collection=cases-ca&amp;id=urn:contentItem:5F7T-S7D1-JN6B-S0N4-00000-00&amp;context=" TargetMode="External" /><Relationship Id="rId282" Type="http://schemas.openxmlformats.org/officeDocument/2006/relationships/hyperlink" Target="https://advance.lexis.com/api/document?collection=cases-ca&amp;id=urn:contentItem:5F7T-S7D1-FC6N-X0P6-00000-00&amp;context=" TargetMode="External" /><Relationship Id="rId283" Type="http://schemas.openxmlformats.org/officeDocument/2006/relationships/hyperlink" Target="https://advance.lexis.com/api/document?collection=cases-ca&amp;id=urn:contentItem:5F7T-S7F1-JX3N-B1MK-00000-00&amp;context=" TargetMode="External" /><Relationship Id="rId284" Type="http://schemas.openxmlformats.org/officeDocument/2006/relationships/hyperlink" Target="https://advance.lexis.com/api/document?collection=cases-ca&amp;id=urn:contentItem:5F7T-S711-JNS1-M117-00000-00&amp;context=" TargetMode="External" /><Relationship Id="rId285" Type="http://schemas.openxmlformats.org/officeDocument/2006/relationships/hyperlink" Target="https://advance.lexis.com/api/document?collection=cases-ca&amp;id=urn:contentItem:5F7T-S7J1-JNS1-M268-00000-00&amp;context=" TargetMode="External" /><Relationship Id="rId286" Type="http://schemas.openxmlformats.org/officeDocument/2006/relationships/hyperlink" Target="https://advance.lexis.com/api/document?collection=cases-ca&amp;id=urn:contentItem:5F7T-S7G1-JWR6-S1KB-00000-00&amp;context=" TargetMode="External" /><Relationship Id="rId287" Type="http://schemas.openxmlformats.org/officeDocument/2006/relationships/hyperlink" Target="https://advance.lexis.com/api/document?collection=cases-ca&amp;id=urn:contentItem:5F7T-S721-F956-S1G8-00000-00&amp;context=" TargetMode="External" /><Relationship Id="rId288" Type="http://schemas.openxmlformats.org/officeDocument/2006/relationships/hyperlink" Target="https://advance.lexis.com/api/document?collection=cases-ca&amp;id=urn:contentItem:5F7T-S781-JC5P-G1R2-00000-00&amp;context=" TargetMode="External" /><Relationship Id="rId289" Type="http://schemas.openxmlformats.org/officeDocument/2006/relationships/hyperlink" Target="https://advance.lexis.com/api/document?collection=cases-ca&amp;id=urn:contentItem:5F7T-S7D1-F7ND-G0P2-00000-00&amp;context=" TargetMode="External" /><Relationship Id="rId29" Type="http://schemas.openxmlformats.org/officeDocument/2006/relationships/hyperlink" Target="https://advance.lexis.com/api/document?collection=cases-ca&amp;id=urn:contentItem:5F7T-S7J1-JYYX-629M-00000-00&amp;context=" TargetMode="External" /><Relationship Id="rId290" Type="http://schemas.openxmlformats.org/officeDocument/2006/relationships/hyperlink" Target="https://advance.lexis.com/api/document?collection=cases-ca&amp;id=urn:contentItem:5F7T-S751-JGHR-M20V-00000-00&amp;context=" TargetMode="External" /><Relationship Id="rId291" Type="http://schemas.openxmlformats.org/officeDocument/2006/relationships/hyperlink" Target="https://advance.lexis.com/api/document?collection=cases-ca&amp;id=urn:contentItem:5F7T-S741-FJM6-61VS-00000-00&amp;context=" TargetMode="External" /><Relationship Id="rId292" Type="http://schemas.openxmlformats.org/officeDocument/2006/relationships/hyperlink" Target="https://advance.lexis.com/api/document?collection=cases-ca&amp;id=urn:contentItem:5F7T-S7K1-JWXF-210Y-00000-00&amp;context=" TargetMode="External" /><Relationship Id="rId293" Type="http://schemas.openxmlformats.org/officeDocument/2006/relationships/hyperlink" Target="https://advance.lexis.com/api/document?collection=cases-ca&amp;id=urn:contentItem:5F7T-S7D1-DY89-M4C5-00000-00&amp;context=" TargetMode="External" /><Relationship Id="rId294" Type="http://schemas.openxmlformats.org/officeDocument/2006/relationships/hyperlink" Target="https://advance.lexis.com/api/document?collection=cases-ca&amp;id=urn:contentItem:5F7T-S7K1-JWXF-2193-00000-00&amp;context=" TargetMode="External" /><Relationship Id="rId295" Type="http://schemas.openxmlformats.org/officeDocument/2006/relationships/hyperlink" Target="https://advance.lexis.com/api/document?collection=legislation-ca&amp;id=urn:contentItem:5VYK-W9V1-JS0R-23WX-00000-00&amp;context=" TargetMode="External" /><Relationship Id="rId296" Type="http://schemas.openxmlformats.org/officeDocument/2006/relationships/hyperlink" Target="https://advance.lexis.com/api/document?collection=cases-ca&amp;id=urn:contentItem:5F7T-S7P1-JNJT-B2C6-00000-00&amp;context=" TargetMode="External" /><Relationship Id="rId297" Type="http://schemas.openxmlformats.org/officeDocument/2006/relationships/hyperlink" Target="https://advance.lexis.com/api/document?collection=cases-ca&amp;id=urn:contentItem:5F7T-S7F1-JK4W-M1CN-00000-00&amp;context=" TargetMode="External" /><Relationship Id="rId298" Type="http://schemas.openxmlformats.org/officeDocument/2006/relationships/hyperlink" Target="https://advance.lexis.com/api/document?collection=cases-ca&amp;id=urn:contentItem:5F8T-N3V1-JFKM-6038-00000-00&amp;context=" TargetMode="External" /><Relationship Id="rId299" Type="http://schemas.openxmlformats.org/officeDocument/2006/relationships/hyperlink" Target="https://advance.lexis.com/api/document?collection=cases-ca&amp;id=urn:contentItem:5F7T-S7H1-FCSB-S38S-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M1-JJK6-S268-00000-00&amp;context=" TargetMode="External" /><Relationship Id="rId300" Type="http://schemas.openxmlformats.org/officeDocument/2006/relationships/hyperlink" Target="https://advance.lexis.com/api/document?collection=cases-ca&amp;id=urn:contentItem:5F7T-S7C1-FCSB-S2C4-00000-00&amp;context=" TargetMode="External" /><Relationship Id="rId301" Type="http://schemas.openxmlformats.org/officeDocument/2006/relationships/header" Target="header37.xml" /><Relationship Id="rId302" Type="http://schemas.openxmlformats.org/officeDocument/2006/relationships/header" Target="header38.xml" /><Relationship Id="rId303" Type="http://schemas.openxmlformats.org/officeDocument/2006/relationships/footer" Target="footer37.xml" /><Relationship Id="rId304" Type="http://schemas.openxmlformats.org/officeDocument/2006/relationships/footer" Target="footer38.xml" /><Relationship Id="rId305" Type="http://schemas.openxmlformats.org/officeDocument/2006/relationships/header" Target="header39.xml" /><Relationship Id="rId306" Type="http://schemas.openxmlformats.org/officeDocument/2006/relationships/footer" Target="footer39.xml" /><Relationship Id="rId307" Type="http://schemas.openxmlformats.org/officeDocument/2006/relationships/hyperlink" Target="https://advance.lexis.com/api/document?collection=cases-ca&amp;id=urn:contentItem:5F7T-S7D1-JXG3-X104-00000-00&amp;context=" TargetMode="External" /><Relationship Id="rId308" Type="http://schemas.openxmlformats.org/officeDocument/2006/relationships/hyperlink" Target="https://advance.lexis.com/api/document?collection=cases-ca&amp;id=urn:contentItem:5F7T-S7D1-F7ND-G0J3-00000-00&amp;context=" TargetMode="External" /><Relationship Id="rId309" Type="http://schemas.openxmlformats.org/officeDocument/2006/relationships/header" Target="header40.xml" /><Relationship Id="rId31" Type="http://schemas.openxmlformats.org/officeDocument/2006/relationships/hyperlink" Target="https://advance.lexis.com/api/document?collection=cases-ca&amp;id=urn:contentItem:5F7T-S7J1-JGBH-B2BJ-00000-00&amp;context=" TargetMode="External" /><Relationship Id="rId310" Type="http://schemas.openxmlformats.org/officeDocument/2006/relationships/header" Target="header41.xml" /><Relationship Id="rId311" Type="http://schemas.openxmlformats.org/officeDocument/2006/relationships/footer" Target="footer40.xml" /><Relationship Id="rId312" Type="http://schemas.openxmlformats.org/officeDocument/2006/relationships/footer" Target="footer41.xml" /><Relationship Id="rId313" Type="http://schemas.openxmlformats.org/officeDocument/2006/relationships/header" Target="header42.xml" /><Relationship Id="rId314" Type="http://schemas.openxmlformats.org/officeDocument/2006/relationships/footer" Target="footer42.xml" /><Relationship Id="rId315" Type="http://schemas.openxmlformats.org/officeDocument/2006/relationships/hyperlink" Target="https://advance.lexis.com/api/document?collection=cases-ca&amp;id=urn:contentItem:5F7T-S7J1-JNS1-M2FW-00000-00&amp;context=" TargetMode="External" /><Relationship Id="rId316" Type="http://schemas.openxmlformats.org/officeDocument/2006/relationships/hyperlink" Target="https://advance.lexis.com/api/document?collection=legislation-ca&amp;id=urn:contentItem:5F41-1FG1-JC0G-61KW-00000-00&amp;context=" TargetMode="External" /><Relationship Id="rId317" Type="http://schemas.openxmlformats.org/officeDocument/2006/relationships/hyperlink" Target="https://advance.lexis.com/api/document?collection=legislation-ca&amp;id=urn:contentItem:5H9T-R211-FBV7-B26P-00000-00&amp;context=" TargetMode="External" /><Relationship Id="rId318" Type="http://schemas.openxmlformats.org/officeDocument/2006/relationships/hyperlink" Target="https://advance.lexis.com/api/document?collection=cases-ca&amp;id=urn:contentItem:5F7T-S6V1-JFKM-6132-00000-00&amp;context=" TargetMode="External" /><Relationship Id="rId319" Type="http://schemas.openxmlformats.org/officeDocument/2006/relationships/hyperlink" Target="https://advance.lexis.com/api/document?collection=cases-ca&amp;id=urn:contentItem:5F8N-K751-F22N-X2F9-00000-00&amp;context=" TargetMode="External" /><Relationship Id="rId32" Type="http://schemas.openxmlformats.org/officeDocument/2006/relationships/hyperlink" Target="https://advance.lexis.com/api/document?collection=cases-ca&amp;id=urn:contentItem:5F8T-N3V1-FC1F-M4CV-00000-00&amp;context=" TargetMode="External" /><Relationship Id="rId320" Type="http://schemas.openxmlformats.org/officeDocument/2006/relationships/hyperlink" Target="https://advance.lexis.com/api/document?collection=cases-ca&amp;id=urn:contentItem:5F7T-S7H1-JFKM-62NK-00000-00&amp;context=" TargetMode="External" /><Relationship Id="rId321" Type="http://schemas.openxmlformats.org/officeDocument/2006/relationships/hyperlink" Target="https://advance.lexis.com/api/document?collection=cases-ca&amp;id=urn:contentItem:5F7T-S7H1-K054-G24N-00000-00&amp;context=" TargetMode="External" /><Relationship Id="rId322" Type="http://schemas.openxmlformats.org/officeDocument/2006/relationships/hyperlink" Target="https://advance.lexis.com/api/document?collection=cases-ca&amp;id=urn:contentItem:5F7T-S741-F528-G21K-00000-00&amp;context=" TargetMode="External" /><Relationship Id="rId323" Type="http://schemas.openxmlformats.org/officeDocument/2006/relationships/hyperlink" Target="https://advance.lexis.com/api/document?collection=cases-ca&amp;id=urn:contentItem:5F7T-S701-JJ6S-61P3-00000-00&amp;context=" TargetMode="External" /><Relationship Id="rId324" Type="http://schemas.openxmlformats.org/officeDocument/2006/relationships/hyperlink" Target="https://advance.lexis.com/api/document?collection=cases-ca&amp;id=urn:contentItem:5F7T-S721-JSC5-M3N7-00000-00&amp;context=" TargetMode="External" /><Relationship Id="rId325" Type="http://schemas.openxmlformats.org/officeDocument/2006/relationships/hyperlink" Target="https://advance.lexis.com/api/document?collection=cases-ca&amp;id=urn:contentItem:5F7T-S741-F528-G2FD-00000-00&amp;context=" TargetMode="External" /><Relationship Id="rId326" Type="http://schemas.openxmlformats.org/officeDocument/2006/relationships/hyperlink" Target="https://advance.lexis.com/api/document?collection=cases-ca&amp;id=urn:contentItem:5F7T-S721-F06F-234F-00000-00&amp;context=" TargetMode="External" /><Relationship Id="rId327" Type="http://schemas.openxmlformats.org/officeDocument/2006/relationships/header" Target="header43.xml" /><Relationship Id="rId328" Type="http://schemas.openxmlformats.org/officeDocument/2006/relationships/header" Target="header44.xml" /><Relationship Id="rId329" Type="http://schemas.openxmlformats.org/officeDocument/2006/relationships/footer" Target="footer43.xml" /><Relationship Id="rId33" Type="http://schemas.openxmlformats.org/officeDocument/2006/relationships/hyperlink" Target="https://advance.lexis.com/api/document?collection=cases-ca&amp;id=urn:contentItem:5F7V-3DK1-JNY7-X2S3-00000-00&amp;context=" TargetMode="External" /><Relationship Id="rId330" Type="http://schemas.openxmlformats.org/officeDocument/2006/relationships/footer" Target="footer44.xml" /><Relationship Id="rId331" Type="http://schemas.openxmlformats.org/officeDocument/2006/relationships/header" Target="header45.xml" /><Relationship Id="rId332" Type="http://schemas.openxmlformats.org/officeDocument/2006/relationships/footer" Target="footer45.xml" /><Relationship Id="rId333" Type="http://schemas.openxmlformats.org/officeDocument/2006/relationships/hyperlink" Target="https://advance.lexis.com/api/document?collection=cases-ca&amp;id=urn:contentItem:5F7T-S791-JCJ5-2522-00000-00&amp;context=" TargetMode="External" /><Relationship Id="rId334" Type="http://schemas.openxmlformats.org/officeDocument/2006/relationships/hyperlink" Target="https://advance.lexis.com/api/document?collection=cases-ca&amp;id=urn:contentItem:5F7T-S6V1-JFKM-61CW-00000-00&amp;context=" TargetMode="External" /><Relationship Id="rId335" Type="http://schemas.openxmlformats.org/officeDocument/2006/relationships/hyperlink" Target="https://advance.lexis.com/api/document?collection=cases-ca&amp;id=urn:contentItem:5F7T-S761-JS5Y-B1XS-00000-00&amp;context=" TargetMode="External" /><Relationship Id="rId336" Type="http://schemas.openxmlformats.org/officeDocument/2006/relationships/hyperlink" Target="https://advance.lexis.com/api/document?collection=cases-ca&amp;id=urn:contentItem:5F7T-S751-JGHR-M1V2-00000-00&amp;context=" TargetMode="External" /><Relationship Id="rId337" Type="http://schemas.openxmlformats.org/officeDocument/2006/relationships/hyperlink" Target="https://advance.lexis.com/api/document?collection=cases-ca&amp;id=urn:contentItem:5F7T-S711-JG02-S1VW-00000-00&amp;context=" TargetMode="External" /><Relationship Id="rId338" Type="http://schemas.openxmlformats.org/officeDocument/2006/relationships/hyperlink" Target="https://advance.lexis.com/api/document?collection=cases-ca&amp;id=urn:contentItem:5F7T-S741-F2F4-G259-00000-00&amp;context=" TargetMode="External" /><Relationship Id="rId339" Type="http://schemas.openxmlformats.org/officeDocument/2006/relationships/hyperlink" Target="https://advance.lexis.com/api/document?collection=cases-ca&amp;id=urn:contentItem:5F7T-S751-JCJ5-24BR-00000-00&amp;context=" TargetMode="External" /><Relationship Id="rId34" Type="http://schemas.openxmlformats.org/officeDocument/2006/relationships/hyperlink" Target="https://advance.lexis.com/api/document?collection=cases-ca&amp;id=urn:contentItem:5F7T-S771-JN14-G2NN-00000-00&amp;context=" TargetMode="External" /><Relationship Id="rId340" Type="http://schemas.openxmlformats.org/officeDocument/2006/relationships/hyperlink" Target="https://advance.lexis.com/api/document?collection=cases-ca&amp;id=urn:contentItem:5F7T-S751-JCJ5-24GN-00000-00&amp;context=" TargetMode="External" /><Relationship Id="rId341" Type="http://schemas.openxmlformats.org/officeDocument/2006/relationships/hyperlink" Target="https://advance.lexis.com/api/document?collection=cases-ca&amp;id=urn:contentItem:5F7T-S751-JCJ5-249P-00000-00&amp;context=" TargetMode="External" /><Relationship Id="rId342" Type="http://schemas.openxmlformats.org/officeDocument/2006/relationships/hyperlink" Target="https://advance.lexis.com/api/document?collection=cases-ca&amp;id=urn:contentItem:5F7T-S751-JBM1-M21W-00000-00&amp;context=" TargetMode="External" /><Relationship Id="rId343" Type="http://schemas.openxmlformats.org/officeDocument/2006/relationships/hyperlink" Target="https://advance.lexis.com/api/document?collection=cases-ca&amp;id=urn:contentItem:5F7T-S761-JX8W-M330-00000-00&amp;context=" TargetMode="External" /><Relationship Id="rId344" Type="http://schemas.openxmlformats.org/officeDocument/2006/relationships/hyperlink" Target="https://advance.lexis.com/api/document?collection=cases-ca&amp;id=urn:contentItem:5F7T-S771-JN14-G28H-00000-00&amp;context=" TargetMode="External" /><Relationship Id="rId345" Type="http://schemas.openxmlformats.org/officeDocument/2006/relationships/hyperlink" Target="https://advance.lexis.com/api/document?collection=cases-ca&amp;id=urn:contentItem:5F7T-S771-JJD0-G128-00000-00&amp;context=" TargetMode="External" /><Relationship Id="rId346" Type="http://schemas.openxmlformats.org/officeDocument/2006/relationships/hyperlink" Target="https://advance.lexis.com/api/document?collection=cases-ca&amp;id=urn:contentItem:5F7T-XPS1-F016-S53P-00000-00&amp;context=" TargetMode="External" /><Relationship Id="rId347" Type="http://schemas.openxmlformats.org/officeDocument/2006/relationships/hyperlink" Target="https://advance.lexis.com/api/document?collection=cases-ca&amp;id=urn:contentItem:5F81-VJT1-F956-S3R8-00000-00&amp;context=" TargetMode="External" /><Relationship Id="rId348" Type="http://schemas.openxmlformats.org/officeDocument/2006/relationships/header" Target="header46.xml" /><Relationship Id="rId349" Type="http://schemas.openxmlformats.org/officeDocument/2006/relationships/header" Target="header47.xml" /><Relationship Id="rId35" Type="http://schemas.openxmlformats.org/officeDocument/2006/relationships/hyperlink" Target="https://advance.lexis.com/api/document?collection=cases-ca&amp;id=urn:contentItem:5F8P-SGB1-F873-B2WY-00000-00&amp;context=" TargetMode="External" /><Relationship Id="rId350" Type="http://schemas.openxmlformats.org/officeDocument/2006/relationships/footer" Target="footer46.xml" /><Relationship Id="rId351" Type="http://schemas.openxmlformats.org/officeDocument/2006/relationships/footer" Target="footer47.xml" /><Relationship Id="rId352" Type="http://schemas.openxmlformats.org/officeDocument/2006/relationships/header" Target="header48.xml" /><Relationship Id="rId353" Type="http://schemas.openxmlformats.org/officeDocument/2006/relationships/footer" Target="footer48.xml" /><Relationship Id="rId354" Type="http://schemas.openxmlformats.org/officeDocument/2006/relationships/hyperlink" Target="https://advance.lexis.com/api/document?collection=cases-ca&amp;id=urn:contentItem:5F7T-S7H1-FCSB-S386-00000-00&amp;context=" TargetMode="External" /><Relationship Id="rId355" Type="http://schemas.openxmlformats.org/officeDocument/2006/relationships/hyperlink" Target="https://advance.lexis.com/api/document?collection=cases-ca&amp;id=urn:contentItem:5F7T-S6T1-F2F4-G1FN-00000-00&amp;context=" TargetMode="External" /><Relationship Id="rId356" Type="http://schemas.openxmlformats.org/officeDocument/2006/relationships/hyperlink" Target="https://advance.lexis.com/api/document?collection=cases-ca&amp;id=urn:contentItem:5F7T-S7F1-JFKM-61Y7-00000-00&amp;context=" TargetMode="External" /><Relationship Id="rId357" Type="http://schemas.openxmlformats.org/officeDocument/2006/relationships/hyperlink" Target="https://advance.lexis.com/api/document?collection=cases-ca&amp;id=urn:contentItem:5F7T-S7B1-FH4C-X3MB-00000-00&amp;context=" TargetMode="External" /><Relationship Id="rId358" Type="http://schemas.openxmlformats.org/officeDocument/2006/relationships/header" Target="header49.xml" /><Relationship Id="rId359" Type="http://schemas.openxmlformats.org/officeDocument/2006/relationships/header" Target="header50.xml" /><Relationship Id="rId36" Type="http://schemas.openxmlformats.org/officeDocument/2006/relationships/hyperlink" Target="https://advance.lexis.com/api/document?collection=cases-ca&amp;id=urn:contentItem:5F81-VJX1-JP9P-G3WK-00000-00&amp;context=" TargetMode="External" /><Relationship Id="rId360" Type="http://schemas.openxmlformats.org/officeDocument/2006/relationships/footer" Target="footer49.xml" /><Relationship Id="rId361" Type="http://schemas.openxmlformats.org/officeDocument/2006/relationships/footer" Target="footer50.xml" /><Relationship Id="rId362" Type="http://schemas.openxmlformats.org/officeDocument/2006/relationships/header" Target="header51.xml" /><Relationship Id="rId363" Type="http://schemas.openxmlformats.org/officeDocument/2006/relationships/footer" Target="footer51.xml" /><Relationship Id="rId364" Type="http://schemas.openxmlformats.org/officeDocument/2006/relationships/hyperlink" Target="https://advance.lexis.com/api/document?collection=cases-ca&amp;id=urn:contentItem:5F7T-S781-F7G6-63CD-00000-00&amp;context=" TargetMode="External" /><Relationship Id="rId365" Type="http://schemas.openxmlformats.org/officeDocument/2006/relationships/hyperlink" Target="https://advance.lexis.com/api/document?collection=cases-ca&amp;id=urn:contentItem:5F7T-S6W1-JJK6-S16D-00000-00&amp;context=" TargetMode="External" /><Relationship Id="rId366" Type="http://schemas.openxmlformats.org/officeDocument/2006/relationships/hyperlink" Target="https://advance.lexis.com/api/document?collection=cases-ca&amp;id=urn:contentItem:5F7T-S711-F4W2-61JR-00000-00&amp;context=" TargetMode="External" /><Relationship Id="rId367" Type="http://schemas.openxmlformats.org/officeDocument/2006/relationships/hyperlink" Target="https://advance.lexis.com/api/document?collection=cases-ca&amp;id=urn:contentItem:5F7T-S6P1-JGBH-B1TT-00000-00&amp;context=" TargetMode="External" /><Relationship Id="rId368" Type="http://schemas.openxmlformats.org/officeDocument/2006/relationships/hyperlink" Target="https://advance.lexis.com/api/document?collection=cases-ca&amp;id=urn:contentItem:5F8P-SBT1-JS5Y-B27S-00000-00&amp;context=" TargetMode="External" /><Relationship Id="rId369" Type="http://schemas.openxmlformats.org/officeDocument/2006/relationships/header" Target="header52.xml" /><Relationship Id="rId37" Type="http://schemas.openxmlformats.org/officeDocument/2006/relationships/hyperlink" Target="https://advance.lexis.com/api/document?collection=legislation-ca&amp;id=urn:contentItem:5W07-7G01-FG68-G404-00000-00&amp;context=" TargetMode="External" /><Relationship Id="rId370" Type="http://schemas.openxmlformats.org/officeDocument/2006/relationships/header" Target="header53.xml" /><Relationship Id="rId371" Type="http://schemas.openxmlformats.org/officeDocument/2006/relationships/footer" Target="footer52.xml" /><Relationship Id="rId372" Type="http://schemas.openxmlformats.org/officeDocument/2006/relationships/footer" Target="footer53.xml" /><Relationship Id="rId373" Type="http://schemas.openxmlformats.org/officeDocument/2006/relationships/header" Target="header54.xml" /><Relationship Id="rId374" Type="http://schemas.openxmlformats.org/officeDocument/2006/relationships/footer" Target="footer54.xml" /><Relationship Id="rId375" Type="http://schemas.openxmlformats.org/officeDocument/2006/relationships/hyperlink" Target="https://advance.lexis.com/api/document?collection=cases-ca&amp;id=urn:contentItem:5K7J-N351-F2TK-20F8-00000-00&amp;context=" TargetMode="External" /><Relationship Id="rId376" Type="http://schemas.openxmlformats.org/officeDocument/2006/relationships/hyperlink" Target="https://advance.lexis.com/api/document?collection=legislation-ca&amp;id=urn:contentItem:5VYK-WB61-JXG3-X3FD-00000-00&amp;context=" TargetMode="External" /><Relationship Id="rId377" Type="http://schemas.openxmlformats.org/officeDocument/2006/relationships/hyperlink" Target="https://advance.lexis.com/api/document?collection=cases-ca&amp;id=urn:contentItem:5F7T-S7K1-JKHB-631H-00000-00&amp;context=" TargetMode="External" /><Relationship Id="rId378" Type="http://schemas.openxmlformats.org/officeDocument/2006/relationships/hyperlink" Target="https://advance.lexis.com/api/document?collection=cases-ca&amp;id=urn:contentItem:5G53-RJN1-FBFS-S4V5-00000-00&amp;context=" TargetMode="External" /><Relationship Id="rId379" Type="http://schemas.openxmlformats.org/officeDocument/2006/relationships/hyperlink" Target="https://advance.lexis.com/api/document?collection=cases-ca&amp;id=urn:contentItem:5F7T-S7K1-F1H1-22BK-00000-00&amp;context=" TargetMode="External" /><Relationship Id="rId38" Type="http://schemas.openxmlformats.org/officeDocument/2006/relationships/hyperlink" Target="https://advance.lexis.com/api/document?collection=cases-ca&amp;id=urn:contentItem:5F7T-S7C1-F7VM-S39P-00000-00&amp;context=" TargetMode="External" /><Relationship Id="rId380" Type="http://schemas.openxmlformats.org/officeDocument/2006/relationships/hyperlink" Target="https://advance.lexis.com/api/document?collection=cases-ca&amp;id=urn:contentItem:5F7T-S7G1-JWR6-S1R8-00000-00&amp;context=" TargetMode="External" /><Relationship Id="rId381" Type="http://schemas.openxmlformats.org/officeDocument/2006/relationships/hyperlink" Target="https://advance.lexis.com/api/document?collection=cases-ca&amp;id=urn:contentItem:5F7T-S7G1-JPP5-222K-00000-00&amp;context=" TargetMode="External" /><Relationship Id="rId382" Type="http://schemas.openxmlformats.org/officeDocument/2006/relationships/hyperlink" Target="https://advance.lexis.com/api/document?collection=cases-ca&amp;id=urn:contentItem:5F7T-S7N1-F06F-24PV-00000-00&amp;context=" TargetMode="External" /><Relationship Id="rId383" Type="http://schemas.openxmlformats.org/officeDocument/2006/relationships/hyperlink" Target="https://advance.lexis.com/api/document?collection=cases-ca&amp;id=urn:contentItem:5F7T-S7J1-DXWW-250F-00000-00&amp;context=" TargetMode="External" /><Relationship Id="rId384" Type="http://schemas.openxmlformats.org/officeDocument/2006/relationships/header" Target="header55.xml" /><Relationship Id="rId385" Type="http://schemas.openxmlformats.org/officeDocument/2006/relationships/header" Target="header56.xml" /><Relationship Id="rId386" Type="http://schemas.openxmlformats.org/officeDocument/2006/relationships/footer" Target="footer55.xml" /><Relationship Id="rId387" Type="http://schemas.openxmlformats.org/officeDocument/2006/relationships/footer" Target="footer56.xml" /><Relationship Id="rId388" Type="http://schemas.openxmlformats.org/officeDocument/2006/relationships/header" Target="header57.xml" /><Relationship Id="rId389" Type="http://schemas.openxmlformats.org/officeDocument/2006/relationships/footer" Target="footer57.xml" /><Relationship Id="rId39" Type="http://schemas.openxmlformats.org/officeDocument/2006/relationships/hyperlink" Target="https://advance.lexis.com/api/document?collection=cases-ca&amp;id=urn:contentItem:5F16-9301-FCSB-S3WN-00000-00&amp;context=" TargetMode="External" /><Relationship Id="rId390" Type="http://schemas.openxmlformats.org/officeDocument/2006/relationships/hyperlink" Target="https://advance.lexis.com/api/document?collection=cases-ca&amp;id=urn:contentItem:5F7T-S7C1-JS0R-224S-00000-00&amp;context=" TargetMode="External" /><Relationship Id="rId391" Type="http://schemas.openxmlformats.org/officeDocument/2006/relationships/hyperlink" Target="https://advance.lexis.com/api/document?collection=cases-ca&amp;id=urn:contentItem:5F8T-N3V1-JFKM-60BM-00000-00&amp;context=" TargetMode="External" /><Relationship Id="rId392" Type="http://schemas.openxmlformats.org/officeDocument/2006/relationships/hyperlink" Target="https://advance.lexis.com/api/document?collection=cases-ca&amp;id=urn:contentItem:5F7T-S6X1-FBN1-20VS-00000-00&amp;context=" TargetMode="External" /><Relationship Id="rId393" Type="http://schemas.openxmlformats.org/officeDocument/2006/relationships/hyperlink" Target="https://advance.lexis.com/api/document?collection=cases-ca&amp;id=urn:contentItem:5F7T-S781-F900-G175-00000-00&amp;context=" TargetMode="External" /><Relationship Id="rId394" Type="http://schemas.openxmlformats.org/officeDocument/2006/relationships/hyperlink" Target="https://advance.lexis.com/api/document?collection=cases-ca&amp;id=urn:contentItem:5F7T-S781-DYMS-61JV-00000-00&amp;context=" TargetMode="External" /><Relationship Id="rId395" Type="http://schemas.openxmlformats.org/officeDocument/2006/relationships/hyperlink" Target="https://advance.lexis.com/api/document?collection=cases-ca&amp;id=urn:contentItem:5F8T-N3S1-JBDT-B09R-00000-00&amp;context=" TargetMode="External" /><Relationship Id="rId396" Type="http://schemas.openxmlformats.org/officeDocument/2006/relationships/hyperlink" Target="https://advance.lexis.com/api/document?collection=cases-ca&amp;id=urn:contentItem:5F8T-N3V1-JF75-M3GM-00000-00&amp;context=" TargetMode="External" /><Relationship Id="rId397" Type="http://schemas.openxmlformats.org/officeDocument/2006/relationships/hyperlink" Target="https://advance.lexis.com/api/document?collection=cases-ca&amp;id=urn:contentItem:5F8T-N3R1-JJSF-22ND-00000-00&amp;context=" TargetMode="External" /><Relationship Id="rId398" Type="http://schemas.openxmlformats.org/officeDocument/2006/relationships/hyperlink" Target="https://advance.lexis.com/api/document?collection=cases-ca&amp;id=urn:contentItem:5F7T-S7B1-JSRM-606R-00000-00&amp;context=" TargetMode="External" /><Relationship Id="rId399" Type="http://schemas.openxmlformats.org/officeDocument/2006/relationships/header" Target="header58.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K1-JKHB-62XT-00000-00&amp;context=" TargetMode="External" /><Relationship Id="rId400" Type="http://schemas.openxmlformats.org/officeDocument/2006/relationships/header" Target="header59.xml" /><Relationship Id="rId401" Type="http://schemas.openxmlformats.org/officeDocument/2006/relationships/footer" Target="footer58.xml" /><Relationship Id="rId402" Type="http://schemas.openxmlformats.org/officeDocument/2006/relationships/footer" Target="footer59.xml" /><Relationship Id="rId403" Type="http://schemas.openxmlformats.org/officeDocument/2006/relationships/header" Target="header60.xml" /><Relationship Id="rId404" Type="http://schemas.openxmlformats.org/officeDocument/2006/relationships/footer" Target="footer60.xml" /><Relationship Id="rId405" Type="http://schemas.openxmlformats.org/officeDocument/2006/relationships/hyperlink" Target="https://advance.lexis.com/api/document?collection=cases-ca&amp;id=urn:contentItem:5F7T-S7D1-FC6N-X0KK-00000-00&amp;context=" TargetMode="External" /><Relationship Id="rId406" Type="http://schemas.openxmlformats.org/officeDocument/2006/relationships/hyperlink" Target="https://advance.lexis.com/api/document?collection=cases-ca&amp;id=urn:contentItem:5F7T-S761-JS5Y-B1DS-00000-00&amp;context=" TargetMode="External" /><Relationship Id="rId407" Type="http://schemas.openxmlformats.org/officeDocument/2006/relationships/header" Target="header61.xml" /><Relationship Id="rId408" Type="http://schemas.openxmlformats.org/officeDocument/2006/relationships/header" Target="header62.xml" /><Relationship Id="rId409" Type="http://schemas.openxmlformats.org/officeDocument/2006/relationships/footer" Target="footer61.xml" /><Relationship Id="rId41" Type="http://schemas.openxmlformats.org/officeDocument/2006/relationships/hyperlink" Target="https://advance.lexis.com/api/document?collection=cases-ca&amp;id=urn:contentItem:5F7T-S7J1-FGCG-S0KS-00000-00&amp;context=" TargetMode="External" /><Relationship Id="rId410" Type="http://schemas.openxmlformats.org/officeDocument/2006/relationships/footer" Target="footer62.xml" /><Relationship Id="rId411" Type="http://schemas.openxmlformats.org/officeDocument/2006/relationships/header" Target="header63.xml" /><Relationship Id="rId412" Type="http://schemas.openxmlformats.org/officeDocument/2006/relationships/footer" Target="footer63.xml" /><Relationship Id="rId413" Type="http://schemas.openxmlformats.org/officeDocument/2006/relationships/hyperlink" Target="https://advance.lexis.com/api/document?collection=cases-ca&amp;id=urn:contentItem:5F7T-S771-JJD0-G14B-00000-00&amp;context=" TargetMode="External" /><Relationship Id="rId414" Type="http://schemas.openxmlformats.org/officeDocument/2006/relationships/hyperlink" Target="https://advance.lexis.com/api/document?collection=legislation-ca&amp;id=urn:contentItem:5F3B-B7W1-JTGH-B015-00000-00&amp;context=" TargetMode="External" /><Relationship Id="rId415" Type="http://schemas.openxmlformats.org/officeDocument/2006/relationships/hyperlink" Target="https://advance.lexis.com/api/document?collection=legislation-ca&amp;id=urn:contentItem:5F41-1FG1-FC1F-M0TW-00000-00&amp;context=" TargetMode="External" /><Relationship Id="rId416" Type="http://schemas.openxmlformats.org/officeDocument/2006/relationships/hyperlink" Target="https://advance.lexis.com/api/document?collection=legislation-ca&amp;id=urn:contentItem:5F41-1FJ1-JBDT-B068-00000-00&amp;context=" TargetMode="External" /><Relationship Id="rId417" Type="http://schemas.openxmlformats.org/officeDocument/2006/relationships/hyperlink" Target="https://advance.lexis.com/api/document?collection=legislation-ca&amp;id=urn:contentItem:5VYK-WB41-F22N-X4VK-00000-00&amp;context=" TargetMode="External" /><Relationship Id="rId418" Type="http://schemas.openxmlformats.org/officeDocument/2006/relationships/hyperlink" Target="https://advance.lexis.com/api/document?collection=cases-ca&amp;id=urn:contentItem:5F7T-S721-FD4T-B172-00000-00&amp;context=" TargetMode="External" /><Relationship Id="rId419" Type="http://schemas.openxmlformats.org/officeDocument/2006/relationships/hyperlink" Target="https://advance.lexis.com/api/document?collection=cases-ca&amp;id=urn:contentItem:5F7T-S721-F06F-23DP-00000-00&amp;context=" TargetMode="External" /><Relationship Id="rId42" Type="http://schemas.openxmlformats.org/officeDocument/2006/relationships/hyperlink" Target="https://advance.lexis.com/api/document?collection=cases-ca&amp;id=urn:contentItem:5F7T-S751-JGHR-M1Y5-00000-00&amp;context=" TargetMode="External" /><Relationship Id="rId420" Type="http://schemas.openxmlformats.org/officeDocument/2006/relationships/hyperlink" Target="https://advance.lexis.com/api/document?collection=cases-ca&amp;id=urn:contentItem:5F7T-S751-JCJ5-248J-00000-00&amp;context=" TargetMode="External" /><Relationship Id="rId421" Type="http://schemas.openxmlformats.org/officeDocument/2006/relationships/header" Target="header64.xml" /><Relationship Id="rId422" Type="http://schemas.openxmlformats.org/officeDocument/2006/relationships/header" Target="header65.xml" /><Relationship Id="rId423" Type="http://schemas.openxmlformats.org/officeDocument/2006/relationships/footer" Target="footer64.xml" /><Relationship Id="rId424" Type="http://schemas.openxmlformats.org/officeDocument/2006/relationships/footer" Target="footer65.xml" /><Relationship Id="rId425" Type="http://schemas.openxmlformats.org/officeDocument/2006/relationships/header" Target="header66.xml" /><Relationship Id="rId426" Type="http://schemas.openxmlformats.org/officeDocument/2006/relationships/footer" Target="footer66.xml" /><Relationship Id="rId427" Type="http://schemas.openxmlformats.org/officeDocument/2006/relationships/hyperlink" Target="https://advance.lexis.com/api/document?collection=cases-ca&amp;id=urn:contentItem:5F7T-S7N1-JW09-M0WH-00000-00&amp;context=" TargetMode="External" /><Relationship Id="rId428" Type="http://schemas.openxmlformats.org/officeDocument/2006/relationships/hyperlink" Target="https://advance.lexis.com/api/document?collection=cases-ca&amp;id=urn:contentItem:5F7T-S6S1-F60C-X0S6-00000-00&amp;context=" TargetMode="External" /><Relationship Id="rId429" Type="http://schemas.openxmlformats.org/officeDocument/2006/relationships/hyperlink" Target="https://advance.lexis.com/api/document?collection=cases-ca&amp;id=urn:contentItem:5F8T-N3R1-JNS1-M180-00000-00&amp;context=" TargetMode="External" /><Relationship Id="rId43" Type="http://schemas.openxmlformats.org/officeDocument/2006/relationships/hyperlink" Target="https://advance.lexis.com/api/document?collection=cases-ca&amp;id=urn:contentItem:5F7T-S7F1-FJTD-G36B-00000-00&amp;context=" TargetMode="External" /><Relationship Id="rId430" Type="http://schemas.openxmlformats.org/officeDocument/2006/relationships/hyperlink" Target="https://advance.lexis.com/api/document?collection=cases-ca&amp;id=urn:contentItem:5F7T-S7J1-DXWW-2531-00000-00&amp;context=" TargetMode="External" /><Relationship Id="rId431" Type="http://schemas.openxmlformats.org/officeDocument/2006/relationships/hyperlink" Target="https://advance.lexis.com/api/document?collection=cases-ca&amp;id=urn:contentItem:5F7T-S751-JGHR-M1VK-00000-00&amp;context=" TargetMode="External" /><Relationship Id="rId432" Type="http://schemas.openxmlformats.org/officeDocument/2006/relationships/hyperlink" Target="https://advance.lexis.com/api/document?collection=cases-ca&amp;id=urn:contentItem:5F7T-S7K1-JWXF-2137-00000-00&amp;context=" TargetMode="External" /><Relationship Id="rId433" Type="http://schemas.openxmlformats.org/officeDocument/2006/relationships/header" Target="header67.xml" /><Relationship Id="rId434" Type="http://schemas.openxmlformats.org/officeDocument/2006/relationships/header" Target="header68.xml" /><Relationship Id="rId435" Type="http://schemas.openxmlformats.org/officeDocument/2006/relationships/footer" Target="footer67.xml" /><Relationship Id="rId436" Type="http://schemas.openxmlformats.org/officeDocument/2006/relationships/footer" Target="footer68.xml" /><Relationship Id="rId437" Type="http://schemas.openxmlformats.org/officeDocument/2006/relationships/header" Target="header69.xml" /><Relationship Id="rId438" Type="http://schemas.openxmlformats.org/officeDocument/2006/relationships/footer" Target="footer69.xml" /><Relationship Id="rId439" Type="http://schemas.openxmlformats.org/officeDocument/2006/relationships/hyperlink" Target="https://advance.lexis.com/api/document?collection=cases-ca&amp;id=urn:contentItem:5RXP-NCC1-JT42-S4WV-00000-00&amp;context=" TargetMode="External" /><Relationship Id="rId44" Type="http://schemas.openxmlformats.org/officeDocument/2006/relationships/hyperlink" Target="https://advance.lexis.com/api/document?collection=cases-ca&amp;id=urn:contentItem:5F7T-S7F1-FJTD-G3MH-00000-00&amp;context=" TargetMode="External" /><Relationship Id="rId440" Type="http://schemas.openxmlformats.org/officeDocument/2006/relationships/hyperlink" Target="https://advance.lexis.com/api/document?collection=cases-ca&amp;id=urn:contentItem:5F7T-S6T1-JP9P-G0X4-00000-00&amp;context=" TargetMode="External" /><Relationship Id="rId441" Type="http://schemas.openxmlformats.org/officeDocument/2006/relationships/hyperlink" Target="https://advance.lexis.com/api/document?collection=cases-ca&amp;id=urn:contentItem:5F7T-S721-JSC5-M3BV-00000-00&amp;context=" TargetMode="External" /><Relationship Id="rId442" Type="http://schemas.openxmlformats.org/officeDocument/2006/relationships/hyperlink" Target="https://advance.lexis.com/api/document?collection=cases-ca&amp;id=urn:contentItem:5F7T-S7H1-FCSB-S3FM-00000-00&amp;context=" TargetMode="External" /><Relationship Id="rId443" Type="http://schemas.openxmlformats.org/officeDocument/2006/relationships/hyperlink" Target="https://advance.lexis.com/api/document?collection=cases-ca&amp;id=urn:contentItem:5F7T-S7G1-JBT7-X46W-00000-00&amp;context=" TargetMode="External" /><Relationship Id="rId444" Type="http://schemas.openxmlformats.org/officeDocument/2006/relationships/hyperlink" Target="https://advance.lexis.com/api/document?collection=cases-ca&amp;id=urn:contentItem:5F8P-SBV1-DXWW-2236-00000-00&amp;context=" TargetMode="External" /><Relationship Id="rId445" Type="http://schemas.openxmlformats.org/officeDocument/2006/relationships/hyperlink" Target="https://advance.lexis.com/api/document?collection=cases-ca&amp;id=urn:contentItem:5F7T-S7H1-JFKM-6284-00000-00&amp;context=" TargetMode="External" /><Relationship Id="rId446" Type="http://schemas.openxmlformats.org/officeDocument/2006/relationships/hyperlink" Target="https://advance.lexis.com/api/document?collection=cases-ca&amp;id=urn:contentItem:5F7T-S6R1-F4GK-M0GN-00000-00&amp;context=" TargetMode="External" /><Relationship Id="rId447" Type="http://schemas.openxmlformats.org/officeDocument/2006/relationships/hyperlink" Target="https://advance.lexis.com/api/document?collection=cases-ca&amp;id=urn:contentItem:5F7T-S7H1-JS5Y-B306-00000-00&amp;context=" TargetMode="External" /><Relationship Id="rId448" Type="http://schemas.openxmlformats.org/officeDocument/2006/relationships/hyperlink" Target="https://advance.lexis.com/api/document?collection=cases-ca&amp;id=urn:contentItem:5F7T-S731-F016-S331-00000-00&amp;context=" TargetMode="External" /><Relationship Id="rId449" Type="http://schemas.openxmlformats.org/officeDocument/2006/relationships/hyperlink" Target="https://advance.lexis.com/api/document?collection=cases-ca&amp;id=urn:contentItem:5F7T-S7C1-FGRY-B057-00000-00&amp;context=" TargetMode="External" /><Relationship Id="rId45" Type="http://schemas.openxmlformats.org/officeDocument/2006/relationships/hyperlink" Target="https://advance.lexis.com/api/document?collection=cases-ca&amp;id=urn:contentItem:5F7T-S7F1-DXWW-2489-00000-00&amp;context=" TargetMode="External" /><Relationship Id="rId450" Type="http://schemas.openxmlformats.org/officeDocument/2006/relationships/hyperlink" Target="https://advance.lexis.com/api/document?collection=cases-ca&amp;id=urn:contentItem:5F7T-S6T1-JT99-216B-00000-00&amp;context=" TargetMode="External" /><Relationship Id="rId451" Type="http://schemas.openxmlformats.org/officeDocument/2006/relationships/hyperlink" Target="https://advance.lexis.com/api/document?collection=cases-ca&amp;id=urn:contentItem:5F7T-S7B1-FH4C-X3VV-00000-00&amp;context=" TargetMode="External" /><Relationship Id="rId452" Type="http://schemas.openxmlformats.org/officeDocument/2006/relationships/hyperlink" Target="https://advance.lexis.com/api/document?collection=cases-ca&amp;id=urn:contentItem:5F7T-S6W1-JB7K-21HB-00000-00&amp;context=" TargetMode="External" /><Relationship Id="rId453" Type="http://schemas.openxmlformats.org/officeDocument/2006/relationships/hyperlink" Target="https://advance.lexis.com/api/document?collection=cases-ca&amp;id=urn:contentItem:5K1C-F351-DXWW-23FB-00000-00&amp;context=" TargetMode="External" /><Relationship Id="rId454" Type="http://schemas.openxmlformats.org/officeDocument/2006/relationships/hyperlink" Target="https://advance.lexis.com/api/document?collection=cases-ca&amp;id=urn:contentItem:5F7T-S7B1-JCJ5-200C-00000-00&amp;context=" TargetMode="External" /><Relationship Id="rId455" Type="http://schemas.openxmlformats.org/officeDocument/2006/relationships/hyperlink" Target="https://advance.lexis.com/api/document?collection=cases-ca&amp;id=urn:contentItem:5F7T-S7D1-JG02-S351-00000-00&amp;context=" TargetMode="External" /><Relationship Id="rId456" Type="http://schemas.openxmlformats.org/officeDocument/2006/relationships/hyperlink" Target="https://advance.lexis.com/api/document?collection=cases-ca&amp;id=urn:contentItem:5F8T-N3V1-JF75-M3MF-00000-00&amp;context=" TargetMode="External" /><Relationship Id="rId457" Type="http://schemas.openxmlformats.org/officeDocument/2006/relationships/hyperlink" Target="https://advance.lexis.com/api/document?collection=cases-ca&amp;id=urn:contentItem:5F8T-N3S1-JBDT-B021-00000-00&amp;context=" TargetMode="External" /><Relationship Id="rId458" Type="http://schemas.openxmlformats.org/officeDocument/2006/relationships/hyperlink" Target="https://advance.lexis.com/api/document?collection=cases-ca&amp;id=urn:contentItem:5F8T-N3S1-JBDT-B087-00000-00&amp;context=" TargetMode="External" /><Relationship Id="rId459" Type="http://schemas.openxmlformats.org/officeDocument/2006/relationships/hyperlink" Target="https://advance.lexis.com/api/document?collection=cases-ca&amp;id=urn:contentItem:5F8N-K751-FJDY-X1VP-00000-00&amp;context=" TargetMode="External" /><Relationship Id="rId46" Type="http://schemas.openxmlformats.org/officeDocument/2006/relationships/hyperlink" Target="https://advance.lexis.com/api/document?collection=cases-ca&amp;id=urn:contentItem:5F7T-S6W1-F5T5-M1RV-00000-00&amp;context=" TargetMode="External" /><Relationship Id="rId460" Type="http://schemas.openxmlformats.org/officeDocument/2006/relationships/hyperlink" Target="https://advance.lexis.com/api/document?collection=cases-ca&amp;id=urn:contentItem:5F8P-SCJ1-JB7K-225P-00000-00&amp;context=" TargetMode="External" /><Relationship Id="rId461" Type="http://schemas.openxmlformats.org/officeDocument/2006/relationships/hyperlink" Target="https://advance.lexis.com/api/document?collection=cases-ca&amp;id=urn:contentItem:5F16-9301-F2TK-23MK-00000-00&amp;context=" TargetMode="External" /><Relationship Id="rId462" Type="http://schemas.openxmlformats.org/officeDocument/2006/relationships/hyperlink" Target="https://advance.lexis.com/api/document?collection=cases-ca&amp;id=urn:contentItem:5F7H-KW61-F81W-20JW-00000-00&amp;context=" TargetMode="External" /><Relationship Id="rId463" Type="http://schemas.openxmlformats.org/officeDocument/2006/relationships/hyperlink" Target="https://advance.lexis.com/api/document?collection=cases-ca&amp;id=urn:contentItem:5F8T-N3V1-JFKM-609F-00000-00&amp;context=" TargetMode="External" /><Relationship Id="rId464" Type="http://schemas.openxmlformats.org/officeDocument/2006/relationships/hyperlink" Target="https://advance.lexis.com/api/document?collection=cases-ca&amp;id=urn:contentItem:5N01-2K51-F7VM-S01D-00000-00&amp;context=" TargetMode="External" /><Relationship Id="rId465" Type="http://schemas.openxmlformats.org/officeDocument/2006/relationships/header" Target="header70.xml" /><Relationship Id="rId466" Type="http://schemas.openxmlformats.org/officeDocument/2006/relationships/header" Target="header71.xml" /><Relationship Id="rId467" Type="http://schemas.openxmlformats.org/officeDocument/2006/relationships/footer" Target="footer70.xml" /><Relationship Id="rId468" Type="http://schemas.openxmlformats.org/officeDocument/2006/relationships/footer" Target="footer71.xml" /><Relationship Id="rId469" Type="http://schemas.openxmlformats.org/officeDocument/2006/relationships/header" Target="header72.xml" /><Relationship Id="rId47" Type="http://schemas.openxmlformats.org/officeDocument/2006/relationships/hyperlink" Target="https://advance.lexis.com/api/document?collection=cases-ca&amp;id=urn:contentItem:5F7T-S721-F5T5-M24G-00000-00&amp;context=" TargetMode="External" /><Relationship Id="rId470" Type="http://schemas.openxmlformats.org/officeDocument/2006/relationships/footer" Target="footer72.xml" /><Relationship Id="rId471" Type="http://schemas.openxmlformats.org/officeDocument/2006/relationships/hyperlink" Target="https://advance.lexis.com/api/document?collection=cases-ca&amp;id=urn:contentItem:5F7T-S771-F81W-22TC-00000-00&amp;context=" TargetMode="External" /><Relationship Id="rId472" Type="http://schemas.openxmlformats.org/officeDocument/2006/relationships/hyperlink" Target="https://advance.lexis.com/api/document?collection=legislation-ca&amp;id=urn:contentItem:5F41-1FK1-JGBH-B0S1-00000-00&amp;context=" TargetMode="External" /><Relationship Id="rId473" Type="http://schemas.openxmlformats.org/officeDocument/2006/relationships/hyperlink" Target="https://advance.lexis.com/api/document?collection=legislation-ca&amp;id=urn:contentItem:5F41-1FM1-FJM6-61N1-00000-00&amp;context=" TargetMode="External" /><Relationship Id="rId474" Type="http://schemas.openxmlformats.org/officeDocument/2006/relationships/hyperlink" Target="https://advance.lexis.com/api/document?collection=cases-ca&amp;id=urn:contentItem:5F7T-S711-F4W2-61JJ-00000-00&amp;context=" TargetMode="External" /><Relationship Id="rId475" Type="http://schemas.openxmlformats.org/officeDocument/2006/relationships/hyperlink" Target="https://advance.lexis.com/api/document?collection=cases-ca&amp;id=urn:contentItem:5F8P-SGB1-JBT7-X39H-00000-00&amp;context=" TargetMode="External" /><Relationship Id="rId476" Type="http://schemas.openxmlformats.org/officeDocument/2006/relationships/hyperlink" Target="https://advance.lexis.com/api/document?collection=cases-ca&amp;id=urn:contentItem:5F7T-S6T1-F361-M024-00000-00&amp;context=" TargetMode="External" /><Relationship Id="rId477" Type="http://schemas.openxmlformats.org/officeDocument/2006/relationships/header" Target="header73.xml" /><Relationship Id="rId478" Type="http://schemas.openxmlformats.org/officeDocument/2006/relationships/header" Target="header74.xml" /><Relationship Id="rId479" Type="http://schemas.openxmlformats.org/officeDocument/2006/relationships/footer" Target="footer73.xml" /><Relationship Id="rId48" Type="http://schemas.openxmlformats.org/officeDocument/2006/relationships/hyperlink" Target="https://advance.lexis.com/api/document?collection=cases-ca&amp;id=urn:contentItem:5F7T-S7B1-FH4C-X3DK-00000-00&amp;context=" TargetMode="External" /><Relationship Id="rId480" Type="http://schemas.openxmlformats.org/officeDocument/2006/relationships/footer" Target="footer74.xml" /><Relationship Id="rId481" Type="http://schemas.openxmlformats.org/officeDocument/2006/relationships/header" Target="header75.xml" /><Relationship Id="rId482" Type="http://schemas.openxmlformats.org/officeDocument/2006/relationships/footer" Target="footer75.xml" /><Relationship Id="rId483" Type="http://schemas.openxmlformats.org/officeDocument/2006/relationships/hyperlink" Target="https://advance.lexis.com/api/document?collection=cases-ca&amp;id=urn:contentItem:5F7T-S7J1-JGBH-B291-00000-00&amp;context=" TargetMode="External" /><Relationship Id="rId484" Type="http://schemas.openxmlformats.org/officeDocument/2006/relationships/header" Target="header76.xml" /><Relationship Id="rId485" Type="http://schemas.openxmlformats.org/officeDocument/2006/relationships/header" Target="header77.xml" /><Relationship Id="rId486" Type="http://schemas.openxmlformats.org/officeDocument/2006/relationships/footer" Target="footer76.xml" /><Relationship Id="rId487" Type="http://schemas.openxmlformats.org/officeDocument/2006/relationships/footer" Target="footer77.xml" /><Relationship Id="rId488" Type="http://schemas.openxmlformats.org/officeDocument/2006/relationships/header" Target="header78.xml" /><Relationship Id="rId489" Type="http://schemas.openxmlformats.org/officeDocument/2006/relationships/footer" Target="footer78.xml" /><Relationship Id="rId49" Type="http://schemas.openxmlformats.org/officeDocument/2006/relationships/header" Target="header4.xml" /><Relationship Id="rId490" Type="http://schemas.openxmlformats.org/officeDocument/2006/relationships/hyperlink" Target="https://advance.lexis.com/api/document?collection=cases-ca&amp;id=urn:contentItem:5F7T-S7C1-F4NT-X3J9-00000-00&amp;context=" TargetMode="External" /><Relationship Id="rId491" Type="http://schemas.openxmlformats.org/officeDocument/2006/relationships/hyperlink" Target="https://advance.lexis.com/api/document?collection=cases-ca&amp;id=urn:contentItem:5K6Y-81M1-JN6B-S1F4-00000-00&amp;context=" TargetMode="External" /><Relationship Id="rId492" Type="http://schemas.openxmlformats.org/officeDocument/2006/relationships/hyperlink" Target="https://advance.lexis.com/api/document?collection=legislation-ca&amp;id=urn:contentItem:5F41-1FN1-JSXV-G1WM-00000-00&amp;context=" TargetMode="External" /><Relationship Id="rId493" Type="http://schemas.openxmlformats.org/officeDocument/2006/relationships/hyperlink" Target="https://advance.lexis.com/api/document?collection=legislation-ca&amp;id=urn:contentItem:5F41-1FG1-JJYN-B04M-00000-00&amp;context=" TargetMode="External" /><Relationship Id="rId494" Type="http://schemas.openxmlformats.org/officeDocument/2006/relationships/hyperlink" Target="https://advance.lexis.com/api/document?collection=legislation-ca&amp;id=urn:contentItem:5F41-1FH1-F361-M0GK-00000-00&amp;context=" TargetMode="External" /><Relationship Id="rId495" Type="http://schemas.openxmlformats.org/officeDocument/2006/relationships/hyperlink" Target="https://advance.lexis.com/api/document?collection=cases-ca&amp;id=urn:contentItem:5F7T-S7B1-FH4C-X38C-00000-00&amp;context=" TargetMode="External" /><Relationship Id="rId496" Type="http://schemas.openxmlformats.org/officeDocument/2006/relationships/hyperlink" Target="https://advance.lexis.com/api/document?collection=cases-ca&amp;id=urn:contentItem:5F7T-S7C1-F4NT-X30N-00000-00&amp;context=" TargetMode="External" /><Relationship Id="rId497" Type="http://schemas.openxmlformats.org/officeDocument/2006/relationships/hyperlink" Target="https://advance.lexis.com/api/document?collection=cases-ca&amp;id=urn:contentItem:5F7T-S7C1-F7VM-S3T2-00000-00&amp;context=" TargetMode="External" /><Relationship Id="rId498" Type="http://schemas.openxmlformats.org/officeDocument/2006/relationships/hyperlink" Target="https://advance.lexis.com/api/document?collection=cases-ca&amp;id=urn:contentItem:5F8T-N3T1-JJSF-23P9-00000-00&amp;context=" TargetMode="External" /><Relationship Id="rId499" Type="http://schemas.openxmlformats.org/officeDocument/2006/relationships/header" Target="header79.xml" /><Relationship Id="rId5" Type="http://schemas.openxmlformats.org/officeDocument/2006/relationships/header" Target="header2.xml" /><Relationship Id="rId50" Type="http://schemas.openxmlformats.org/officeDocument/2006/relationships/header" Target="header5.xml" /><Relationship Id="rId500" Type="http://schemas.openxmlformats.org/officeDocument/2006/relationships/header" Target="header80.xml" /><Relationship Id="rId501" Type="http://schemas.openxmlformats.org/officeDocument/2006/relationships/footer" Target="footer79.xml" /><Relationship Id="rId502" Type="http://schemas.openxmlformats.org/officeDocument/2006/relationships/footer" Target="footer80.xml" /><Relationship Id="rId503" Type="http://schemas.openxmlformats.org/officeDocument/2006/relationships/header" Target="header81.xml" /><Relationship Id="rId504" Type="http://schemas.openxmlformats.org/officeDocument/2006/relationships/footer" Target="footer81.xml" /><Relationship Id="rId505" Type="http://schemas.openxmlformats.org/officeDocument/2006/relationships/hyperlink" Target="https://advance.lexis.com/api/document?collection=cases-ca&amp;id=urn:contentItem:5F7T-S781-JSC5-M4DY-00000-00&amp;context=" TargetMode="External" /><Relationship Id="rId506" Type="http://schemas.openxmlformats.org/officeDocument/2006/relationships/hyperlink" Target="https://advance.lexis.com/api/document?collection=legislation-ca&amp;id=urn:contentItem:5F41-1FJ1-JKPJ-G0P5-00000-00&amp;context=" TargetMode="External" /><Relationship Id="rId507" Type="http://schemas.openxmlformats.org/officeDocument/2006/relationships/hyperlink" Target="https://advance.lexis.com/api/document?collection=cases-ca&amp;id=urn:contentItem:5F7T-S751-JX3N-B0PW-00000-00&amp;context=" TargetMode="External" /><Relationship Id="rId508" Type="http://schemas.openxmlformats.org/officeDocument/2006/relationships/hyperlink" Target="https://advance.lexis.com/api/document?collection=cases-ca&amp;id=urn:contentItem:5F7T-S731-FFFC-B0KN-00000-00&amp;context=" TargetMode="External" /><Relationship Id="rId509" Type="http://schemas.openxmlformats.org/officeDocument/2006/relationships/hyperlink" Target="https://advance.lexis.com/api/document?collection=cases-ca&amp;id=urn:contentItem:5F7T-S731-F1WF-M265-00000-00&amp;context=" TargetMode="External" /><Relationship Id="rId51" Type="http://schemas.openxmlformats.org/officeDocument/2006/relationships/footer" Target="footer4.xml" /><Relationship Id="rId510" Type="http://schemas.openxmlformats.org/officeDocument/2006/relationships/hyperlink" Target="https://advance.lexis.com/api/document?collection=cases-ca&amp;id=urn:contentItem:5F8N-K701-JJ1H-X3PH-00000-00&amp;context=" TargetMode="External" /><Relationship Id="rId511" Type="http://schemas.openxmlformats.org/officeDocument/2006/relationships/hyperlink" Target="https://advance.lexis.com/api/document?collection=cases-ca&amp;id=urn:contentItem:5F8T-N3S1-JBDT-B0FM-00000-00&amp;context=" TargetMode="External" /><Relationship Id="rId512" Type="http://schemas.openxmlformats.org/officeDocument/2006/relationships/hyperlink" Target="https://advance.lexis.com/api/document?collection=cases-ca&amp;id=urn:contentItem:5F7T-S781-F06F-23WG-00000-00&amp;context=" TargetMode="External" /><Relationship Id="rId513" Type="http://schemas.openxmlformats.org/officeDocument/2006/relationships/header" Target="header82.xml" /><Relationship Id="rId514" Type="http://schemas.openxmlformats.org/officeDocument/2006/relationships/header" Target="header83.xml" /><Relationship Id="rId515" Type="http://schemas.openxmlformats.org/officeDocument/2006/relationships/footer" Target="footer82.xml" /><Relationship Id="rId516" Type="http://schemas.openxmlformats.org/officeDocument/2006/relationships/footer" Target="footer83.xml" /><Relationship Id="rId517" Type="http://schemas.openxmlformats.org/officeDocument/2006/relationships/header" Target="header84.xml" /><Relationship Id="rId518" Type="http://schemas.openxmlformats.org/officeDocument/2006/relationships/footer" Target="footer84.xml" /><Relationship Id="rId519" Type="http://schemas.openxmlformats.org/officeDocument/2006/relationships/hyperlink" Target="https://advance.lexis.com/api/document?collection=cases-ca&amp;id=urn:contentItem:5MTH-4Y21-DXHD-G38F-00000-00&amp;context=" TargetMode="External" /><Relationship Id="rId52" Type="http://schemas.openxmlformats.org/officeDocument/2006/relationships/footer" Target="footer5.xml" /><Relationship Id="rId520" Type="http://schemas.openxmlformats.org/officeDocument/2006/relationships/hyperlink" Target="https://advance.lexis.com/api/document?collection=legislation-ca&amp;id=urn:contentItem:5F41-1FJ1-JBDT-B02W-00000-00&amp;context=" TargetMode="External" /><Relationship Id="rId521" Type="http://schemas.openxmlformats.org/officeDocument/2006/relationships/hyperlink" Target="https://advance.lexis.com/api/document?collection=cases-ca&amp;id=urn:contentItem:5GCC-XVC1-JSRM-60FT-00000-00&amp;context=" TargetMode="External" /><Relationship Id="rId522" Type="http://schemas.openxmlformats.org/officeDocument/2006/relationships/hyperlink" Target="https://advance.lexis.com/api/document?collection=cases-ca&amp;id=urn:contentItem:5F8T-N3V1-FH4C-X1XK-00000-00&amp;context=" TargetMode="External" /><Relationship Id="rId523" Type="http://schemas.openxmlformats.org/officeDocument/2006/relationships/hyperlink" Target="https://advance.lexis.com/api/document?collection=cases-ca&amp;id=urn:contentItem:5F7T-S7N1-JC5P-G1XX-00000-00&amp;context=" TargetMode="External" /><Relationship Id="rId524" Type="http://schemas.openxmlformats.org/officeDocument/2006/relationships/hyperlink" Target="https://advance.lexis.com/api/document?collection=cases-ca&amp;id=urn:contentItem:5F8T-N3V1-JTGH-B0YX-00000-00&amp;context=" TargetMode="External" /><Relationship Id="rId525" Type="http://schemas.openxmlformats.org/officeDocument/2006/relationships/hyperlink" Target="https://advance.lexis.com/api/document?collection=cases-ca&amp;id=urn:contentItem:5F7T-S7K1-F1H1-22F0-00000-00&amp;context=" TargetMode="External" /><Relationship Id="rId526" Type="http://schemas.openxmlformats.org/officeDocument/2006/relationships/hyperlink" Target="https://advance.lexis.com/api/document?collection=cases-ca&amp;id=urn:contentItem:5F7T-S7N1-JWR6-S23V-00000-00&amp;context=" TargetMode="External" /><Relationship Id="rId527" Type="http://schemas.openxmlformats.org/officeDocument/2006/relationships/hyperlink" Target="https://advance.lexis.com/api/document?collection=cases-ca&amp;id=urn:contentItem:5F7T-S7F1-F7VM-S4F6-00000-00&amp;context=" TargetMode="External" /><Relationship Id="rId528" Type="http://schemas.openxmlformats.org/officeDocument/2006/relationships/hyperlink" Target="https://advance.lexis.com/api/document?collection=cases-ca&amp;id=urn:contentItem:5F7T-S7F1-DXWW-23FX-00000-00&amp;context=" TargetMode="External" /><Relationship Id="rId529" Type="http://schemas.openxmlformats.org/officeDocument/2006/relationships/hyperlink" Target="https://advance.lexis.com/api/document?collection=cases-ca&amp;id=urn:contentItem:5F7T-S7G1-JNY7-X3VC-00000-00&amp;context=" TargetMode="External" /><Relationship Id="rId53" Type="http://schemas.openxmlformats.org/officeDocument/2006/relationships/header" Target="header6.xml" /><Relationship Id="rId530" Type="http://schemas.openxmlformats.org/officeDocument/2006/relationships/hyperlink" Target="https://advance.lexis.com/api/document?collection=cases-ca&amp;id=urn:contentItem:5F7T-S7P1-JNJT-B2HS-00000-00&amp;context=" TargetMode="External" /><Relationship Id="rId531" Type="http://schemas.openxmlformats.org/officeDocument/2006/relationships/hyperlink" Target="https://advance.lexis.com/api/document?collection=cases-ca&amp;id=urn:contentItem:5F8T-N3V1-JF75-M3CS-00000-00&amp;context=" TargetMode="External" /><Relationship Id="rId532" Type="http://schemas.openxmlformats.org/officeDocument/2006/relationships/hyperlink" Target="https://advance.lexis.com/api/document?collection=cases-ca&amp;id=urn:contentItem:5F8T-N3T1-JFKM-650V-00000-00&amp;context=" TargetMode="External" /><Relationship Id="rId533" Type="http://schemas.openxmlformats.org/officeDocument/2006/relationships/hyperlink" Target="https://advance.lexis.com/api/document?collection=cases-ca&amp;id=urn:contentItem:5F8T-N3V1-JFKM-601D-00000-00&amp;context=" TargetMode="External" /><Relationship Id="rId534" Type="http://schemas.openxmlformats.org/officeDocument/2006/relationships/hyperlink" Target="https://advance.lexis.com/api/document?collection=cases-ca&amp;id=urn:contentItem:5F7T-S7D1-JS5Y-B294-00000-00&amp;context=" TargetMode="External" /><Relationship Id="rId535" Type="http://schemas.openxmlformats.org/officeDocument/2006/relationships/hyperlink" Target="https://advance.lexis.com/api/document?collection=cases-ca&amp;id=urn:contentItem:5F7T-S721-F4NT-X2W2-00000-00&amp;context=" TargetMode="External" /><Relationship Id="rId536" Type="http://schemas.openxmlformats.org/officeDocument/2006/relationships/hyperlink" Target="https://advance.lexis.com/api/document?collection=cases-ca&amp;id=urn:contentItem:5F7T-S731-F1WF-M2GY-00000-00&amp;context=" TargetMode="External" /><Relationship Id="rId537" Type="http://schemas.openxmlformats.org/officeDocument/2006/relationships/hyperlink" Target="https://advance.lexis.com/api/document?collection=cases-ca&amp;id=urn:contentItem:5F7T-S7F1-JFKM-6202-00000-00&amp;context=" TargetMode="External" /><Relationship Id="rId538" Type="http://schemas.openxmlformats.org/officeDocument/2006/relationships/hyperlink" Target="https://advance.lexis.com/api/document?collection=cases-ca&amp;id=urn:contentItem:5F7T-S7F1-JX3N-B1V2-00000-00&amp;context=" TargetMode="External" /><Relationship Id="rId539" Type="http://schemas.openxmlformats.org/officeDocument/2006/relationships/hyperlink" Target="https://advance.lexis.com/api/document?collection=cases-ca&amp;id=urn:contentItem:5F8T-N3V1-JF75-M3VR-00000-00&amp;context=" TargetMode="External" /><Relationship Id="rId54" Type="http://schemas.openxmlformats.org/officeDocument/2006/relationships/footer" Target="footer6.xml" /><Relationship Id="rId540" Type="http://schemas.openxmlformats.org/officeDocument/2006/relationships/hyperlink" Target="https://advance.lexis.com/api/document?collection=cases-ca&amp;id=urn:contentItem:5F8N-K751-F22N-X109-00000-00&amp;context=" TargetMode="External" /><Relationship Id="rId541" Type="http://schemas.openxmlformats.org/officeDocument/2006/relationships/hyperlink" Target="https://advance.lexis.com/api/document?collection=cases-ca&amp;id=urn:contentItem:5K27-9R71-JWBS-63YJ-00000-00&amp;context=" TargetMode="External" /><Relationship Id="rId542" Type="http://schemas.openxmlformats.org/officeDocument/2006/relationships/hyperlink" Target="https://advance.lexis.com/api/document?collection=cases-ca&amp;id=urn:contentItem:5F8T-N3V1-JTGH-B12J-00000-00&amp;context=" TargetMode="External" /><Relationship Id="rId543" Type="http://schemas.openxmlformats.org/officeDocument/2006/relationships/hyperlink" Target="https://advance.lexis.com/api/document?collection=cases-ca&amp;id=urn:contentItem:5F8T-N3T1-JJSF-23F8-00000-00&amp;context=" TargetMode="External" /><Relationship Id="rId544" Type="http://schemas.openxmlformats.org/officeDocument/2006/relationships/hyperlink" Target="https://advance.lexis.com/api/document?collection=cases-ca&amp;id=urn:contentItem:5F8T-N3T1-JFKM-6519-00000-00&amp;context=" TargetMode="External" /><Relationship Id="rId545" Type="http://schemas.openxmlformats.org/officeDocument/2006/relationships/hyperlink" Target="https://advance.lexis.com/api/document?collection=cases-ca&amp;id=urn:contentItem:5M77-J9C1-JN14-G09S-00000-00&amp;context=" TargetMode="External" /><Relationship Id="rId546" Type="http://schemas.openxmlformats.org/officeDocument/2006/relationships/hyperlink" Target="https://advance.lexis.com/api/document?collection=cases-ca&amp;id=urn:contentItem:5F7T-S7G1-JPP5-21V6-00000-00&amp;context=" TargetMode="External" /><Relationship Id="rId547" Type="http://schemas.openxmlformats.org/officeDocument/2006/relationships/hyperlink" Target="https://advance.lexis.com/api/document?collection=cases-ca&amp;id=urn:contentItem:5GCC-XVC1-F900-G4PC-00000-00&amp;context=" TargetMode="External" /><Relationship Id="rId548" Type="http://schemas.openxmlformats.org/officeDocument/2006/relationships/hyperlink" Target="https://advance.lexis.com/api/document?collection=cases-ca&amp;id=urn:contentItem:5F7T-S7N1-JC5P-G21B-00000-00&amp;context=" TargetMode="External" /><Relationship Id="rId549" Type="http://schemas.openxmlformats.org/officeDocument/2006/relationships/hyperlink" Target="https://advance.lexis.com/api/document?collection=cases-ca&amp;id=urn:contentItem:5F7T-S7J1-JNS1-M202-00000-00&amp;context=" TargetMode="External" /><Relationship Id="rId55" Type="http://schemas.openxmlformats.org/officeDocument/2006/relationships/hyperlink" Target="https://advance.lexis.com/api/document?collection=cases-ca&amp;id=urn:contentItem:5NX6-V8N1-JBDT-B3YV-00000-00&amp;context=" TargetMode="External" /><Relationship Id="rId550" Type="http://schemas.openxmlformats.org/officeDocument/2006/relationships/header" Target="header85.xml" /><Relationship Id="rId551" Type="http://schemas.openxmlformats.org/officeDocument/2006/relationships/header" Target="header86.xml" /><Relationship Id="rId552" Type="http://schemas.openxmlformats.org/officeDocument/2006/relationships/footer" Target="footer85.xml" /><Relationship Id="rId553" Type="http://schemas.openxmlformats.org/officeDocument/2006/relationships/footer" Target="footer86.xml" /><Relationship Id="rId554" Type="http://schemas.openxmlformats.org/officeDocument/2006/relationships/header" Target="header87.xml" /><Relationship Id="rId555" Type="http://schemas.openxmlformats.org/officeDocument/2006/relationships/footer" Target="footer87.xml" /><Relationship Id="rId556" Type="http://schemas.openxmlformats.org/officeDocument/2006/relationships/hyperlink" Target="https://advance.lexis.com/api/document?collection=cases-ca&amp;id=urn:contentItem:5F7T-S771-JN14-G2M4-00000-00&amp;context=" TargetMode="External" /><Relationship Id="rId557" Type="http://schemas.openxmlformats.org/officeDocument/2006/relationships/hyperlink" Target="https://advance.lexis.com/api/document?collection=legislation-ca&amp;id=urn:contentItem:5VYK-WB51-K054-G4Y8-00000-00&amp;context=" TargetMode="External" /><Relationship Id="rId558" Type="http://schemas.openxmlformats.org/officeDocument/2006/relationships/hyperlink" Target="https://advance.lexis.com/api/document?collection=cases-ca&amp;id=urn:contentItem:5F7T-S6W1-F7ND-G2HX-00000-00&amp;context=" TargetMode="External" /><Relationship Id="rId559" Type="http://schemas.openxmlformats.org/officeDocument/2006/relationships/hyperlink" Target="https://advance.lexis.com/api/document?collection=cases-ca&amp;id=urn:contentItem:5F7T-S6Y1-JF75-M3P7-00000-00&amp;context=" TargetMode="External" /><Relationship Id="rId56" Type="http://schemas.openxmlformats.org/officeDocument/2006/relationships/hyperlink" Target="https://advance.lexis.com/api/document?collection=cases-ca&amp;id=urn:contentItem:5GCC-XVC1-JSRM-60HK-00000-00&amp;context=" TargetMode="External" /><Relationship Id="rId560" Type="http://schemas.openxmlformats.org/officeDocument/2006/relationships/hyperlink" Target="https://advance.lexis.com/api/document?collection=cases-ca&amp;id=urn:contentItem:5F7T-S751-JGHR-M1PR-00000-00&amp;context=" TargetMode="External" /><Relationship Id="rId561" Type="http://schemas.openxmlformats.org/officeDocument/2006/relationships/hyperlink" Target="https://advance.lexis.com/api/document?collection=cases-ca&amp;id=urn:contentItem:5F16-9311-JGHR-M3MB-00000-00&amp;context=" TargetMode="External" /><Relationship Id="rId562" Type="http://schemas.openxmlformats.org/officeDocument/2006/relationships/hyperlink" Target="https://advance.lexis.com/api/document?collection=cases-ca&amp;id=urn:contentItem:5F7T-S711-F4W2-61BS-00000-00&amp;context=" TargetMode="External" /><Relationship Id="rId563" Type="http://schemas.openxmlformats.org/officeDocument/2006/relationships/hyperlink" Target="https://advance.lexis.com/api/document?collection=cases-ca&amp;id=urn:contentItem:5F8P-SC71-JB7K-219M-00000-00&amp;context=" TargetMode="External" /><Relationship Id="rId564" Type="http://schemas.openxmlformats.org/officeDocument/2006/relationships/hyperlink" Target="https://advance.lexis.com/api/document?collection=cases-ca&amp;id=urn:contentItem:5F7T-S701-JJ6S-61Y7-00000-00&amp;context=" TargetMode="External" /><Relationship Id="rId565" Type="http://schemas.openxmlformats.org/officeDocument/2006/relationships/header" Target="header88.xml" /><Relationship Id="rId566" Type="http://schemas.openxmlformats.org/officeDocument/2006/relationships/header" Target="header89.xml" /><Relationship Id="rId567" Type="http://schemas.openxmlformats.org/officeDocument/2006/relationships/footer" Target="footer88.xml" /><Relationship Id="rId568" Type="http://schemas.openxmlformats.org/officeDocument/2006/relationships/footer" Target="footer89.xml" /><Relationship Id="rId569" Type="http://schemas.openxmlformats.org/officeDocument/2006/relationships/header" Target="header90.xml" /><Relationship Id="rId57" Type="http://schemas.openxmlformats.org/officeDocument/2006/relationships/hyperlink" Target="https://advance.lexis.com/api/document?collection=cases-ca&amp;id=urn:contentItem:5H90-B6F1-JN6B-S3NG-00000-00&amp;context=" TargetMode="External" /><Relationship Id="rId570" Type="http://schemas.openxmlformats.org/officeDocument/2006/relationships/footer" Target="footer90.xml" /><Relationship Id="rId571" Type="http://schemas.openxmlformats.org/officeDocument/2006/relationships/hyperlink" Target="https://advance.lexis.com/api/document?collection=cases-ca&amp;id=urn:contentItem:5SNT-TNG1-JBT7-X268-00000-00&amp;context=" TargetMode="External" /><Relationship Id="rId572" Type="http://schemas.openxmlformats.org/officeDocument/2006/relationships/hyperlink" Target="https://advance.lexis.com/api/document?collection=legislation-ca&amp;id=urn:contentItem:5F41-1FG1-FC1F-M0TD-00000-00&amp;context=" TargetMode="External" /><Relationship Id="rId573" Type="http://schemas.openxmlformats.org/officeDocument/2006/relationships/hyperlink" Target="https://advance.lexis.com/api/document?collection=cases-ca&amp;id=urn:contentItem:5R43-WS31-F5KY-B0B0-00000-00&amp;context=" TargetMode="External" /><Relationship Id="rId574" Type="http://schemas.openxmlformats.org/officeDocument/2006/relationships/hyperlink" Target="https://advance.lexis.com/api/document?collection=cases-ca&amp;id=urn:contentItem:5F7T-S771-JN14-G2GD-00000-00&amp;context=" TargetMode="External" /><Relationship Id="rId575" Type="http://schemas.openxmlformats.org/officeDocument/2006/relationships/hyperlink" Target="https://advance.lexis.com/api/document?collection=cases-ca&amp;id=urn:contentItem:5F81-VJW1-JGPY-X47T-00000-00&amp;context=" TargetMode="External" /><Relationship Id="rId576" Type="http://schemas.openxmlformats.org/officeDocument/2006/relationships/hyperlink" Target="https://advance.lexis.com/api/document?collection=cases-ca&amp;id=urn:contentItem:5K6Y-81T1-F361-M3NX-00000-00&amp;context=" TargetMode="External" /><Relationship Id="rId577" Type="http://schemas.openxmlformats.org/officeDocument/2006/relationships/hyperlink" Target="https://advance.lexis.com/api/document?collection=cases-ca&amp;id=urn:contentItem:5M43-BH51-DXHD-G24F-00000-00&amp;context=" TargetMode="External" /><Relationship Id="rId578" Type="http://schemas.openxmlformats.org/officeDocument/2006/relationships/hyperlink" Target="https://advance.lexis.com/api/document?collection=cases-ca&amp;id=urn:contentItem:5F7T-S7C1-F4NT-X3D7-00000-00&amp;context=" TargetMode="External" /><Relationship Id="rId579" Type="http://schemas.openxmlformats.org/officeDocument/2006/relationships/hyperlink" Target="https://advance.lexis.com/api/document?collection=cases-ca&amp;id=urn:contentItem:5F7T-S7K1-JX3N-B35R-00000-00&amp;context=" TargetMode="External" /><Relationship Id="rId58" Type="http://schemas.openxmlformats.org/officeDocument/2006/relationships/hyperlink" Target="https://advance.lexis.com/api/document?collection=cases-ca&amp;id=urn:contentItem:5F8P-SG91-FG68-G185-00000-00&amp;context=" TargetMode="External" /><Relationship Id="rId580" Type="http://schemas.openxmlformats.org/officeDocument/2006/relationships/hyperlink" Target="https://advance.lexis.com/api/document?collection=cases-ca&amp;id=urn:contentItem:5F7T-S7K1-JSJC-X0YR-00000-00&amp;context=" TargetMode="External" /><Relationship Id="rId581" Type="http://schemas.openxmlformats.org/officeDocument/2006/relationships/hyperlink" Target="https://advance.lexis.com/api/document?collection=cases-ca&amp;id=urn:contentItem:5F7T-S7P1-JSJC-X1R4-00000-00&amp;context=" TargetMode="External" /><Relationship Id="rId582" Type="http://schemas.openxmlformats.org/officeDocument/2006/relationships/hyperlink" Target="https://advance.lexis.com/api/document?collection=cases-ca&amp;id=urn:contentItem:5F7T-S6Y1-F65M-6050-00000-00&amp;context=" TargetMode="External" /><Relationship Id="rId583" Type="http://schemas.openxmlformats.org/officeDocument/2006/relationships/hyperlink" Target="https://advance.lexis.com/api/document?collection=cases-ca&amp;id=urn:contentItem:5J4V-Y9D1-DXPM-S4PV-00000-00&amp;context=" TargetMode="External" /><Relationship Id="rId584" Type="http://schemas.openxmlformats.org/officeDocument/2006/relationships/hyperlink" Target="https://advance.lexis.com/api/document?collection=cases-ca&amp;id=urn:contentItem:5F7T-S7F1-FFFC-B25Y-00000-00&amp;context=" TargetMode="External" /><Relationship Id="rId585" Type="http://schemas.openxmlformats.org/officeDocument/2006/relationships/hyperlink" Target="https://advance.lexis.com/api/document?collection=cases-ca&amp;id=urn:contentItem:5F7T-S771-JN14-G2DF-00000-00&amp;context=" TargetMode="External" /><Relationship Id="rId586" Type="http://schemas.openxmlformats.org/officeDocument/2006/relationships/hyperlink" Target="https://advance.lexis.com/api/document?collection=cases-ca&amp;id=urn:contentItem:5F7T-S7K1-DY33-B1PT-00000-00&amp;context=" TargetMode="External" /><Relationship Id="rId587" Type="http://schemas.openxmlformats.org/officeDocument/2006/relationships/hyperlink" Target="https://advance.lexis.com/api/document?collection=cases-ca&amp;id=urn:contentItem:5GGK-45G1-F7VM-S3BD-00000-00&amp;context=" TargetMode="External" /><Relationship Id="rId588" Type="http://schemas.openxmlformats.org/officeDocument/2006/relationships/hyperlink" Target="https://advance.lexis.com/api/document?collection=cases-ca&amp;id=urn:contentItem:5F8T-N3V1-FH4C-X23H-00000-00&amp;context=" TargetMode="External" /><Relationship Id="rId589" Type="http://schemas.openxmlformats.org/officeDocument/2006/relationships/hyperlink" Target="https://advance.lexis.com/api/document?collection=cases-ca&amp;id=urn:contentItem:5F7T-S7P1-JP4G-61WY-00000-00&amp;context=" TargetMode="External" /><Relationship Id="rId59" Type="http://schemas.openxmlformats.org/officeDocument/2006/relationships/hyperlink" Target="https://advance.lexis.com/api/document?collection=cases-ca&amp;id=urn:contentItem:5F81-VJW1-FGY5-M2JR-00000-00&amp;context=" TargetMode="External" /><Relationship Id="rId590" Type="http://schemas.openxmlformats.org/officeDocument/2006/relationships/hyperlink" Target="https://advance.lexis.com/api/document?collection=cases-ca&amp;id=urn:contentItem:5F8P-SCY1-F65M-62WJ-00000-00&amp;context=" TargetMode="External" /><Relationship Id="rId591" Type="http://schemas.openxmlformats.org/officeDocument/2006/relationships/hyperlink" Target="https://advance.lexis.com/api/document?collection=cases-ca&amp;id=urn:contentItem:5F8T-N3V1-JF75-M3V2-00000-00&amp;context=" TargetMode="External" /><Relationship Id="rId592" Type="http://schemas.openxmlformats.org/officeDocument/2006/relationships/hyperlink" Target="https://advance.lexis.com/api/document?collection=cases-ca&amp;id=urn:contentItem:5F7T-S7C1-JXG3-X03T-00000-00&amp;context=" TargetMode="External" /><Relationship Id="rId593" Type="http://schemas.openxmlformats.org/officeDocument/2006/relationships/hyperlink" Target="https://advance.lexis.com/api/document?collection=cases-ca&amp;id=urn:contentItem:5F81-VJW1-FGY5-M2PM-00000-00&amp;context=" TargetMode="External" /><Relationship Id="rId594" Type="http://schemas.openxmlformats.org/officeDocument/2006/relationships/hyperlink" Target="https://advance.lexis.com/api/document?collection=cases-ca&amp;id=urn:contentItem:5F8T-N3T1-JJSF-2339-00000-00&amp;context=" TargetMode="External" /><Relationship Id="rId595" Type="http://schemas.openxmlformats.org/officeDocument/2006/relationships/hyperlink" Target="https://advance.lexis.com/api/document?collection=cases-ca&amp;id=urn:contentItem:5F7T-S7H1-F4GK-M325-00000-00&amp;context=" TargetMode="External" /><Relationship Id="rId596" Type="http://schemas.openxmlformats.org/officeDocument/2006/relationships/hyperlink" Target="https://advance.lexis.com/api/document?collection=cases-ca&amp;id=urn:contentItem:5F7T-S761-F7ND-G4DM-00000-00&amp;context=" TargetMode="External" /><Relationship Id="rId597" Type="http://schemas.openxmlformats.org/officeDocument/2006/relationships/hyperlink" Target="https://advance.lexis.com/api/document?collection=cases-ca&amp;id=urn:contentItem:5F7T-S771-JWBS-61VG-00000-00&amp;context=" TargetMode="External" /><Relationship Id="rId598" Type="http://schemas.openxmlformats.org/officeDocument/2006/relationships/hyperlink" Target="https://advance.lexis.com/api/document?collection=cases-ca&amp;id=urn:contentItem:5F7T-S7P1-F2TK-23MC-00000-00&amp;context=" TargetMode="External" /><Relationship Id="rId599" Type="http://schemas.openxmlformats.org/officeDocument/2006/relationships/hyperlink" Target="https://advance.lexis.com/api/document?collection=cases-ca&amp;id=urn:contentItem:5F7T-S7D1-JXG3-X0PB-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FC1F-M491-00000-00&amp;context=" TargetMode="External" /><Relationship Id="rId600" Type="http://schemas.openxmlformats.org/officeDocument/2006/relationships/hyperlink" Target="https://advance.lexis.com/api/document?collection=cases-ca&amp;id=urn:contentItem:5F7T-S771-JW5H-X24J-00000-00&amp;context=" TargetMode="External" /><Relationship Id="rId601" Type="http://schemas.openxmlformats.org/officeDocument/2006/relationships/header" Target="header91.xml" /><Relationship Id="rId602" Type="http://schemas.openxmlformats.org/officeDocument/2006/relationships/header" Target="header92.xml" /><Relationship Id="rId603" Type="http://schemas.openxmlformats.org/officeDocument/2006/relationships/footer" Target="footer91.xml" /><Relationship Id="rId604" Type="http://schemas.openxmlformats.org/officeDocument/2006/relationships/footer" Target="footer92.xml" /><Relationship Id="rId605" Type="http://schemas.openxmlformats.org/officeDocument/2006/relationships/header" Target="header93.xml" /><Relationship Id="rId606" Type="http://schemas.openxmlformats.org/officeDocument/2006/relationships/footer" Target="footer93.xml" /><Relationship Id="rId607" Type="http://schemas.openxmlformats.org/officeDocument/2006/relationships/hyperlink" Target="https://advance.lexis.com/api/document?collection=cases-ca&amp;id=urn:contentItem:5F7T-S7K1-JX3N-B32P-00000-00&amp;context=" TargetMode="External" /><Relationship Id="rId608" Type="http://schemas.openxmlformats.org/officeDocument/2006/relationships/hyperlink" Target="https://advance.lexis.com/api/document?collection=legislation-ca&amp;id=urn:contentItem:5F3B-B9C1-FJDY-X0GX-00000-00&amp;context=" TargetMode="External" /><Relationship Id="rId609" Type="http://schemas.openxmlformats.org/officeDocument/2006/relationships/hyperlink" Target="https://advance.lexis.com/api/document?collection=cases-ca&amp;id=urn:contentItem:5F8T-N3V1-JF75-M3M7-00000-00&amp;context=" TargetMode="External" /><Relationship Id="rId61" Type="http://schemas.openxmlformats.org/officeDocument/2006/relationships/hyperlink" Target="https://advance.lexis.com/api/document?collection=cases-ca&amp;id=urn:contentItem:5F8T-N3V1-FC1F-M42M-00000-00&amp;context=" TargetMode="External" /><Relationship Id="rId610" Type="http://schemas.openxmlformats.org/officeDocument/2006/relationships/hyperlink" Target="https://advance.lexis.com/api/document?collection=cases-ca&amp;id=urn:contentItem:5F8T-N3V1-JF75-M3CK-00000-00&amp;context=" TargetMode="External" /><Relationship Id="rId611" Type="http://schemas.openxmlformats.org/officeDocument/2006/relationships/hyperlink" Target="https://advance.lexis.com/api/document?collection=cases-ca&amp;id=urn:contentItem:5F8T-N3T1-JJSF-233J-00000-00&amp;context=" TargetMode="External" /><Relationship Id="rId612" Type="http://schemas.openxmlformats.org/officeDocument/2006/relationships/hyperlink" Target="https://advance.lexis.com/api/document?collection=cases-ca&amp;id=urn:contentItem:5F8T-N3T1-JJSF-23DF-00000-00&amp;context=" TargetMode="External" /><Relationship Id="rId613" Type="http://schemas.openxmlformats.org/officeDocument/2006/relationships/hyperlink" Target="https://advance.lexis.com/api/document?collection=cases-ca&amp;id=urn:contentItem:5F8T-N3T1-JJSF-23KW-00000-00&amp;context=" TargetMode="External" /><Relationship Id="rId614" Type="http://schemas.openxmlformats.org/officeDocument/2006/relationships/hyperlink" Target="https://advance.lexis.com/api/document?collection=cases-ca&amp;id=urn:contentItem:5F8T-N3V1-JFKM-607J-00000-00&amp;context=" TargetMode="External" /><Relationship Id="rId615" Type="http://schemas.openxmlformats.org/officeDocument/2006/relationships/hyperlink" Target="https://advance.lexis.com/api/document?collection=cases-ca&amp;id=urn:contentItem:5F8T-N3T1-JJSF-23H0-00000-00&amp;context=" TargetMode="External" /><Relationship Id="rId616" Type="http://schemas.openxmlformats.org/officeDocument/2006/relationships/hyperlink" Target="https://advance.lexis.com/api/document?collection=cases-ca&amp;id=urn:contentItem:5F8T-N3T1-JJSF-23B7-00000-00&amp;context=" TargetMode="External" /><Relationship Id="rId617" Type="http://schemas.openxmlformats.org/officeDocument/2006/relationships/hyperlink" Target="https://advance.lexis.com/api/document?collection=cases-ca&amp;id=urn:contentItem:5F8T-N3T1-JFKM-653T-00000-00&amp;context=" TargetMode="External" /><Relationship Id="rId618" Type="http://schemas.openxmlformats.org/officeDocument/2006/relationships/hyperlink" Target="https://advance.lexis.com/api/document?collection=cases-ca&amp;id=urn:contentItem:5F8T-N3V1-JF75-M3GD-00000-00&amp;context=" TargetMode="External" /><Relationship Id="rId619" Type="http://schemas.openxmlformats.org/officeDocument/2006/relationships/hyperlink" Target="https://advance.lexis.com/api/document?collection=cases-ca&amp;id=urn:contentItem:5F8T-N3T1-JJSF-23CG-00000-00&amp;context=" TargetMode="External" /><Relationship Id="rId62" Type="http://schemas.openxmlformats.org/officeDocument/2006/relationships/header" Target="header7.xml" /><Relationship Id="rId620" Type="http://schemas.openxmlformats.org/officeDocument/2006/relationships/hyperlink" Target="https://advance.lexis.com/api/document?collection=cases-ca&amp;id=urn:contentItem:5F8T-N3T1-JJSF-23M4-00000-00&amp;context=" TargetMode="External" /><Relationship Id="rId621" Type="http://schemas.openxmlformats.org/officeDocument/2006/relationships/hyperlink" Target="https://advance.lexis.com/api/document?collection=cases-ca&amp;id=urn:contentItem:5F8T-N3T1-JJSF-23NY-00000-00&amp;context=" TargetMode="External" /><Relationship Id="rId622" Type="http://schemas.openxmlformats.org/officeDocument/2006/relationships/hyperlink" Target="https://advance.lexis.com/api/document?collection=cases-ca&amp;id=urn:contentItem:5F8T-N3T1-JFKM-6559-00000-00&amp;context=" TargetMode="External" /><Relationship Id="rId623" Type="http://schemas.openxmlformats.org/officeDocument/2006/relationships/hyperlink" Target="https://advance.lexis.com/api/document?collection=cases-ca&amp;id=urn:contentItem:5F8T-N3V1-JFKM-601C-00000-00&amp;context=" TargetMode="External" /><Relationship Id="rId624" Type="http://schemas.openxmlformats.org/officeDocument/2006/relationships/hyperlink" Target="https://advance.lexis.com/api/document?collection=cases-ca&amp;id=urn:contentItem:5F8T-N3T1-JJSF-238C-00000-00&amp;context=" TargetMode="External" /><Relationship Id="rId625" Type="http://schemas.openxmlformats.org/officeDocument/2006/relationships/hyperlink" Target="https://advance.lexis.com/api/document?collection=cases-ca&amp;id=urn:contentItem:5F8T-N3T1-JJSF-23KB-00000-00&amp;context=" TargetMode="External" /><Relationship Id="rId626" Type="http://schemas.openxmlformats.org/officeDocument/2006/relationships/hyperlink" Target="https://advance.lexis.com/api/document?collection=cases-ca&amp;id=urn:contentItem:5F8P-SCK1-JGHR-M3B4-00000-00&amp;context=" TargetMode="External" /><Relationship Id="rId627" Type="http://schemas.openxmlformats.org/officeDocument/2006/relationships/hyperlink" Target="https://advance.lexis.com/api/document?collection=cases-ca&amp;id=urn:contentItem:5F8T-N3V1-FC1F-M49F-00000-00&amp;context=" TargetMode="External" /><Relationship Id="rId628" Type="http://schemas.openxmlformats.org/officeDocument/2006/relationships/hyperlink" Target="https://advance.lexis.com/api/document?collection=cases-ca&amp;id=urn:contentItem:5F7T-S7F1-FFFC-B1NR-00000-00&amp;context=" TargetMode="External" /><Relationship Id="rId629" Type="http://schemas.openxmlformats.org/officeDocument/2006/relationships/hyperlink" Target="https://advance.lexis.com/api/document?collection=cases-ca&amp;id=urn:contentItem:5F7T-S7F1-FFFC-B1NP-00000-00&amp;context=" TargetMode="External" /><Relationship Id="rId63" Type="http://schemas.openxmlformats.org/officeDocument/2006/relationships/header" Target="header8.xml" /><Relationship Id="rId630" Type="http://schemas.openxmlformats.org/officeDocument/2006/relationships/hyperlink" Target="https://advance.lexis.com/api/document?collection=cases-ca&amp;id=urn:contentItem:5F7T-S7C1-F4NT-X41V-00000-00&amp;context=" TargetMode="External" /><Relationship Id="rId631" Type="http://schemas.openxmlformats.org/officeDocument/2006/relationships/hyperlink" Target="https://advance.lexis.com/api/document?collection=cases-ca&amp;id=urn:contentItem:5F7T-S7D1-F7ND-G0HX-00000-00&amp;context=" TargetMode="External" /><Relationship Id="rId632" Type="http://schemas.openxmlformats.org/officeDocument/2006/relationships/hyperlink" Target="https://advance.lexis.com/api/document?collection=cases-ca&amp;id=urn:contentItem:5F7T-S7K1-JWXF-214T-00000-00&amp;context=" TargetMode="External" /><Relationship Id="rId633" Type="http://schemas.openxmlformats.org/officeDocument/2006/relationships/hyperlink" Target="https://advance.lexis.com/api/document?collection=cases-ca&amp;id=urn:contentItem:5F7T-S7C1-JSRM-6172-00000-00&amp;context=" TargetMode="External" /><Relationship Id="rId634" Type="http://schemas.openxmlformats.org/officeDocument/2006/relationships/hyperlink" Target="https://advance.lexis.com/api/document?collection=cases-ca&amp;id=urn:contentItem:5F8N-K711-JN14-G2SR-00000-00&amp;context=" TargetMode="External" /><Relationship Id="rId635" Type="http://schemas.openxmlformats.org/officeDocument/2006/relationships/hyperlink" Target="https://advance.lexis.com/api/document?collection=cases-ca&amp;id=urn:contentItem:5XR8-3VS1-FJM6-61JK-00000-00&amp;context=" TargetMode="External" /><Relationship Id="rId636" Type="http://schemas.openxmlformats.org/officeDocument/2006/relationships/header" Target="header94.xml" /><Relationship Id="rId637" Type="http://schemas.openxmlformats.org/officeDocument/2006/relationships/header" Target="header95.xml" /><Relationship Id="rId638" Type="http://schemas.openxmlformats.org/officeDocument/2006/relationships/footer" Target="footer94.xml" /><Relationship Id="rId639" Type="http://schemas.openxmlformats.org/officeDocument/2006/relationships/footer" Target="footer95.xml" /><Relationship Id="rId64" Type="http://schemas.openxmlformats.org/officeDocument/2006/relationships/footer" Target="footer7.xml" /><Relationship Id="rId640" Type="http://schemas.openxmlformats.org/officeDocument/2006/relationships/header" Target="header96.xml" /><Relationship Id="rId641" Type="http://schemas.openxmlformats.org/officeDocument/2006/relationships/footer" Target="footer96.xml" /><Relationship Id="rId642" Type="http://schemas.openxmlformats.org/officeDocument/2006/relationships/hyperlink" Target="https://advance.lexis.com/api/document?collection=cases-ca&amp;id=urn:contentItem:5F7T-S7C1-JS0R-2252-00000-00&amp;context=" TargetMode="External" /><Relationship Id="rId643" Type="http://schemas.openxmlformats.org/officeDocument/2006/relationships/hyperlink" Target="https://advance.lexis.com/api/document?collection=legislation-ca&amp;id=urn:contentItem:5F41-1FG1-JJYN-B035-00000-00&amp;context=" TargetMode="External" /><Relationship Id="rId644" Type="http://schemas.openxmlformats.org/officeDocument/2006/relationships/hyperlink" Target="https://advance.lexis.com/api/document?collection=cases-ca&amp;id=urn:contentItem:5F7T-S6Y1-F4GK-M1TG-00000-00&amp;context=" TargetMode="External" /><Relationship Id="rId645" Type="http://schemas.openxmlformats.org/officeDocument/2006/relationships/hyperlink" Target="https://advance.lexis.com/api/document?collection=cases-ca&amp;id=urn:contentItem:5F7T-S701-JF75-M447-00000-00&amp;context=" TargetMode="External" /><Relationship Id="rId646" Type="http://schemas.openxmlformats.org/officeDocument/2006/relationships/hyperlink" Target="https://advance.lexis.com/api/document?collection=cases-ca&amp;id=urn:contentItem:5F7T-S741-DY89-M37K-00000-00&amp;context=" TargetMode="External" /><Relationship Id="rId647" Type="http://schemas.openxmlformats.org/officeDocument/2006/relationships/header" Target="header97.xml" /><Relationship Id="rId648" Type="http://schemas.openxmlformats.org/officeDocument/2006/relationships/header" Target="header98.xml" /><Relationship Id="rId649" Type="http://schemas.openxmlformats.org/officeDocument/2006/relationships/footer" Target="footer97.xml" /><Relationship Id="rId65" Type="http://schemas.openxmlformats.org/officeDocument/2006/relationships/footer" Target="footer8.xml" /><Relationship Id="rId650" Type="http://schemas.openxmlformats.org/officeDocument/2006/relationships/footer" Target="footer98.xml" /><Relationship Id="rId651" Type="http://schemas.openxmlformats.org/officeDocument/2006/relationships/header" Target="header99.xml" /><Relationship Id="rId652" Type="http://schemas.openxmlformats.org/officeDocument/2006/relationships/footer" Target="footer99.xml" /><Relationship Id="rId653" Type="http://schemas.openxmlformats.org/officeDocument/2006/relationships/hyperlink" Target="https://advance.lexis.com/api/document?collection=cases-ca&amp;id=urn:contentItem:5GCC-XVC1-JSRM-60N8-00000-00&amp;context=" TargetMode="External" /><Relationship Id="rId654" Type="http://schemas.openxmlformats.org/officeDocument/2006/relationships/hyperlink" Target="https://advance.lexis.com/api/document?collection=legislation-ca&amp;id=urn:contentItem:5X05-G8N1-JNJT-B4GP-00000-00&amp;context=" TargetMode="External" /><Relationship Id="rId655" Type="http://schemas.openxmlformats.org/officeDocument/2006/relationships/hyperlink" Target="https://advance.lexis.com/api/document?collection=legislation-ca&amp;id=urn:contentItem:5F41-1FM1-FCK4-G00K-00000-00&amp;context=" TargetMode="External" /><Relationship Id="rId656" Type="http://schemas.openxmlformats.org/officeDocument/2006/relationships/hyperlink" Target="https://advance.lexis.com/api/document?collection=cases-ca&amp;id=urn:contentItem:5GCC-XVB1-JGHR-M4J9-00000-00&amp;context=" TargetMode="External" /><Relationship Id="rId657" Type="http://schemas.openxmlformats.org/officeDocument/2006/relationships/hyperlink" Target="https://advance.lexis.com/api/document?collection=cases-ca&amp;id=urn:contentItem:5F8T-N3V1-FH4C-X1WR-00000-00&amp;context=" TargetMode="External" /><Relationship Id="rId658" Type="http://schemas.openxmlformats.org/officeDocument/2006/relationships/hyperlink" Target="https://advance.lexis.com/api/document?collection=cases-ca&amp;id=urn:contentItem:5F8T-N3V1-FH4C-X207-00000-00&amp;context=" TargetMode="External" /><Relationship Id="rId659" Type="http://schemas.openxmlformats.org/officeDocument/2006/relationships/hyperlink" Target="https://advance.lexis.com/api/document?collection=cases-ca&amp;id=urn:contentItem:5F7T-S7D1-FBFS-S1W5-00000-00&amp;context=" TargetMode="External" /><Relationship Id="rId66" Type="http://schemas.openxmlformats.org/officeDocument/2006/relationships/header" Target="header9.xml" /><Relationship Id="rId660" Type="http://schemas.openxmlformats.org/officeDocument/2006/relationships/hyperlink" Target="https://advance.lexis.com/api/document?collection=cases-ca&amp;id=urn:contentItem:5F7T-S7F1-FFFC-B1V0-00000-00&amp;context=" TargetMode="External" /><Relationship Id="rId661" Type="http://schemas.openxmlformats.org/officeDocument/2006/relationships/hyperlink" Target="https://advance.lexis.com/api/document?collection=cases-ca&amp;id=urn:contentItem:5F7T-S7P1-JG02-S48S-00000-00&amp;context=" TargetMode="External" /><Relationship Id="rId662" Type="http://schemas.openxmlformats.org/officeDocument/2006/relationships/hyperlink" Target="https://advance.lexis.com/api/document?collection=cases-ca&amp;id=urn:contentItem:5F7T-S7D1-JXG3-X12N-00000-00&amp;context=" TargetMode="External" /><Relationship Id="rId663" Type="http://schemas.openxmlformats.org/officeDocument/2006/relationships/hyperlink" Target="https://advance.lexis.com/api/document?collection=cases-ca&amp;id=urn:contentItem:5F8T-N3T1-JFKM-655W-00000-00&amp;context=" TargetMode="External" /><Relationship Id="rId664" Type="http://schemas.openxmlformats.org/officeDocument/2006/relationships/hyperlink" Target="https://advance.lexis.com/api/document?collection=cases-ca&amp;id=urn:contentItem:5F8T-N3V1-JFKM-6085-00000-00&amp;context=" TargetMode="External" /><Relationship Id="rId665" Type="http://schemas.openxmlformats.org/officeDocument/2006/relationships/hyperlink" Target="https://advance.lexis.com/api/document?collection=cases-ca&amp;id=urn:contentItem:5F7T-S7J1-JGBH-B2D1-00000-00&amp;context=" TargetMode="External" /><Relationship Id="rId666" Type="http://schemas.openxmlformats.org/officeDocument/2006/relationships/hyperlink" Target="https://advance.lexis.com/api/document?collection=cases-ca&amp;id=urn:contentItem:5F8T-N3V1-JF75-M3SS-00000-00&amp;context=" TargetMode="External" /><Relationship Id="rId667" Type="http://schemas.openxmlformats.org/officeDocument/2006/relationships/hyperlink" Target="https://advance.lexis.com/api/document?collection=cases-ca&amp;id=urn:contentItem:5F7T-S7K1-JX3N-B31M-00000-00&amp;context=" TargetMode="External" /><Relationship Id="rId668" Type="http://schemas.openxmlformats.org/officeDocument/2006/relationships/hyperlink" Target="https://advance.lexis.com/api/document?collection=cases-ca&amp;id=urn:contentItem:5F8T-N3V1-JTGH-B184-00000-00&amp;context=" TargetMode="External" /><Relationship Id="rId669" Type="http://schemas.openxmlformats.org/officeDocument/2006/relationships/hyperlink" Target="https://advance.lexis.com/api/document?collection=cases-ca&amp;id=urn:contentItem:5F8T-N3V1-JF75-M3B2-00000-00&amp;context=" TargetMode="External" /><Relationship Id="rId67" Type="http://schemas.openxmlformats.org/officeDocument/2006/relationships/footer" Target="footer9.xml" /><Relationship Id="rId670" Type="http://schemas.openxmlformats.org/officeDocument/2006/relationships/hyperlink" Target="https://advance.lexis.com/api/document?collection=cases-ca&amp;id=urn:contentItem:5F8T-N3V1-FC1F-M3W9-00000-00&amp;context=" TargetMode="External" /><Relationship Id="rId671" Type="http://schemas.openxmlformats.org/officeDocument/2006/relationships/hyperlink" Target="https://advance.lexis.com/api/document?collection=cases-ca&amp;id=urn:contentItem:5F8T-N3V1-FC1F-M3W8-00000-00&amp;context=" TargetMode="External" /><Relationship Id="rId672" Type="http://schemas.openxmlformats.org/officeDocument/2006/relationships/hyperlink" Target="https://advance.lexis.com/api/document?collection=cases-ca&amp;id=urn:contentItem:5F7T-S7P1-F2TK-23B7-00000-00&amp;context=" TargetMode="External" /><Relationship Id="rId673" Type="http://schemas.openxmlformats.org/officeDocument/2006/relationships/hyperlink" Target="https://advance.lexis.com/api/document?collection=cases-ca&amp;id=urn:contentItem:5F8P-SF81-F22N-X21P-00000-00&amp;context=" TargetMode="External" /><Relationship Id="rId674" Type="http://schemas.openxmlformats.org/officeDocument/2006/relationships/hyperlink" Target="https://advance.lexis.com/api/document?collection=cases-ca&amp;id=urn:contentItem:5F7T-S7F1-FFFC-B23D-00000-00&amp;context=" TargetMode="External" /><Relationship Id="rId675" Type="http://schemas.openxmlformats.org/officeDocument/2006/relationships/hyperlink" Target="https://advance.lexis.com/api/document?collection=cases-ca&amp;id=urn:contentItem:5F8T-N3V1-JF75-M3VS-00000-00&amp;context=" TargetMode="External" /><Relationship Id="rId676" Type="http://schemas.openxmlformats.org/officeDocument/2006/relationships/hyperlink" Target="https://advance.lexis.com/api/document?collection=cases-ca&amp;id=urn:contentItem:5F8T-N3V1-JF75-M3FN-00000-00&amp;context=" TargetMode="External" /><Relationship Id="rId677" Type="http://schemas.openxmlformats.org/officeDocument/2006/relationships/hyperlink" Target="https://advance.lexis.com/api/document?collection=cases-ca&amp;id=urn:contentItem:5F16-9361-K0HK-21HT-00000-00&amp;context=" TargetMode="External" /><Relationship Id="rId678" Type="http://schemas.openxmlformats.org/officeDocument/2006/relationships/hyperlink" Target="https://advance.lexis.com/api/document?collection=cases-ca&amp;id=urn:contentItem:5F82-1SF1-K054-G480-00000-00&amp;context=" TargetMode="External" /><Relationship Id="rId679" Type="http://schemas.openxmlformats.org/officeDocument/2006/relationships/hyperlink" Target="https://advance.lexis.com/api/document?collection=cases-ca&amp;id=urn:contentItem:5F7T-S7D1-JN6B-S0XD-00000-00&amp;context=" TargetMode="External" /><Relationship Id="rId68" Type="http://schemas.openxmlformats.org/officeDocument/2006/relationships/hyperlink" Target="https://advance.lexis.com/api/document?collection=cases-ca&amp;id=urn:contentItem:5F7T-S7K1-JSJC-X0P4-00000-00&amp;context=" TargetMode="External" /><Relationship Id="rId680" Type="http://schemas.openxmlformats.org/officeDocument/2006/relationships/hyperlink" Target="https://advance.lexis.com/api/document?collection=cases-ca&amp;id=urn:contentItem:5F8T-N3V1-JTGH-B192-00000-00&amp;context=" TargetMode="External" /><Relationship Id="rId681" Type="http://schemas.openxmlformats.org/officeDocument/2006/relationships/header" Target="header100.xml" /><Relationship Id="rId682" Type="http://schemas.openxmlformats.org/officeDocument/2006/relationships/header" Target="header101.xml" /><Relationship Id="rId683" Type="http://schemas.openxmlformats.org/officeDocument/2006/relationships/footer" Target="footer100.xml" /><Relationship Id="rId684" Type="http://schemas.openxmlformats.org/officeDocument/2006/relationships/footer" Target="footer101.xml" /><Relationship Id="rId685" Type="http://schemas.openxmlformats.org/officeDocument/2006/relationships/header" Target="header102.xml" /><Relationship Id="rId686" Type="http://schemas.openxmlformats.org/officeDocument/2006/relationships/footer" Target="footer102.xml" /><Relationship Id="rId687" Type="http://schemas.openxmlformats.org/officeDocument/2006/relationships/hyperlink" Target="https://advance.lexis.com/api/document?collection=cases-ca&amp;id=urn:contentItem:5JWR-WYC1-JB7K-24J4-00000-00&amp;context=" TargetMode="External" /><Relationship Id="rId688" Type="http://schemas.openxmlformats.org/officeDocument/2006/relationships/hyperlink" Target="https://advance.lexis.com/api/document?collection=cases-ca&amp;id=urn:contentItem:5F8T-N3V1-JF75-M3CB-00000-00&amp;context=" TargetMode="External" /><Relationship Id="rId689" Type="http://schemas.openxmlformats.org/officeDocument/2006/relationships/hyperlink" Target="https://advance.lexis.com/api/document?collection=cases-ca&amp;id=urn:contentItem:5F7T-S6X1-F7G6-625G-00000-00&amp;context=" TargetMode="External" /><Relationship Id="rId69" Type="http://schemas.openxmlformats.org/officeDocument/2006/relationships/hyperlink" Target="https://advance.lexis.com/api/document?collection=cases-ca&amp;id=urn:contentItem:5F7T-S711-JNY7-X2YC-00000-00&amp;context=" TargetMode="External" /><Relationship Id="rId690" Type="http://schemas.openxmlformats.org/officeDocument/2006/relationships/header" Target="header103.xml" /><Relationship Id="rId691" Type="http://schemas.openxmlformats.org/officeDocument/2006/relationships/header" Target="header104.xml" /><Relationship Id="rId692" Type="http://schemas.openxmlformats.org/officeDocument/2006/relationships/footer" Target="footer103.xml" /><Relationship Id="rId693" Type="http://schemas.openxmlformats.org/officeDocument/2006/relationships/footer" Target="footer104.xml" /><Relationship Id="rId694" Type="http://schemas.openxmlformats.org/officeDocument/2006/relationships/header" Target="header105.xml" /><Relationship Id="rId695" Type="http://schemas.openxmlformats.org/officeDocument/2006/relationships/footer" Target="footer105.xml" /><Relationship Id="rId696" Type="http://schemas.openxmlformats.org/officeDocument/2006/relationships/hyperlink" Target="https://advance.lexis.com/api/document?collection=cases-ca&amp;id=urn:contentItem:5F7T-S7H1-JFSV-G34Y-00000-00&amp;context=" TargetMode="External" /><Relationship Id="rId697" Type="http://schemas.openxmlformats.org/officeDocument/2006/relationships/hyperlink" Target="https://advance.lexis.com/api/document?collection=legislation-ca&amp;id=urn:contentItem:5F41-1FN1-JSXV-G1VN-00000-00&amp;context=" TargetMode="External" /><Relationship Id="rId698" Type="http://schemas.openxmlformats.org/officeDocument/2006/relationships/hyperlink" Target="https://advance.lexis.com/api/document?collection=cases-ca&amp;id=urn:contentItem:5F7T-S7C1-FCSB-S2BP-00000-00&amp;context=" TargetMode="External" /><Relationship Id="rId699" Type="http://schemas.openxmlformats.org/officeDocument/2006/relationships/hyperlink" Target="https://advance.lexis.com/api/document?collection=cases-ca&amp;id=urn:contentItem:5F8T-N3V1-JTGH-B14C-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J1-DXWW-24TR-00000-00&amp;context=" TargetMode="External" /><Relationship Id="rId700" Type="http://schemas.openxmlformats.org/officeDocument/2006/relationships/hyperlink" Target="https://advance.lexis.com/api/document?collection=cases-ca&amp;id=urn:contentItem:5F7T-S731-F1WF-M2DJ-00000-00&amp;context=" TargetMode="External" /><Relationship Id="rId701" Type="http://schemas.openxmlformats.org/officeDocument/2006/relationships/hyperlink" Target="https://advance.lexis.com/api/document?collection=cases-ca&amp;id=urn:contentItem:5F7T-S741-F7VM-S34P-00000-00&amp;context=" TargetMode="External" /><Relationship Id="rId702" Type="http://schemas.openxmlformats.org/officeDocument/2006/relationships/hyperlink" Target="https://advance.lexis.com/api/document?collection=cases-ca&amp;id=urn:contentItem:5F7T-S761-JX8W-M2VH-00000-00&amp;context=" TargetMode="External" /><Relationship Id="rId703" Type="http://schemas.openxmlformats.org/officeDocument/2006/relationships/hyperlink" Target="https://advance.lexis.com/api/document?collection=cases-ca&amp;id=urn:contentItem:5F7T-S761-FFMK-M0SB-00000-00&amp;context=" TargetMode="External" /><Relationship Id="rId704" Type="http://schemas.openxmlformats.org/officeDocument/2006/relationships/hyperlink" Target="https://advance.lexis.com/api/document?collection=cases-ca&amp;id=urn:contentItem:5F7T-S761-F7ND-G49R-00000-00&amp;context=" TargetMode="External" /><Relationship Id="rId705" Type="http://schemas.openxmlformats.org/officeDocument/2006/relationships/hyperlink" Target="https://advance.lexis.com/api/document?collection=cases-ca&amp;id=urn:contentItem:5F7T-S7C1-F7ND-G02F-00000-00&amp;context=" TargetMode="External" /><Relationship Id="rId706" Type="http://schemas.openxmlformats.org/officeDocument/2006/relationships/hyperlink" Target="https://advance.lexis.com/api/document?collection=cases-ca&amp;id=urn:contentItem:5F7T-S761-FFMK-M131-00000-00&amp;context=" TargetMode="External" /><Relationship Id="rId707" Type="http://schemas.openxmlformats.org/officeDocument/2006/relationships/hyperlink" Target="https://advance.lexis.com/api/document?collection=cases-ca&amp;id=urn:contentItem:5F8P-SBT1-F8KH-X2S0-00000-00&amp;context=" TargetMode="External" /><Relationship Id="rId708" Type="http://schemas.openxmlformats.org/officeDocument/2006/relationships/hyperlink" Target="https://advance.lexis.com/api/document?collection=cases-ca&amp;id=urn:contentItem:5F81-VJV1-FC6N-X2D4-00000-00&amp;context=" TargetMode="External" /><Relationship Id="rId709" Type="http://schemas.openxmlformats.org/officeDocument/2006/relationships/header" Target="header106.xml" /><Relationship Id="rId71" Type="http://schemas.openxmlformats.org/officeDocument/2006/relationships/hyperlink" Target="https://advance.lexis.com/api/document?collection=cases-ca&amp;id=urn:contentItem:5F7T-S781-F06F-2420-00000-00&amp;context=" TargetMode="External" /><Relationship Id="rId710" Type="http://schemas.openxmlformats.org/officeDocument/2006/relationships/header" Target="header107.xml" /><Relationship Id="rId711" Type="http://schemas.openxmlformats.org/officeDocument/2006/relationships/footer" Target="footer106.xml" /><Relationship Id="rId712" Type="http://schemas.openxmlformats.org/officeDocument/2006/relationships/footer" Target="footer107.xml" /><Relationship Id="rId713" Type="http://schemas.openxmlformats.org/officeDocument/2006/relationships/header" Target="header108.xml" /><Relationship Id="rId714" Type="http://schemas.openxmlformats.org/officeDocument/2006/relationships/footer" Target="footer108.xml" /><Relationship Id="rId715" Type="http://schemas.openxmlformats.org/officeDocument/2006/relationships/hyperlink" Target="https://advance.lexis.com/api/document?collection=cases-ca&amp;id=urn:contentItem:5F7T-S7N1-JC5P-G23W-00000-00&amp;context=" TargetMode="External" /><Relationship Id="rId716" Type="http://schemas.openxmlformats.org/officeDocument/2006/relationships/hyperlink" Target="https://advance.lexis.com/api/document?collection=cases-ca&amp;id=urn:contentItem:5F7T-S6T1-F2F4-G1FF-00000-00&amp;context=" TargetMode="External" /><Relationship Id="rId717" Type="http://schemas.openxmlformats.org/officeDocument/2006/relationships/hyperlink" Target="https://advance.lexis.com/api/document?collection=cases-ca&amp;id=urn:contentItem:5F7T-S7M1-JJK6-S22N-00000-00&amp;context=" TargetMode="External" /><Relationship Id="rId718" Type="http://schemas.openxmlformats.org/officeDocument/2006/relationships/hyperlink" Target="https://advance.lexis.com/api/document?collection=cases-ca&amp;id=urn:contentItem:5F7T-S6V1-F2TK-22G9-00000-00&amp;context=" TargetMode="External" /><Relationship Id="rId719" Type="http://schemas.openxmlformats.org/officeDocument/2006/relationships/hyperlink" Target="https://advance.lexis.com/api/document?collection=cases-ca&amp;id=urn:contentItem:5F7T-S6X1-K0BB-S0D3-00000-00&amp;context=" TargetMode="External" /><Relationship Id="rId72" Type="http://schemas.openxmlformats.org/officeDocument/2006/relationships/hyperlink" Target="https://advance.lexis.com/api/document?collection=cases-ca&amp;id=urn:contentItem:5F7T-S7C1-JS0R-22BK-00000-00&amp;context=" TargetMode="External" /><Relationship Id="rId720" Type="http://schemas.openxmlformats.org/officeDocument/2006/relationships/hyperlink" Target="https://advance.lexis.com/api/document?collection=cases-ca&amp;id=urn:contentItem:5F7T-S6W1-JB7K-21F4-00000-00&amp;context=" TargetMode="External" /><Relationship Id="rId721" Type="http://schemas.openxmlformats.org/officeDocument/2006/relationships/hyperlink" Target="https://advance.lexis.com/api/document?collection=cases-ca&amp;id=urn:contentItem:5F7T-S6X1-JTNR-M3X3-00000-00&amp;context=" TargetMode="External" /><Relationship Id="rId722" Type="http://schemas.openxmlformats.org/officeDocument/2006/relationships/hyperlink" Target="https://advance.lexis.com/api/document?collection=cases-ca&amp;id=urn:contentItem:5F7T-S7C1-JXG3-X05F-00000-00&amp;context=" TargetMode="External" /><Relationship Id="rId723" Type="http://schemas.openxmlformats.org/officeDocument/2006/relationships/hyperlink" Target="https://advance.lexis.com/api/document?collection=cases-ca&amp;id=urn:contentItem:5F7T-S6Y1-F4GK-M1WK-00000-00&amp;context=" TargetMode="External" /><Relationship Id="rId724" Type="http://schemas.openxmlformats.org/officeDocument/2006/relationships/hyperlink" Target="https://advance.lexis.com/api/document?collection=cases-ca&amp;id=urn:contentItem:5F7V-3DD1-FG68-G2C6-00000-00&amp;context=" TargetMode="External" /><Relationship Id="rId725" Type="http://schemas.openxmlformats.org/officeDocument/2006/relationships/hyperlink" Target="https://advance.lexis.com/api/document?collection=cases-ca&amp;id=urn:contentItem:5F8T-N3S1-JT99-24KB-00000-00&amp;context=" TargetMode="External" /><Relationship Id="rId726" Type="http://schemas.openxmlformats.org/officeDocument/2006/relationships/header" Target="header109.xml" /><Relationship Id="rId727" Type="http://schemas.openxmlformats.org/officeDocument/2006/relationships/header" Target="header110.xml" /><Relationship Id="rId728" Type="http://schemas.openxmlformats.org/officeDocument/2006/relationships/footer" Target="footer109.xml" /><Relationship Id="rId729" Type="http://schemas.openxmlformats.org/officeDocument/2006/relationships/footer" Target="footer110.xml" /><Relationship Id="rId73" Type="http://schemas.openxmlformats.org/officeDocument/2006/relationships/hyperlink" Target="https://advance.lexis.com/api/document?collection=cases-ca&amp;id=urn:contentItem:5F7T-S7D1-F7ND-G0GC-00000-00&amp;context=" TargetMode="External" /><Relationship Id="rId730" Type="http://schemas.openxmlformats.org/officeDocument/2006/relationships/header" Target="header111.xml" /><Relationship Id="rId731" Type="http://schemas.openxmlformats.org/officeDocument/2006/relationships/footer" Target="footer111.xml" /><Relationship Id="rId732" Type="http://schemas.openxmlformats.org/officeDocument/2006/relationships/hyperlink" Target="https://advance.lexis.com/api/document?collection=cases-ca&amp;id=urn:contentItem:5F7T-S7N1-F57G-S2N9-00000-00&amp;context=" TargetMode="External" /><Relationship Id="rId733" Type="http://schemas.openxmlformats.org/officeDocument/2006/relationships/hyperlink" Target="https://advance.lexis.com/api/document?collection=cases-ca&amp;id=urn:contentItem:5F7T-S7K1-JNY7-X4MJ-00000-00&amp;context=" TargetMode="External" /><Relationship Id="rId734" Type="http://schemas.openxmlformats.org/officeDocument/2006/relationships/hyperlink" Target="https://advance.lexis.com/api/document?collection=cases-ca&amp;id=urn:contentItem:5F8T-N3V1-JTGH-B1BF-00000-00&amp;context=" TargetMode="External" /><Relationship Id="rId735" Type="http://schemas.openxmlformats.org/officeDocument/2006/relationships/hyperlink" Target="https://advance.lexis.com/api/document?collection=cases-ca&amp;id=urn:contentItem:5F81-VJW1-JGPY-X4TB-00000-00&amp;context=" TargetMode="External" /><Relationship Id="rId736" Type="http://schemas.openxmlformats.org/officeDocument/2006/relationships/hyperlink" Target="https://advance.lexis.com/api/document?collection=cases-ca&amp;id=urn:contentItem:5F16-9301-JC5P-G1JC-00000-00&amp;context=" TargetMode="External" /><Relationship Id="rId737" Type="http://schemas.openxmlformats.org/officeDocument/2006/relationships/hyperlink" Target="https://advance.lexis.com/api/document?collection=cases-ca&amp;id=urn:contentItem:5F7T-S7D1-JXG3-X153-00000-00&amp;context=" TargetMode="External" /><Relationship Id="rId738" Type="http://schemas.openxmlformats.org/officeDocument/2006/relationships/hyperlink" Target="https://advance.lexis.com/api/document?collection=cases-ca&amp;id=urn:contentItem:5F7T-S761-FFMK-M0YF-00000-00&amp;context=" TargetMode="External" /><Relationship Id="rId739" Type="http://schemas.openxmlformats.org/officeDocument/2006/relationships/hyperlink" Target="https://advance.lexis.com/api/document?collection=cases-ca&amp;id=urn:contentItem:5F7F-5RH1-F873-B00C-00000-00&amp;context=" TargetMode="External" /><Relationship Id="rId74" Type="http://schemas.openxmlformats.org/officeDocument/2006/relationships/hyperlink" Target="https://advance.lexis.com/api/document?collection=cases-ca&amp;id=urn:contentItem:5F7T-S6S1-F8SS-62F2-00000-00&amp;context=" TargetMode="External" /><Relationship Id="rId740" Type="http://schemas.openxmlformats.org/officeDocument/2006/relationships/hyperlink" Target="https://advance.lexis.com/api/document?collection=cases-ca&amp;id=urn:contentItem:5F81-VJX1-JKPJ-G1DR-00000-00&amp;context=" TargetMode="External" /><Relationship Id="rId741" Type="http://schemas.openxmlformats.org/officeDocument/2006/relationships/hyperlink" Target="https://advance.lexis.com/api/document?collection=cases-ca&amp;id=urn:contentItem:5F7T-S7J1-JGBH-B26G-00000-00&amp;context=" TargetMode="External" /><Relationship Id="rId742" Type="http://schemas.openxmlformats.org/officeDocument/2006/relationships/hyperlink" Target="https://advance.lexis.com/api/document?collection=cases-ca&amp;id=urn:contentItem:5F7T-S7F1-JK4W-M1WX-00000-00&amp;context=" TargetMode="External" /><Relationship Id="rId743" Type="http://schemas.openxmlformats.org/officeDocument/2006/relationships/header" Target="header112.xml" /><Relationship Id="rId744" Type="http://schemas.openxmlformats.org/officeDocument/2006/relationships/header" Target="header113.xml" /><Relationship Id="rId745" Type="http://schemas.openxmlformats.org/officeDocument/2006/relationships/footer" Target="footer112.xml" /><Relationship Id="rId746" Type="http://schemas.openxmlformats.org/officeDocument/2006/relationships/footer" Target="footer113.xml" /><Relationship Id="rId747" Type="http://schemas.openxmlformats.org/officeDocument/2006/relationships/header" Target="header114.xml" /><Relationship Id="rId748" Type="http://schemas.openxmlformats.org/officeDocument/2006/relationships/footer" Target="footer114.xml" /><Relationship Id="rId749" Type="http://schemas.openxmlformats.org/officeDocument/2006/relationships/hyperlink" Target="https://advance.lexis.com/api/document?collection=cases-ca&amp;id=urn:contentItem:5F7T-S7M1-DYMS-6246-00000-00&amp;context=" TargetMode="External" /><Relationship Id="rId75" Type="http://schemas.openxmlformats.org/officeDocument/2006/relationships/hyperlink" Target="https://advance.lexis.com/api/document?collection=cases-ca&amp;id=urn:contentItem:5F16-9371-FJM6-62JT-00000-00&amp;context=" TargetMode="External" /><Relationship Id="rId750" Type="http://schemas.openxmlformats.org/officeDocument/2006/relationships/hyperlink" Target="https://advance.lexis.com/api/document?collection=legislation-ca&amp;id=urn:contentItem:5XM6-B1H1-DXHD-G26T-00000-00&amp;context=" TargetMode="External" /><Relationship Id="rId751" Type="http://schemas.openxmlformats.org/officeDocument/2006/relationships/hyperlink" Target="https://advance.lexis.com/api/document?collection=cases-ca&amp;id=urn:contentItem:5F8T-N3T1-JGHR-M1XV-00000-00&amp;context=" TargetMode="External" /><Relationship Id="rId752" Type="http://schemas.openxmlformats.org/officeDocument/2006/relationships/hyperlink" Target="https://advance.lexis.com/api/document?collection=cases-ca&amp;id=urn:contentItem:5F7T-S7H1-K054-G2BW-00000-00&amp;context=" TargetMode="External" /><Relationship Id="rId753" Type="http://schemas.openxmlformats.org/officeDocument/2006/relationships/hyperlink" Target="https://advance.lexis.com/api/document?collection=cases-ca&amp;id=urn:contentItem:5F7T-S781-FH4C-X372-00000-00&amp;context=" TargetMode="External" /><Relationship Id="rId754" Type="http://schemas.openxmlformats.org/officeDocument/2006/relationships/hyperlink" Target="https://advance.lexis.com/api/document?collection=cases-ca&amp;id=urn:contentItem:5F7T-S6W1-JJK6-S11N-00000-00&amp;context=" TargetMode="External" /><Relationship Id="rId755" Type="http://schemas.openxmlformats.org/officeDocument/2006/relationships/hyperlink" Target="https://advance.lexis.com/api/document?collection=cases-ca&amp;id=urn:contentItem:5F8T-N3V1-JTGH-B1H3-00000-00&amp;context=" TargetMode="External" /><Relationship Id="rId756" Type="http://schemas.openxmlformats.org/officeDocument/2006/relationships/hyperlink" Target="https://advance.lexis.com/api/document?collection=cases-ca&amp;id=urn:contentItem:5F8T-N3V1-JTGH-B111-00000-00&amp;context=" TargetMode="External" /><Relationship Id="rId757" Type="http://schemas.openxmlformats.org/officeDocument/2006/relationships/hyperlink" Target="https://advance.lexis.com/api/document?collection=cases-ca&amp;id=urn:contentItem:5F7T-S7G1-F5KY-B1C9-00000-00&amp;context=" TargetMode="External" /><Relationship Id="rId758" Type="http://schemas.openxmlformats.org/officeDocument/2006/relationships/hyperlink" Target="https://advance.lexis.com/api/document?collection=cases-ca&amp;id=urn:contentItem:5F7T-S7J1-JYYX-62HW-00000-00&amp;context=" TargetMode="External" /><Relationship Id="rId759" Type="http://schemas.openxmlformats.org/officeDocument/2006/relationships/hyperlink" Target="https://advance.lexis.com/api/document?collection=cases-ca&amp;id=urn:contentItem:5F7T-S6X1-F7G6-628D-00000-00&amp;context=" TargetMode="External" /><Relationship Id="rId76" Type="http://schemas.openxmlformats.org/officeDocument/2006/relationships/hyperlink" Target="https://advance.lexis.com/api/document?collection=cases-ca&amp;id=urn:contentItem:5F7T-S6T1-JT99-20VX-00000-00&amp;context=" TargetMode="External" /><Relationship Id="rId760" Type="http://schemas.openxmlformats.org/officeDocument/2006/relationships/hyperlink" Target="https://advance.lexis.com/api/document?collection=cases-ca&amp;id=urn:contentItem:5F7T-S6T1-F8KH-X0TK-00000-00&amp;context=" TargetMode="External" /><Relationship Id="rId761" Type="http://schemas.openxmlformats.org/officeDocument/2006/relationships/hyperlink" Target="https://advance.lexis.com/api/document?collection=cases-ca&amp;id=urn:contentItem:5F7T-S7C1-JS0R-22G1-00000-00&amp;context=" TargetMode="External" /><Relationship Id="rId762" Type="http://schemas.openxmlformats.org/officeDocument/2006/relationships/hyperlink" Target="https://advance.lexis.com/api/document?collection=cases-ca&amp;id=urn:contentItem:5F7T-S771-F2TK-22P1-00000-00&amp;context=" TargetMode="External" /><Relationship Id="rId763" Type="http://schemas.openxmlformats.org/officeDocument/2006/relationships/hyperlink" Target="https://advance.lexis.com/api/document?collection=cases-ca&amp;id=urn:contentItem:5F8T-N3V1-JFKM-6052-00000-00&amp;context=" TargetMode="External" /><Relationship Id="rId764" Type="http://schemas.openxmlformats.org/officeDocument/2006/relationships/hyperlink" Target="https://advance.lexis.com/api/document?collection=cases-ca&amp;id=urn:contentItem:5F7T-S7J1-DXWW-24PV-00000-00&amp;context=" TargetMode="External" /><Relationship Id="rId765" Type="http://schemas.openxmlformats.org/officeDocument/2006/relationships/hyperlink" Target="https://advance.lexis.com/api/document?collection=cases-ca&amp;id=urn:contentItem:5F7T-S6W1-F7ND-G2H1-00000-00&amp;context=" TargetMode="External" /><Relationship Id="rId766" Type="http://schemas.openxmlformats.org/officeDocument/2006/relationships/hyperlink" Target="https://advance.lexis.com/api/document?collection=cases-ca&amp;id=urn:contentItem:5F8T-N3P1-JYYX-60S9-00000-00&amp;context=" TargetMode="External" /><Relationship Id="rId767" Type="http://schemas.openxmlformats.org/officeDocument/2006/relationships/header" Target="header115.xml" /><Relationship Id="rId768" Type="http://schemas.openxmlformats.org/officeDocument/2006/relationships/header" Target="header116.xml" /><Relationship Id="rId769" Type="http://schemas.openxmlformats.org/officeDocument/2006/relationships/footer" Target="footer115.xml" /><Relationship Id="rId77" Type="http://schemas.openxmlformats.org/officeDocument/2006/relationships/hyperlink" Target="https://advance.lexis.com/api/document?collection=cases-ca&amp;id=urn:contentItem:5F7T-S7F1-JX3N-B19D-00000-00&amp;context=" TargetMode="External" /><Relationship Id="rId770" Type="http://schemas.openxmlformats.org/officeDocument/2006/relationships/footer" Target="footer116.xml" /><Relationship Id="rId771" Type="http://schemas.openxmlformats.org/officeDocument/2006/relationships/header" Target="header117.xml" /><Relationship Id="rId772" Type="http://schemas.openxmlformats.org/officeDocument/2006/relationships/footer" Target="footer117.xml" /><Relationship Id="rId773" Type="http://schemas.openxmlformats.org/officeDocument/2006/relationships/hyperlink" Target="https://advance.lexis.com/api/document?collection=cases-ca&amp;id=urn:contentItem:5F7T-S7C1-FCSB-S2J1-00000-00&amp;context=" TargetMode="External" /><Relationship Id="rId774" Type="http://schemas.openxmlformats.org/officeDocument/2006/relationships/hyperlink" Target="https://advance.lexis.com/api/document?collection=cases-ca&amp;id=urn:contentItem:5F7T-S701-JGPY-X1F6-00000-00&amp;context=" TargetMode="External" /><Relationship Id="rId775" Type="http://schemas.openxmlformats.org/officeDocument/2006/relationships/hyperlink" Target="https://advance.lexis.com/api/document?collection=cases-ca&amp;id=urn:contentItem:5F7T-S721-JSC5-M3PJ-00000-00&amp;context=" TargetMode="External" /><Relationship Id="rId776" Type="http://schemas.openxmlformats.org/officeDocument/2006/relationships/hyperlink" Target="https://advance.lexis.com/api/document?collection=cases-ca&amp;id=urn:contentItem:5F7T-S7H1-JFKM-62NF-00000-00&amp;context=" TargetMode="External" /><Relationship Id="rId777" Type="http://schemas.openxmlformats.org/officeDocument/2006/relationships/hyperlink" Target="https://advance.lexis.com/api/document?collection=cases-ca&amp;id=urn:contentItem:5F8T-N3R1-JJSF-22HJ-00000-00&amp;context=" TargetMode="External" /><Relationship Id="rId778" Type="http://schemas.openxmlformats.org/officeDocument/2006/relationships/hyperlink" Target="https://advance.lexis.com/api/document?collection=cases-ca&amp;id=urn:contentItem:5F8T-N3V1-JF75-M3DT-00000-00&amp;context=" TargetMode="External" /><Relationship Id="rId779" Type="http://schemas.openxmlformats.org/officeDocument/2006/relationships/header" Target="header118.xml" /><Relationship Id="rId78" Type="http://schemas.openxmlformats.org/officeDocument/2006/relationships/hyperlink" Target="https://advance.lexis.com/api/document?collection=cases-ca&amp;id=urn:contentItem:5F7T-S7C1-F4NT-X44P-00000-00&amp;context=" TargetMode="External" /><Relationship Id="rId780" Type="http://schemas.openxmlformats.org/officeDocument/2006/relationships/header" Target="header119.xml" /><Relationship Id="rId781" Type="http://schemas.openxmlformats.org/officeDocument/2006/relationships/footer" Target="footer118.xml" /><Relationship Id="rId782" Type="http://schemas.openxmlformats.org/officeDocument/2006/relationships/footer" Target="footer119.xml" /><Relationship Id="rId783" Type="http://schemas.openxmlformats.org/officeDocument/2006/relationships/header" Target="header120.xml" /><Relationship Id="rId784" Type="http://schemas.openxmlformats.org/officeDocument/2006/relationships/footer" Target="footer120.xml" /><Relationship Id="rId785" Type="http://schemas.openxmlformats.org/officeDocument/2006/relationships/hyperlink" Target="https://advance.lexis.com/api/document?collection=cases-ca&amp;id=urn:contentItem:5JY7-RCM1-DXHD-G2SM-00000-00&amp;context=" TargetMode="External" /><Relationship Id="rId786" Type="http://schemas.openxmlformats.org/officeDocument/2006/relationships/hyperlink" Target="https://advance.lexis.com/api/document?collection=cases-ca&amp;id=urn:contentItem:5HHT-8531-JCRC-B110-00000-00&amp;context=" TargetMode="External" /><Relationship Id="rId787" Type="http://schemas.openxmlformats.org/officeDocument/2006/relationships/hyperlink" Target="https://advance.lexis.com/api/document?collection=cases-ca&amp;id=urn:contentItem:5F7T-S7M1-JCRC-B1F5-00000-00&amp;context=" TargetMode="External" /><Relationship Id="rId788" Type="http://schemas.openxmlformats.org/officeDocument/2006/relationships/hyperlink" Target="https://advance.lexis.com/api/document?collection=cases-ca&amp;id=urn:contentItem:5F7T-S7M1-JCRC-B1F6-00000-00&amp;context=" TargetMode="External" /><Relationship Id="rId789" Type="http://schemas.openxmlformats.org/officeDocument/2006/relationships/hyperlink" Target="https://advance.lexis.com/api/document?collection=cases-ca&amp;id=urn:contentItem:5F7T-S7N1-DXWW-209S-00000-00&amp;context=" TargetMode="External" /><Relationship Id="rId79" Type="http://schemas.openxmlformats.org/officeDocument/2006/relationships/hyperlink" Target="https://advance.lexis.com/api/document?collection=cases-ca&amp;id=urn:contentItem:5F8T-N3V1-FC1F-M4BC-00000-00&amp;context=" TargetMode="External" /><Relationship Id="rId790" Type="http://schemas.openxmlformats.org/officeDocument/2006/relationships/hyperlink" Target="https://advance.lexis.com/api/document?collection=cases-ca&amp;id=urn:contentItem:5J11-G3N1-DXHD-G416-00000-00&amp;context=" TargetMode="External" /><Relationship Id="rId791" Type="http://schemas.openxmlformats.org/officeDocument/2006/relationships/hyperlink" Target="https://advance.lexis.com/api/document?collection=cases-ca&amp;id=urn:contentItem:5GCC-XVB1-JGHR-M4F7-00000-00&amp;context=" TargetMode="External" /><Relationship Id="rId792" Type="http://schemas.openxmlformats.org/officeDocument/2006/relationships/hyperlink" Target="https://advance.lexis.com/api/document?collection=cases-ca&amp;id=urn:contentItem:5J2H-84K1-FBN1-20WB-00000-00&amp;context=" TargetMode="External" /><Relationship Id="rId793" Type="http://schemas.openxmlformats.org/officeDocument/2006/relationships/hyperlink" Target="https://advance.lexis.com/api/document?collection=cases-ca&amp;id=urn:contentItem:5F7T-S7P1-JCRC-B24V-00000-00&amp;context=" TargetMode="External" /><Relationship Id="rId794" Type="http://schemas.openxmlformats.org/officeDocument/2006/relationships/hyperlink" Target="https://advance.lexis.com/api/document?collection=cases-ca&amp;id=urn:contentItem:5F7T-S7M1-JNCK-22HM-00000-00&amp;context=" TargetMode="External" /><Relationship Id="rId795" Type="http://schemas.openxmlformats.org/officeDocument/2006/relationships/hyperlink" Target="https://advance.lexis.com/api/document?collection=cases-ca&amp;id=urn:contentItem:5FX0-KKR1-JCBX-S2K8-00000-00&amp;context=" TargetMode="External" /><Relationship Id="rId796" Type="http://schemas.openxmlformats.org/officeDocument/2006/relationships/hyperlink" Target="https://advance.lexis.com/api/document?collection=cases-ca&amp;id=urn:contentItem:5F7T-S7N1-DXWW-2062-00000-00&amp;context=" TargetMode="External" /><Relationship Id="rId797" Type="http://schemas.openxmlformats.org/officeDocument/2006/relationships/hyperlink" Target="https://advance.lexis.com/api/document?collection=cases-ca&amp;id=urn:contentItem:5F7T-S7P1-JSJC-X1DV-00000-00&amp;context=" TargetMode="External" /><Relationship Id="rId798" Type="http://schemas.openxmlformats.org/officeDocument/2006/relationships/hyperlink" Target="https://advance.lexis.com/api/document?collection=cases-ca&amp;id=urn:contentItem:5F7T-S7K1-F528-G2V7-00000-00&amp;context=" TargetMode="External" /><Relationship Id="rId799" Type="http://schemas.openxmlformats.org/officeDocument/2006/relationships/hyperlink" Target="https://advance.lexis.com/api/document?collection=cases-ca&amp;id=urn:contentItem:5GM0-J411-JJYN-B3XY-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T1-FJTD-G1NW-00000-00&amp;context=" TargetMode="External" /><Relationship Id="rId800" Type="http://schemas.openxmlformats.org/officeDocument/2006/relationships/hyperlink" Target="https://advance.lexis.com/api/document?collection=cases-ca&amp;id=urn:contentItem:5F7T-S7M1-JCRC-B1MY-00000-00&amp;context=" TargetMode="External" /><Relationship Id="rId801" Type="http://schemas.openxmlformats.org/officeDocument/2006/relationships/hyperlink" Target="https://advance.lexis.com/api/document?collection=cases-ca&amp;id=urn:contentItem:5GCC-XVC1-JSRM-60TF-00000-00&amp;context=" TargetMode="External" /><Relationship Id="rId802" Type="http://schemas.openxmlformats.org/officeDocument/2006/relationships/hyperlink" Target="https://advance.lexis.com/api/document?collection=cases-ca&amp;id=urn:contentItem:5F7T-S7M1-JJK6-S1S3-00000-00&amp;context=" TargetMode="External" /><Relationship Id="rId803" Type="http://schemas.openxmlformats.org/officeDocument/2006/relationships/header" Target="header121.xml" /><Relationship Id="rId804" Type="http://schemas.openxmlformats.org/officeDocument/2006/relationships/header" Target="header122.xml" /><Relationship Id="rId805" Type="http://schemas.openxmlformats.org/officeDocument/2006/relationships/footer" Target="footer121.xml" /><Relationship Id="rId806" Type="http://schemas.openxmlformats.org/officeDocument/2006/relationships/footer" Target="footer122.xml" /><Relationship Id="rId807" Type="http://schemas.openxmlformats.org/officeDocument/2006/relationships/header" Target="header123.xml" /><Relationship Id="rId808" Type="http://schemas.openxmlformats.org/officeDocument/2006/relationships/footer" Target="footer123.xml" /><Relationship Id="rId809" Type="http://schemas.openxmlformats.org/officeDocument/2006/relationships/hyperlink" Target="https://advance.lexis.com/api/document?collection=cases-ca&amp;id=urn:contentItem:5F7T-S7H1-F4GK-M378-00000-00&amp;context=" TargetMode="External" /><Relationship Id="rId81" Type="http://schemas.openxmlformats.org/officeDocument/2006/relationships/hyperlink" Target="https://advance.lexis.com/api/document?collection=cases-ca&amp;id=urn:contentItem:5F7T-S721-F4NT-X2JV-00000-00&amp;context=" TargetMode="External" /><Relationship Id="rId810" Type="http://schemas.openxmlformats.org/officeDocument/2006/relationships/hyperlink" Target="https://advance.lexis.com/api/document?collection=cases-ca&amp;id=urn:contentItem:5F8T-N3P1-FBV7-B54V-00000-00&amp;context=" TargetMode="External" /><Relationship Id="rId811" Type="http://schemas.openxmlformats.org/officeDocument/2006/relationships/hyperlink" Target="https://advance.lexis.com/api/document?collection=cases-ca&amp;id=urn:contentItem:5F8P-SC81-JSXV-G3K5-00000-00&amp;context=" TargetMode="External" /><Relationship Id="rId812" Type="http://schemas.openxmlformats.org/officeDocument/2006/relationships/hyperlink" Target="https://advance.lexis.com/api/document?collection=cases-ca&amp;id=urn:contentItem:5F81-YH41-JX8W-M04J-00000-00&amp;context=" TargetMode="External" /><Relationship Id="rId813" Type="http://schemas.openxmlformats.org/officeDocument/2006/relationships/hyperlink" Target="https://advance.lexis.com/api/document?collection=cases-ca&amp;id=urn:contentItem:5F7T-S7C1-FCSB-S209-00000-00&amp;context=" TargetMode="External" /><Relationship Id="rId814" Type="http://schemas.openxmlformats.org/officeDocument/2006/relationships/hyperlink" Target="https://advance.lexis.com/api/document?collection=cases-ca&amp;id=urn:contentItem:5F7T-S771-JSJC-X07J-00000-00&amp;context=" TargetMode="External" /><Relationship Id="rId815" Type="http://schemas.openxmlformats.org/officeDocument/2006/relationships/hyperlink" Target="https://advance.lexis.com/api/document?collection=cases-ca&amp;id=urn:contentItem:5F8T-N3V1-JFKM-609G-00000-00&amp;context=" TargetMode="External" /><Relationship Id="rId816" Type="http://schemas.openxmlformats.org/officeDocument/2006/relationships/hyperlink" Target="https://advance.lexis.com/api/document?collection=cases-ca&amp;id=urn:contentItem:5F7T-S6X1-K0BB-S0MB-00000-00&amp;context=" TargetMode="External" /><Relationship Id="rId817" Type="http://schemas.openxmlformats.org/officeDocument/2006/relationships/hyperlink" Target="https://advance.lexis.com/api/document?collection=cases-ca&amp;id=urn:contentItem:5F81-VJT1-FD4T-B27S-00000-00&amp;context=" TargetMode="External" /><Relationship Id="rId818" Type="http://schemas.openxmlformats.org/officeDocument/2006/relationships/hyperlink" Target="https://advance.lexis.com/api/document?collection=cases-ca&amp;id=urn:contentItem:5F8T-N3R1-JNS1-M182-00000-00&amp;context=" TargetMode="External" /><Relationship Id="rId819" Type="http://schemas.openxmlformats.org/officeDocument/2006/relationships/hyperlink" Target="https://advance.lexis.com/api/document?collection=cases-ca&amp;id=urn:contentItem:5F7T-S7H1-JG02-S3SS-00000-00&amp;context=" TargetMode="External" /><Relationship Id="rId82" Type="http://schemas.openxmlformats.org/officeDocument/2006/relationships/hyperlink" Target="https://advance.lexis.com/api/document?collection=cases-ca&amp;id=urn:contentItem:5F7T-S741-DY89-M3DD-00000-00&amp;context=" TargetMode="External" /><Relationship Id="rId820" Type="http://schemas.openxmlformats.org/officeDocument/2006/relationships/hyperlink" Target="https://advance.lexis.com/api/document?collection=cases-ca&amp;id=urn:contentItem:5F7T-S6S1-JNY7-X1RC-00000-00&amp;context=" TargetMode="External" /><Relationship Id="rId821" Type="http://schemas.openxmlformats.org/officeDocument/2006/relationships/hyperlink" Target="https://advance.lexis.com/api/document?collection=cases-ca&amp;id=urn:contentItem:5F7T-S7H1-JFKM-62MN-00000-00&amp;context=" TargetMode="External" /><Relationship Id="rId822" Type="http://schemas.openxmlformats.org/officeDocument/2006/relationships/hyperlink" Target="https://advance.lexis.com/api/document?collection=cases-ca&amp;id=urn:contentItem:5F81-VJS1-FFFC-B2TN-00000-00&amp;context=" TargetMode="External" /><Relationship Id="rId823" Type="http://schemas.openxmlformats.org/officeDocument/2006/relationships/hyperlink" Target="https://advance.lexis.com/api/document?collection=cases-ca&amp;id=urn:contentItem:5F7T-S6T1-JT99-2173-00000-00&amp;context=" TargetMode="External" /><Relationship Id="rId824" Type="http://schemas.openxmlformats.org/officeDocument/2006/relationships/hyperlink" Target="https://advance.lexis.com/api/document?collection=cases-ca&amp;id=urn:contentItem:5F7V-3DF1-JWR6-S3B2-00000-00&amp;context=" TargetMode="External" /><Relationship Id="rId825" Type="http://schemas.openxmlformats.org/officeDocument/2006/relationships/hyperlink" Target="https://advance.lexis.com/api/document?collection=cases-ca&amp;id=urn:contentItem:5F8T-N3P1-F7ND-G1H1-00000-00&amp;context=" TargetMode="External" /><Relationship Id="rId826" Type="http://schemas.openxmlformats.org/officeDocument/2006/relationships/hyperlink" Target="https://advance.lexis.com/api/document?collection=cases-ca&amp;id=urn:contentItem:5F7T-S6T1-JT99-20WD-00000-00&amp;context=" TargetMode="External" /><Relationship Id="rId827" Type="http://schemas.openxmlformats.org/officeDocument/2006/relationships/hyperlink" Target="https://advance.lexis.com/api/document?collection=cases-ca&amp;id=urn:contentItem:5F7T-S761-F7ND-G46S-00000-00&amp;context=" TargetMode="External" /><Relationship Id="rId828" Type="http://schemas.openxmlformats.org/officeDocument/2006/relationships/hyperlink" Target="https://advance.lexis.com/api/document?collection=cases-ca&amp;id=urn:contentItem:5F7T-S7G1-JN6B-S1HR-00000-00&amp;context=" TargetMode="External" /><Relationship Id="rId829" Type="http://schemas.openxmlformats.org/officeDocument/2006/relationships/hyperlink" Target="https://advance.lexis.com/api/document?collection=cases-ca&amp;id=urn:contentItem:5F8T-N3V1-FC1F-M40G-00000-00&amp;context=" TargetMode="External" /><Relationship Id="rId83" Type="http://schemas.openxmlformats.org/officeDocument/2006/relationships/hyperlink" Target="https://advance.lexis.com/api/document?collection=cases-ca&amp;id=urn:contentItem:5F7T-S7C1-JXG3-X04N-00000-00&amp;context=" TargetMode="External" /><Relationship Id="rId830" Type="http://schemas.openxmlformats.org/officeDocument/2006/relationships/hyperlink" Target="https://advance.lexis.com/api/document?collection=cases-ca&amp;id=urn:contentItem:5F7T-S751-F361-M0SN-00000-00&amp;context=" TargetMode="External" /><Relationship Id="rId831" Type="http://schemas.openxmlformats.org/officeDocument/2006/relationships/hyperlink" Target="https://advance.lexis.com/api/document?collection=cases-ca&amp;id=urn:contentItem:5F7T-S7F1-DXWW-246H-00000-00&amp;context=" TargetMode="External" /><Relationship Id="rId832" Type="http://schemas.openxmlformats.org/officeDocument/2006/relationships/hyperlink" Target="https://advance.lexis.com/api/document?collection=cases-ca&amp;id=urn:contentItem:5F81-VJV1-JG59-22CC-00000-00&amp;context=" TargetMode="External" /><Relationship Id="rId833" Type="http://schemas.openxmlformats.org/officeDocument/2006/relationships/hyperlink" Target="https://advance.lexis.com/api/document?collection=cases-ca&amp;id=urn:contentItem:5F7T-S7G1-FCYK-206N-00000-00&amp;context=" TargetMode="External" /><Relationship Id="rId834" Type="http://schemas.openxmlformats.org/officeDocument/2006/relationships/hyperlink" Target="https://advance.lexis.com/api/document?collection=cases-ca&amp;id=urn:contentItem:5F7T-S6X1-FJDY-X1J8-00000-00&amp;context=" TargetMode="External" /><Relationship Id="rId835" Type="http://schemas.openxmlformats.org/officeDocument/2006/relationships/hyperlink" Target="https://advance.lexis.com/api/document?collection=cases-ca&amp;id=urn:contentItem:5F8P-SCW1-F1WF-M0HN-00000-00&amp;context=" TargetMode="External" /><Relationship Id="rId836" Type="http://schemas.openxmlformats.org/officeDocument/2006/relationships/header" Target="header124.xml" /><Relationship Id="rId837" Type="http://schemas.openxmlformats.org/officeDocument/2006/relationships/header" Target="header125.xml" /><Relationship Id="rId838" Type="http://schemas.openxmlformats.org/officeDocument/2006/relationships/footer" Target="footer124.xml" /><Relationship Id="rId839" Type="http://schemas.openxmlformats.org/officeDocument/2006/relationships/footer" Target="footer125.xml" /><Relationship Id="rId84" Type="http://schemas.openxmlformats.org/officeDocument/2006/relationships/hyperlink" Target="https://advance.lexis.com/api/document?collection=cases-ca&amp;id=urn:contentItem:5F16-9371-FJM6-62N2-00000-00&amp;context=" TargetMode="External" /><Relationship Id="rId840" Type="http://schemas.openxmlformats.org/officeDocument/2006/relationships/header" Target="header126.xml" /><Relationship Id="rId841" Type="http://schemas.openxmlformats.org/officeDocument/2006/relationships/footer" Target="footer126.xml" /><Relationship Id="rId842" Type="http://schemas.openxmlformats.org/officeDocument/2006/relationships/hyperlink" Target="https://advance.lexis.com/api/document?collection=cases-ca&amp;id=urn:contentItem:5F7T-S7G1-F5KY-B1SF-00000-00&amp;context=" TargetMode="External" /><Relationship Id="rId843" Type="http://schemas.openxmlformats.org/officeDocument/2006/relationships/hyperlink" Target="https://advance.lexis.com/api/document?collection=cases-ca&amp;id=urn:contentItem:5F7T-S7C1-JCJ5-20VT-00000-00&amp;context=" TargetMode="External" /><Relationship Id="rId844" Type="http://schemas.openxmlformats.org/officeDocument/2006/relationships/hyperlink" Target="https://advance.lexis.com/api/document?collection=cases-ca&amp;id=urn:contentItem:5F7T-S7D1-FC6N-X0YM-00000-00&amp;context=" TargetMode="External" /><Relationship Id="rId845" Type="http://schemas.openxmlformats.org/officeDocument/2006/relationships/hyperlink" Target="https://advance.lexis.com/api/document?collection=cases-ca&amp;id=urn:contentItem:5F7T-S711-F5KY-B10P-00000-00&amp;context=" TargetMode="External" /><Relationship Id="rId846" Type="http://schemas.openxmlformats.org/officeDocument/2006/relationships/hyperlink" Target="https://advance.lexis.com/api/document?collection=cases-ca&amp;id=urn:contentItem:5F7T-S771-F81W-22N3-00000-00&amp;context=" TargetMode="External" /><Relationship Id="rId847" Type="http://schemas.openxmlformats.org/officeDocument/2006/relationships/header" Target="header127.xml" /><Relationship Id="rId848" Type="http://schemas.openxmlformats.org/officeDocument/2006/relationships/header" Target="header128.xml" /><Relationship Id="rId849" Type="http://schemas.openxmlformats.org/officeDocument/2006/relationships/footer" Target="footer127.xml" /><Relationship Id="rId85" Type="http://schemas.openxmlformats.org/officeDocument/2006/relationships/hyperlink" Target="https://advance.lexis.com/api/document?collection=cases-ca&amp;id=urn:contentItem:5F16-9371-JBT7-X1WT-00000-00&amp;context=" TargetMode="External" /><Relationship Id="rId850" Type="http://schemas.openxmlformats.org/officeDocument/2006/relationships/footer" Target="footer128.xml" /><Relationship Id="rId851" Type="http://schemas.openxmlformats.org/officeDocument/2006/relationships/header" Target="header129.xml" /><Relationship Id="rId852" Type="http://schemas.openxmlformats.org/officeDocument/2006/relationships/footer" Target="footer129.xml" /><Relationship Id="rId853" Type="http://schemas.openxmlformats.org/officeDocument/2006/relationships/hyperlink" Target="https://advance.lexis.com/api/document?collection=cases-ca&amp;id=urn:contentItem:5F7T-S7D1-JXG3-X0TD-00000-00&amp;context=" TargetMode="External" /><Relationship Id="rId854" Type="http://schemas.openxmlformats.org/officeDocument/2006/relationships/hyperlink" Target="https://advance.lexis.com/api/document?collection=cases-ca&amp;id=urn:contentItem:5F7T-S771-F361-M1S8-00000-00&amp;context=" TargetMode="External" /><Relationship Id="rId855" Type="http://schemas.openxmlformats.org/officeDocument/2006/relationships/hyperlink" Target="https://advance.lexis.com/api/document?collection=cases-ca&amp;id=urn:contentItem:5F7T-S781-F06F-23V2-00000-00&amp;context=" TargetMode="External" /><Relationship Id="rId856" Type="http://schemas.openxmlformats.org/officeDocument/2006/relationships/header" Target="header130.xml" /><Relationship Id="rId857" Type="http://schemas.openxmlformats.org/officeDocument/2006/relationships/header" Target="header131.xml" /><Relationship Id="rId858" Type="http://schemas.openxmlformats.org/officeDocument/2006/relationships/footer" Target="footer130.xml" /><Relationship Id="rId859" Type="http://schemas.openxmlformats.org/officeDocument/2006/relationships/footer" Target="footer131.xml" /><Relationship Id="rId86" Type="http://schemas.openxmlformats.org/officeDocument/2006/relationships/hyperlink" Target="https://advance.lexis.com/api/document?collection=cases-ca&amp;id=urn:contentItem:5F16-9371-FJM6-62RV-00000-00&amp;context=" TargetMode="External" /><Relationship Id="rId860" Type="http://schemas.openxmlformats.org/officeDocument/2006/relationships/header" Target="header132.xml" /><Relationship Id="rId861" Type="http://schemas.openxmlformats.org/officeDocument/2006/relationships/footer" Target="footer132.xml" /><Relationship Id="rId862" Type="http://schemas.openxmlformats.org/officeDocument/2006/relationships/hyperlink" Target="https://advance.lexis.com/api/document?collection=cases-ca&amp;id=urn:contentItem:5G4S-FF61-K0HK-24SM-00000-00&amp;context=" TargetMode="External" /><Relationship Id="rId863" Type="http://schemas.openxmlformats.org/officeDocument/2006/relationships/hyperlink" Target="https://advance.lexis.com/api/document?collection=legislation-ca&amp;id=urn:contentItem:5F41-1FJ1-JG59-2141-00000-00&amp;context=" TargetMode="External" /><Relationship Id="rId864" Type="http://schemas.openxmlformats.org/officeDocument/2006/relationships/hyperlink" Target="https://advance.lexis.com/api/document?collection=cases-ca&amp;id=urn:contentItem:5F7T-S761-JS5Y-B1BS-00000-00&amp;context=" TargetMode="External" /><Relationship Id="rId865" Type="http://schemas.openxmlformats.org/officeDocument/2006/relationships/hyperlink" Target="https://advance.lexis.com/api/document?collection=cases-ca&amp;id=urn:contentItem:5GCC-XVC1-F900-G4KY-00000-00&amp;context=" TargetMode="External" /><Relationship Id="rId866" Type="http://schemas.openxmlformats.org/officeDocument/2006/relationships/hyperlink" Target="https://advance.lexis.com/api/document?collection=cases-ca&amp;id=urn:contentItem:5G3H-VVF1-JSRM-62NJ-00000-00&amp;context=" TargetMode="External" /><Relationship Id="rId867" Type="http://schemas.openxmlformats.org/officeDocument/2006/relationships/hyperlink" Target="https://advance.lexis.com/api/document?collection=cases-ca&amp;id=urn:contentItem:5F7T-S781-F27X-61K0-00000-00&amp;context=" TargetMode="External" /><Relationship Id="rId868" Type="http://schemas.openxmlformats.org/officeDocument/2006/relationships/hyperlink" Target="https://advance.lexis.com/api/document?collection=cases-ca&amp;id=urn:contentItem:5F7T-S7B1-JSRM-6021-00000-00&amp;context=" TargetMode="External" /><Relationship Id="rId869" Type="http://schemas.openxmlformats.org/officeDocument/2006/relationships/hyperlink" Target="https://advance.lexis.com/api/document?collection=cases-ca&amp;id=urn:contentItem:5F7T-S6S1-JX8W-M2C5-00000-00&amp;context=" TargetMode="External" /><Relationship Id="rId87" Type="http://schemas.openxmlformats.org/officeDocument/2006/relationships/hyperlink" Target="https://advance.lexis.com/api/document?collection=cases-ca&amp;id=urn:contentItem:5F16-9371-JKHB-630C-00000-00&amp;context=" TargetMode="External" /><Relationship Id="rId870" Type="http://schemas.openxmlformats.org/officeDocument/2006/relationships/hyperlink" Target="https://advance.lexis.com/api/document?collection=cases-ca&amp;id=urn:contentItem:5F7T-S6S1-JX3N-B08V-00000-00&amp;context=" TargetMode="External" /><Relationship Id="rId871" Type="http://schemas.openxmlformats.org/officeDocument/2006/relationships/hyperlink" Target="https://advance.lexis.com/api/document?collection=cases-ca&amp;id=urn:contentItem:5F7T-S781-JC5P-G1MC-00000-00&amp;context=" TargetMode="External" /><Relationship Id="rId872" Type="http://schemas.openxmlformats.org/officeDocument/2006/relationships/hyperlink" Target="https://advance.lexis.com/api/document?collection=cases-ca&amp;id=urn:contentItem:5F7T-S7C1-JCJ5-20JD-00000-00&amp;context=" TargetMode="External" /><Relationship Id="rId873" Type="http://schemas.openxmlformats.org/officeDocument/2006/relationships/hyperlink" Target="https://advance.lexis.com/api/document?collection=cases-ca&amp;id=urn:contentItem:5F7T-S771-F361-M1H3-00000-00&amp;context=" TargetMode="External" /><Relationship Id="rId874" Type="http://schemas.openxmlformats.org/officeDocument/2006/relationships/hyperlink" Target="https://advance.lexis.com/api/document?collection=analytical-materials-ca&amp;id=urn:contentItem:5XW3-KPG1-JGHR-M275-00000-00&amp;context=" TargetMode="External" /><Relationship Id="rId875" Type="http://schemas.openxmlformats.org/officeDocument/2006/relationships/hyperlink" Target="https://advance.lexis.com/api/document?collection=cases-ca&amp;id=urn:contentItem:5F81-YH41-JX8W-M032-00000-00&amp;context=" TargetMode="External" /><Relationship Id="rId876" Type="http://schemas.openxmlformats.org/officeDocument/2006/relationships/hyperlink" Target="https://advance.lexis.com/api/document?collection=cases-ca&amp;id=urn:contentItem:5F7T-S7J1-FGCG-S094-00000-00&amp;context=" TargetMode="External" /><Relationship Id="rId877" Type="http://schemas.openxmlformats.org/officeDocument/2006/relationships/hyperlink" Target="https://advance.lexis.com/api/document?collection=cases-ca&amp;id=urn:contentItem:5F16-9341-JJD0-G13P-00000-00&amp;context=" TargetMode="External" /><Relationship Id="rId878" Type="http://schemas.openxmlformats.org/officeDocument/2006/relationships/hyperlink" Target="https://advance.lexis.com/api/document?collection=cases-ca&amp;id=urn:contentItem:5F16-9361-JYYX-637Y-00000-00&amp;context=" TargetMode="External" /><Relationship Id="rId879" Type="http://schemas.openxmlformats.org/officeDocument/2006/relationships/hyperlink" Target="https://advance.lexis.com/api/document?collection=cases-ca&amp;id=urn:contentItem:5F8P-SCG1-FGRY-B436-00000-00&amp;context=" TargetMode="External" /><Relationship Id="rId88" Type="http://schemas.openxmlformats.org/officeDocument/2006/relationships/hyperlink" Target="https://advance.lexis.com/api/document?collection=cases-ca&amp;id=urn:contentItem:5F7T-S7J1-JNS1-M2G2-00000-00&amp;context=" TargetMode="External" /><Relationship Id="rId880" Type="http://schemas.openxmlformats.org/officeDocument/2006/relationships/hyperlink" Target="https://advance.lexis.com/api/document?collection=cases-ca&amp;id=urn:contentItem:5F7T-S721-F8D9-M10X-00000-00&amp;context=" TargetMode="External" /><Relationship Id="rId881" Type="http://schemas.openxmlformats.org/officeDocument/2006/relationships/hyperlink" Target="https://advance.lexis.com/api/document?collection=cases-ca&amp;id=urn:contentItem:5F7T-S7H1-F4GK-M379-00000-00&amp;context=" TargetMode="External" /><Relationship Id="rId882" Type="http://schemas.openxmlformats.org/officeDocument/2006/relationships/hyperlink" Target="https://advance.lexis.com/api/document?collection=cases-ca&amp;id=urn:contentItem:5F8T-N3V1-FC1F-M3XC-00000-00&amp;context=" TargetMode="External" /><Relationship Id="rId883" Type="http://schemas.openxmlformats.org/officeDocument/2006/relationships/hyperlink" Target="https://advance.lexis.com/api/document?collection=cases-ca&amp;id=urn:contentItem:5F8P-SDK1-JGHR-M045-00000-00&amp;context=" TargetMode="External" /><Relationship Id="rId884" Type="http://schemas.openxmlformats.org/officeDocument/2006/relationships/hyperlink" Target="https://advance.lexis.com/api/document?collection=cases-ca&amp;id=urn:contentItem:5F8P-SDK1-F5DR-20W1-00000-00&amp;context=" TargetMode="External" /><Relationship Id="rId885" Type="http://schemas.openxmlformats.org/officeDocument/2006/relationships/hyperlink" Target="https://advance.lexis.com/api/document?collection=cases-ca&amp;id=urn:contentItem:5F8P-SCG1-FC1F-M1M7-00000-00&amp;context=" TargetMode="External" /><Relationship Id="rId886" Type="http://schemas.openxmlformats.org/officeDocument/2006/relationships/hyperlink" Target="https://advance.lexis.com/api/document?collection=cases-ca&amp;id=urn:contentItem:5F7T-S751-JBM1-M2HC-00000-00&amp;context=" TargetMode="External" /><Relationship Id="rId887" Type="http://schemas.openxmlformats.org/officeDocument/2006/relationships/hyperlink" Target="https://advance.lexis.com/api/document?collection=cases-ca&amp;id=urn:contentItem:5F16-9351-FFFC-B2P5-00000-00&amp;context=" TargetMode="External" /><Relationship Id="rId888" Type="http://schemas.openxmlformats.org/officeDocument/2006/relationships/hyperlink" Target="https://advance.lexis.com/api/document?collection=cases-ca&amp;id=urn:contentItem:5F7T-S771-JWBS-61TF-00000-00&amp;context=" TargetMode="External" /><Relationship Id="rId889" Type="http://schemas.openxmlformats.org/officeDocument/2006/relationships/hyperlink" Target="https://advance.lexis.com/api/document?collection=cases-ca&amp;id=urn:contentItem:5F7T-XPY1-DXHD-G1X0-00000-00&amp;context=" TargetMode="External" /><Relationship Id="rId89" Type="http://schemas.openxmlformats.org/officeDocument/2006/relationships/hyperlink" Target="https://advance.lexis.com/api/document?collection=cases-ca&amp;id=urn:contentItem:5F8N-K6X1-F30T-B28C-00000-00&amp;context=" TargetMode="External" /><Relationship Id="rId890" Type="http://schemas.openxmlformats.org/officeDocument/2006/relationships/hyperlink" Target="https://advance.lexis.com/api/document?collection=cases-ca&amp;id=urn:contentItem:5F8P-SDH1-JBDT-B2J0-00000-00&amp;context=" TargetMode="External" /><Relationship Id="rId891" Type="http://schemas.openxmlformats.org/officeDocument/2006/relationships/hyperlink" Target="https://advance.lexis.com/api/document?collection=cases-ca&amp;id=urn:contentItem:5F81-VJX1-FD4T-B330-00000-00&amp;context=" TargetMode="External" /><Relationship Id="rId892" Type="http://schemas.openxmlformats.org/officeDocument/2006/relationships/hyperlink" Target="https://advance.lexis.com/api/document?collection=legislation-ca&amp;id=urn:contentItem:5W07-7G01-DXHD-G3G5-00000-00&amp;context=" TargetMode="External" /><Relationship Id="rId893" Type="http://schemas.openxmlformats.org/officeDocument/2006/relationships/hyperlink" Target="https://advance.lexis.com/api/document?collection=cases-ca&amp;id=urn:contentItem:5F8P-SCJ1-F60C-X39K-00000-00&amp;context=" TargetMode="External" /><Relationship Id="rId894" Type="http://schemas.openxmlformats.org/officeDocument/2006/relationships/hyperlink" Target="https://advance.lexis.com/api/document?collection=cases-ca&amp;id=urn:contentItem:5F81-VJX1-JJYN-B4TB-00000-00&amp;context=" TargetMode="External" /><Relationship Id="rId895" Type="http://schemas.openxmlformats.org/officeDocument/2006/relationships/hyperlink" Target="https://advance.lexis.com/api/document?collection=cases-ca&amp;id=urn:contentItem:5F81-VJX1-JKPJ-G1GP-00000-00&amp;context=" TargetMode="External" /><Relationship Id="rId896" Type="http://schemas.openxmlformats.org/officeDocument/2006/relationships/hyperlink" Target="https://advance.lexis.com/api/document?collection=cases-ca&amp;id=urn:contentItem:5F81-VJY1-F016-S2FX-00000-00&amp;context=" TargetMode="External" /><Relationship Id="rId897" Type="http://schemas.openxmlformats.org/officeDocument/2006/relationships/hyperlink" Target="https://advance.lexis.com/api/document?collection=legislation-ca&amp;id=urn:contentItem:5J8P-B1H1-JGPY-X52B-00000-00&amp;context=" TargetMode="External" /><Relationship Id="rId898" Type="http://schemas.openxmlformats.org/officeDocument/2006/relationships/hyperlink" Target="https://advance.lexis.com/api/document?collection=cases-ca&amp;id=urn:contentItem:5F82-DK51-JBDT-B015-00000-00&amp;context=" TargetMode="External" /><Relationship Id="rId899" Type="http://schemas.openxmlformats.org/officeDocument/2006/relationships/hyperlink" Target="https://advance.lexis.com/api/document?collection=cases-ca&amp;id=urn:contentItem:5F7T-S7P1-JP4G-624T-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D1-DY89-M463-00000-00&amp;context=" TargetMode="External" /><Relationship Id="rId900" Type="http://schemas.openxmlformats.org/officeDocument/2006/relationships/hyperlink" Target="https://advance.lexis.com/api/document?collection=cases-ca&amp;id=urn:contentItem:5F8W-M461-FCYK-246D-00000-00&amp;context=" TargetMode="External" /><Relationship Id="rId901" Type="http://schemas.openxmlformats.org/officeDocument/2006/relationships/hyperlink" Target="https://advance.lexis.com/api/document?collection=cases-ca&amp;id=urn:contentItem:5F8P-SCT1-JTNR-M2W3-00000-00&amp;context=" TargetMode="External" /><Relationship Id="rId902" Type="http://schemas.openxmlformats.org/officeDocument/2006/relationships/hyperlink" Target="https://advance.lexis.com/api/document?collection=cases-ca&amp;id=urn:contentItem:5F8P-SD21-JNS1-M4SS-00000-00&amp;context=" TargetMode="External" /><Relationship Id="rId903" Type="http://schemas.openxmlformats.org/officeDocument/2006/relationships/header" Target="header133.xml" /><Relationship Id="rId904" Type="http://schemas.openxmlformats.org/officeDocument/2006/relationships/header" Target="header134.xml" /><Relationship Id="rId905" Type="http://schemas.openxmlformats.org/officeDocument/2006/relationships/footer" Target="footer133.xml" /><Relationship Id="rId906" Type="http://schemas.openxmlformats.org/officeDocument/2006/relationships/footer" Target="footer134.xml" /><Relationship Id="rId907" Type="http://schemas.openxmlformats.org/officeDocument/2006/relationships/header" Target="header135.xml" /><Relationship Id="rId908" Type="http://schemas.openxmlformats.org/officeDocument/2006/relationships/footer" Target="footer135.xml" /><Relationship Id="rId909" Type="http://schemas.openxmlformats.org/officeDocument/2006/relationships/hyperlink" Target="https://advance.lexis.com/api/document?collection=cases-ca&amp;id=urn:contentItem:5F7T-S771-JW5H-X207-00000-00&amp;context=" TargetMode="External" /><Relationship Id="rId91" Type="http://schemas.openxmlformats.org/officeDocument/2006/relationships/hyperlink" Target="https://advance.lexis.com/api/document?collection=cases-ca&amp;id=urn:contentItem:5F7T-S7D1-F7ND-G0MH-00000-00&amp;context=" TargetMode="External" /><Relationship Id="rId910" Type="http://schemas.openxmlformats.org/officeDocument/2006/relationships/hyperlink" Target="https://advance.lexis.com/api/document?collection=cases-ca&amp;id=urn:contentItem:5F7T-S721-FD4T-B0MF-00000-00&amp;context=" TargetMode="External" /><Relationship Id="rId911" Type="http://schemas.openxmlformats.org/officeDocument/2006/relationships/hyperlink" Target="https://advance.lexis.com/api/document?collection=cases-ca&amp;id=urn:contentItem:5F8T-N3V1-JF75-M3S6-00000-00&amp;context=" TargetMode="External" /><Relationship Id="rId912" Type="http://schemas.openxmlformats.org/officeDocument/2006/relationships/hyperlink" Target="https://advance.lexis.com/api/document?collection=cases-ca&amp;id=urn:contentItem:5F7T-S741-F528-G2J5-00000-00&amp;context=" TargetMode="External" /><Relationship Id="rId913" Type="http://schemas.openxmlformats.org/officeDocument/2006/relationships/header" Target="header136.xml" /><Relationship Id="rId914" Type="http://schemas.openxmlformats.org/officeDocument/2006/relationships/header" Target="header137.xml" /><Relationship Id="rId915" Type="http://schemas.openxmlformats.org/officeDocument/2006/relationships/footer" Target="footer136.xml" /><Relationship Id="rId916" Type="http://schemas.openxmlformats.org/officeDocument/2006/relationships/footer" Target="footer137.xml" /><Relationship Id="rId917" Type="http://schemas.openxmlformats.org/officeDocument/2006/relationships/header" Target="header138.xml" /><Relationship Id="rId918" Type="http://schemas.openxmlformats.org/officeDocument/2006/relationships/footer" Target="footer138.xml" /><Relationship Id="rId919" Type="http://schemas.openxmlformats.org/officeDocument/2006/relationships/hyperlink" Target="https://advance.lexis.com/api/document?collection=cases-ca&amp;id=urn:contentItem:5V14-RM31-FJTD-G0MG-00000-00&amp;context=" TargetMode="External" /><Relationship Id="rId92" Type="http://schemas.openxmlformats.org/officeDocument/2006/relationships/hyperlink" Target="https://advance.lexis.com/api/document?collection=cases-ca&amp;id=urn:contentItem:5F8T-N3V1-JF75-M3KJ-00000-00&amp;context=" TargetMode="External" /><Relationship Id="rId920" Type="http://schemas.openxmlformats.org/officeDocument/2006/relationships/hyperlink" Target="https://advance.lexis.com/api/document?collection=cases-ca&amp;id=urn:contentItem:5F7T-S741-F57G-S1NH-00000-00&amp;context=" TargetMode="External" /><Relationship Id="rId921" Type="http://schemas.openxmlformats.org/officeDocument/2006/relationships/hyperlink" Target="https://advance.lexis.com/api/document?collection=cases-ca&amp;id=urn:contentItem:5F7T-S7M1-JJK6-S1NK-00000-00&amp;context=" TargetMode="External" /><Relationship Id="rId922" Type="http://schemas.openxmlformats.org/officeDocument/2006/relationships/hyperlink" Target="https://advance.lexis.com/api/document?collection=cases-ca&amp;id=urn:contentItem:5F8N-K751-F22N-X1W5-00000-00&amp;context=" TargetMode="External" /><Relationship Id="rId923" Type="http://schemas.openxmlformats.org/officeDocument/2006/relationships/hyperlink" Target="https://advance.lexis.com/api/document?collection=cases-ca&amp;id=urn:contentItem:5F81-YH61-JJ1H-X00S-00000-00&amp;context=" TargetMode="External" /><Relationship Id="rId924" Type="http://schemas.openxmlformats.org/officeDocument/2006/relationships/hyperlink" Target="https://advance.lexis.com/api/document?collection=cases-ca&amp;id=urn:contentItem:5HGY-CT81-F900-G3D6-00000-00&amp;context=" TargetMode="External" /><Relationship Id="rId925" Type="http://schemas.openxmlformats.org/officeDocument/2006/relationships/hyperlink" Target="https://advance.lexis.com/api/document?collection=cases-ca&amp;id=urn:contentItem:5F7T-S6X1-FCCX-60KC-00000-00&amp;context=" TargetMode="External" /><Relationship Id="rId926" Type="http://schemas.openxmlformats.org/officeDocument/2006/relationships/hyperlink" Target="https://advance.lexis.com/api/document?collection=cases-ca&amp;id=urn:contentItem:5F7T-S721-F57G-S0X6-00000-00&amp;context=" TargetMode="External" /><Relationship Id="rId927" Type="http://schemas.openxmlformats.org/officeDocument/2006/relationships/hyperlink" Target="https://advance.lexis.com/api/document?collection=cases-ca&amp;id=urn:contentItem:5F7T-S721-F956-S1WX-00000-00&amp;context=" TargetMode="External" /><Relationship Id="rId928" Type="http://schemas.openxmlformats.org/officeDocument/2006/relationships/hyperlink" Target="https://advance.lexis.com/api/document?collection=cases-ca&amp;id=urn:contentItem:5F7T-S781-FH4C-X35F-00000-00&amp;context=" TargetMode="External" /><Relationship Id="rId929" Type="http://schemas.openxmlformats.org/officeDocument/2006/relationships/hyperlink" Target="https://advance.lexis.com/api/document?collection=cases-ca&amp;id=urn:contentItem:5F7T-S7J1-JYYX-62GV-00000-00&amp;context=" TargetMode="External" /><Relationship Id="rId93" Type="http://schemas.openxmlformats.org/officeDocument/2006/relationships/hyperlink" Target="https://advance.lexis.com/api/document?collection=cases-ca&amp;id=urn:contentItem:5F7T-S7B1-FH4C-X3NP-00000-00&amp;context=" TargetMode="External" /><Relationship Id="rId930" Type="http://schemas.openxmlformats.org/officeDocument/2006/relationships/hyperlink" Target="https://advance.lexis.com/api/document?collection=cases-ca&amp;id=urn:contentItem:5F8T-N3P1-F7ND-G18H-00000-00&amp;context=" TargetMode="External" /><Relationship Id="rId931" Type="http://schemas.openxmlformats.org/officeDocument/2006/relationships/hyperlink" Target="https://advance.lexis.com/api/document?collection=cases-ca&amp;id=urn:contentItem:5F8P-SF21-FH4C-X1KJ-00000-00&amp;context=" TargetMode="External" /><Relationship Id="rId932" Type="http://schemas.openxmlformats.org/officeDocument/2006/relationships/hyperlink" Target="https://advance.lexis.com/api/document?collection=cases-ca&amp;id=urn:contentItem:5F81-VJT1-FD4T-B214-00000-00&amp;context=" TargetMode="External" /><Relationship Id="rId933" Type="http://schemas.openxmlformats.org/officeDocument/2006/relationships/hyperlink" Target="https://advance.lexis.com/api/document?collection=cases-ca&amp;id=urn:contentItem:5F16-9301-FD4T-B26X-00000-00&amp;context=" TargetMode="External" /><Relationship Id="rId934" Type="http://schemas.openxmlformats.org/officeDocument/2006/relationships/hyperlink" Target="https://advance.lexis.com/api/document?collection=cases-ca&amp;id=urn:contentItem:5F16-9301-JW5H-X3KJ-00000-00&amp;context=" TargetMode="External" /><Relationship Id="rId935" Type="http://schemas.openxmlformats.org/officeDocument/2006/relationships/hyperlink" Target="https://advance.lexis.com/api/document?collection=cases-ca&amp;id=urn:contentItem:5F16-93F1-JSXV-G0MJ-00000-00&amp;context=" TargetMode="External" /><Relationship Id="rId936" Type="http://schemas.openxmlformats.org/officeDocument/2006/relationships/hyperlink" Target="https://advance.lexis.com/api/document?collection=cases-ca&amp;id=urn:contentItem:5RF2-MG71-F7VM-S1YG-00000-00&amp;context=" TargetMode="External" /><Relationship Id="rId937" Type="http://schemas.openxmlformats.org/officeDocument/2006/relationships/hyperlink" Target="https://advance.lexis.com/api/document?collection=cases-ca&amp;id=urn:contentItem:5F7T-S741-F528-G2F1-00000-00&amp;context=" TargetMode="External" /><Relationship Id="rId938" Type="http://schemas.openxmlformats.org/officeDocument/2006/relationships/hyperlink" Target="https://advance.lexis.com/api/document?collection=cases-ca&amp;id=urn:contentItem:5F7T-S6Y1-JPP5-21CP-00000-00&amp;context=" TargetMode="External" /><Relationship Id="rId939" Type="http://schemas.openxmlformats.org/officeDocument/2006/relationships/hyperlink" Target="https://advance.lexis.com/api/document?collection=cases-ca&amp;id=urn:contentItem:5F7T-S701-F8KH-X1DF-00000-00&amp;context=" TargetMode="External" /><Relationship Id="rId94" Type="http://schemas.openxmlformats.org/officeDocument/2006/relationships/hyperlink" Target="https://advance.lexis.com/api/document?collection=cases-ca&amp;id=urn:contentItem:5F8P-SCX1-F57G-S4VN-00000-00&amp;context=" TargetMode="External" /><Relationship Id="rId940" Type="http://schemas.openxmlformats.org/officeDocument/2006/relationships/hyperlink" Target="https://advance.lexis.com/api/document?collection=cases-ca&amp;id=urn:contentItem:5F7T-S721-F4NT-X2K1-00000-00&amp;context=" TargetMode="External" /><Relationship Id="rId941" Type="http://schemas.openxmlformats.org/officeDocument/2006/relationships/hyperlink" Target="https://advance.lexis.com/api/document?collection=cases-ca&amp;id=urn:contentItem:5F8P-SCM1-F2TK-23BS-00000-00&amp;context=" TargetMode="External" /><Relationship Id="rId942" Type="http://schemas.openxmlformats.org/officeDocument/2006/relationships/hyperlink" Target="https://advance.lexis.com/api/document?collection=cases-ca&amp;id=urn:contentItem:5F7T-S6T1-FJTD-G1KR-00000-00&amp;context=" TargetMode="External" /><Relationship Id="rId943" Type="http://schemas.openxmlformats.org/officeDocument/2006/relationships/hyperlink" Target="https://advance.lexis.com/api/document?collection=cases-ca&amp;id=urn:contentItem:5F81-VJV1-JSC5-M1B6-00000-00&amp;context=" TargetMode="External" /><Relationship Id="rId944" Type="http://schemas.openxmlformats.org/officeDocument/2006/relationships/hyperlink" Target="https://advance.lexis.com/api/document?collection=cases-ca&amp;id=urn:contentItem:5F7T-S701-JGPY-X1NG-00000-00&amp;context=" TargetMode="External" /><Relationship Id="rId945" Type="http://schemas.openxmlformats.org/officeDocument/2006/relationships/hyperlink" Target="https://advance.lexis.com/api/document?collection=cases-ca&amp;id=urn:contentItem:5F7T-XPT1-JSXV-G3PH-00000-00&amp;context=" TargetMode="External" /><Relationship Id="rId946" Type="http://schemas.openxmlformats.org/officeDocument/2006/relationships/header" Target="header139.xml" /><Relationship Id="rId947" Type="http://schemas.openxmlformats.org/officeDocument/2006/relationships/header" Target="header140.xml" /><Relationship Id="rId948" Type="http://schemas.openxmlformats.org/officeDocument/2006/relationships/footer" Target="footer139.xml" /><Relationship Id="rId949" Type="http://schemas.openxmlformats.org/officeDocument/2006/relationships/footer" Target="footer140.xml" /><Relationship Id="rId95" Type="http://schemas.openxmlformats.org/officeDocument/2006/relationships/hyperlink" Target="https://advance.lexis.com/api/document?collection=cases-ca&amp;id=urn:contentItem:5F7T-S751-JBM1-M2DY-00000-00&amp;context=" TargetMode="External" /><Relationship Id="rId950" Type="http://schemas.openxmlformats.org/officeDocument/2006/relationships/header" Target="header141.xml" /><Relationship Id="rId951" Type="http://schemas.openxmlformats.org/officeDocument/2006/relationships/footer" Target="footer141.xml" /><Relationship Id="rId952" Type="http://schemas.openxmlformats.org/officeDocument/2006/relationships/hyperlink" Target="https://advance.lexis.com/api/document?collection=cases-ca&amp;id=urn:contentItem:5F7T-S7F1-JFKM-620C-00000-00&amp;context=" TargetMode="External" /><Relationship Id="rId953" Type="http://schemas.openxmlformats.org/officeDocument/2006/relationships/hyperlink" Target="https://advance.lexis.com/api/document?collection=cases-ca&amp;id=urn:contentItem:5F7T-S7C1-FCSB-S2DJ-00000-00&amp;context=" TargetMode="External" /><Relationship Id="rId954" Type="http://schemas.openxmlformats.org/officeDocument/2006/relationships/hyperlink" Target="https://advance.lexis.com/api/document?collection=cases-ca&amp;id=urn:contentItem:5F7T-S7C1-JXG3-X02D-00000-00&amp;context=" TargetMode="External" /><Relationship Id="rId955" Type="http://schemas.openxmlformats.org/officeDocument/2006/relationships/hyperlink" Target="https://advance.lexis.com/api/document?collection=cases-ca&amp;id=urn:contentItem:5F7T-S7C1-JS0R-22HY-00000-00&amp;context=" TargetMode="External" /><Relationship Id="rId956" Type="http://schemas.openxmlformats.org/officeDocument/2006/relationships/hyperlink" Target="https://advance.lexis.com/api/document?collection=cases-ca&amp;id=urn:contentItem:5F7T-S731-DY33-B17R-00000-00&amp;context=" TargetMode="External" /><Relationship Id="rId957" Type="http://schemas.openxmlformats.org/officeDocument/2006/relationships/hyperlink" Target="https://advance.lexis.com/api/document?collection=cases-ca&amp;id=urn:contentItem:5F7T-S771-JWBS-6196-00000-00&amp;context=" TargetMode="External" /><Relationship Id="rId958" Type="http://schemas.openxmlformats.org/officeDocument/2006/relationships/hyperlink" Target="https://advance.lexis.com/api/document?collection=cases-ca&amp;id=urn:contentItem:5F7T-S7F1-JBT7-X2WG-00000-00&amp;context=" TargetMode="External" /><Relationship Id="rId959" Type="http://schemas.openxmlformats.org/officeDocument/2006/relationships/hyperlink" Target="https://advance.lexis.com/api/document?collection=cases-ca&amp;id=urn:contentItem:5F7T-S7D1-JG02-S2RF-00000-00&amp;context=" TargetMode="External" /><Relationship Id="rId96" Type="http://schemas.openxmlformats.org/officeDocument/2006/relationships/header" Target="header10.xml" /><Relationship Id="rId960" Type="http://schemas.openxmlformats.org/officeDocument/2006/relationships/hyperlink" Target="https://advance.lexis.com/api/document?collection=cases-ca&amp;id=urn:contentItem:5F7T-S7D1-JG02-S313-00000-00&amp;context=" TargetMode="External" /><Relationship Id="rId961" Type="http://schemas.openxmlformats.org/officeDocument/2006/relationships/hyperlink" Target="https://advance.lexis.com/api/document?collection=cases-ca&amp;id=urn:contentItem:5F7T-S701-JBT7-X23F-00000-00&amp;context=" TargetMode="External" /><Relationship Id="rId962" Type="http://schemas.openxmlformats.org/officeDocument/2006/relationships/header" Target="header142.xml" /><Relationship Id="rId963" Type="http://schemas.openxmlformats.org/officeDocument/2006/relationships/header" Target="header143.xml" /><Relationship Id="rId964" Type="http://schemas.openxmlformats.org/officeDocument/2006/relationships/footer" Target="footer142.xml" /><Relationship Id="rId965" Type="http://schemas.openxmlformats.org/officeDocument/2006/relationships/footer" Target="footer143.xml" /><Relationship Id="rId966" Type="http://schemas.openxmlformats.org/officeDocument/2006/relationships/header" Target="header144.xml" /><Relationship Id="rId967" Type="http://schemas.openxmlformats.org/officeDocument/2006/relationships/footer" Target="footer144.xml" /><Relationship Id="rId968" Type="http://schemas.openxmlformats.org/officeDocument/2006/relationships/hyperlink" Target="https://advance.lexis.com/api/document?collection=cases-ca&amp;id=urn:contentItem:5F7T-S7M1-JFSV-G3G4-00000-00&amp;context=" TargetMode="External" /><Relationship Id="rId969" Type="http://schemas.openxmlformats.org/officeDocument/2006/relationships/hyperlink" Target="https://advance.lexis.com/api/document?collection=cases-ca&amp;id=urn:contentItem:5F7T-S7M1-F4W2-6219-00000-00&amp;context=" TargetMode="External" /><Relationship Id="rId97" Type="http://schemas.openxmlformats.org/officeDocument/2006/relationships/header" Target="header11.xml" /><Relationship Id="rId970" Type="http://schemas.openxmlformats.org/officeDocument/2006/relationships/hyperlink" Target="https://advance.lexis.com/api/document?collection=cases-ca&amp;id=urn:contentItem:5F7T-S781-F27X-61CR-00000-00&amp;context=" TargetMode="External" /><Relationship Id="rId971" Type="http://schemas.openxmlformats.org/officeDocument/2006/relationships/hyperlink" Target="https://advance.lexis.com/api/document?collection=cases-ca&amp;id=urn:contentItem:5F7T-S7C1-F7VM-S3RG-00000-00&amp;context=" TargetMode="External" /><Relationship Id="rId972" Type="http://schemas.openxmlformats.org/officeDocument/2006/relationships/hyperlink" Target="https://advance.lexis.com/api/document?collection=cases-ca&amp;id=urn:contentItem:5F7T-S741-F7VM-S2YW-00000-00&amp;context=" TargetMode="External" /><Relationship Id="rId973" Type="http://schemas.openxmlformats.org/officeDocument/2006/relationships/hyperlink" Target="https://advance.lexis.com/api/document?collection=cases-ca&amp;id=urn:contentItem:5F7T-S741-F1H1-21CT-00000-00&amp;context=" TargetMode="External" /><Relationship Id="rId974" Type="http://schemas.openxmlformats.org/officeDocument/2006/relationships/hyperlink" Target="https://advance.lexis.com/api/document?collection=cases-ca&amp;id=urn:contentItem:5F7T-S7M1-JPP5-22CD-00000-00&amp;context=" TargetMode="External" /><Relationship Id="rId975" Type="http://schemas.openxmlformats.org/officeDocument/2006/relationships/hyperlink" Target="https://advance.lexis.com/api/document?collection=cases-ca&amp;id=urn:contentItem:5F7T-S7C1-F4NT-X2YG-00000-00&amp;context=" TargetMode="External" /><Relationship Id="rId976" Type="http://schemas.openxmlformats.org/officeDocument/2006/relationships/hyperlink" Target="https://advance.lexis.com/api/document?collection=cases-ca&amp;id=urn:contentItem:5F7T-S7K1-DY33-B1FW-00000-00&amp;context=" TargetMode="External" /><Relationship Id="rId977" Type="http://schemas.openxmlformats.org/officeDocument/2006/relationships/hyperlink" Target="https://advance.lexis.com/api/document?collection=cases-ca&amp;id=urn:contentItem:5F7T-S7J1-JYYX-62GS-00000-00&amp;context=" TargetMode="External" /><Relationship Id="rId978" Type="http://schemas.openxmlformats.org/officeDocument/2006/relationships/hyperlink" Target="https://advance.lexis.com/api/document?collection=cases-ca&amp;id=urn:contentItem:5F7T-S7G1-F5KY-B1K6-00000-00&amp;context=" TargetMode="External" /><Relationship Id="rId979" Type="http://schemas.openxmlformats.org/officeDocument/2006/relationships/header" Target="header145.xml" /><Relationship Id="rId98" Type="http://schemas.openxmlformats.org/officeDocument/2006/relationships/footer" Target="footer10.xml" /><Relationship Id="rId980" Type="http://schemas.openxmlformats.org/officeDocument/2006/relationships/header" Target="header146.xml" /><Relationship Id="rId981" Type="http://schemas.openxmlformats.org/officeDocument/2006/relationships/footer" Target="footer145.xml" /><Relationship Id="rId982" Type="http://schemas.openxmlformats.org/officeDocument/2006/relationships/footer" Target="footer146.xml" /><Relationship Id="rId983" Type="http://schemas.openxmlformats.org/officeDocument/2006/relationships/header" Target="header147.xml" /><Relationship Id="rId984" Type="http://schemas.openxmlformats.org/officeDocument/2006/relationships/footer" Target="footer147.xml" /><Relationship Id="rId985" Type="http://schemas.openxmlformats.org/officeDocument/2006/relationships/hyperlink" Target="https://advance.lexis.com/api/document?collection=cases-ca&amp;id=urn:contentItem:5F7T-S7F1-FJTD-G377-00000-00&amp;context=" TargetMode="External" /><Relationship Id="rId986" Type="http://schemas.openxmlformats.org/officeDocument/2006/relationships/hyperlink" Target="https://advance.lexis.com/api/document?collection=cases-ca&amp;id=urn:contentItem:5F7T-S6Y1-JP9P-G1F0-00000-00&amp;context=" TargetMode="External" /><Relationship Id="rId987" Type="http://schemas.openxmlformats.org/officeDocument/2006/relationships/hyperlink" Target="https://advance.lexis.com/api/document?collection=cases-ca&amp;id=urn:contentItem:5F7T-S711-JNY7-X30K-00000-00&amp;context=" TargetMode="External" /><Relationship Id="rId988" Type="http://schemas.openxmlformats.org/officeDocument/2006/relationships/hyperlink" Target="https://advance.lexis.com/api/document?collection=cases-ca&amp;id=urn:contentItem:5F7T-S6W1-JYYX-61TX-00000-00&amp;context=" TargetMode="External" /><Relationship Id="rId989" Type="http://schemas.openxmlformats.org/officeDocument/2006/relationships/hyperlink" Target="https://advance.lexis.com/api/document?collection=cases-ca&amp;id=urn:contentItem:5F7T-S7F1-FFFC-B20P-00000-00&amp;context=" TargetMode="External" /><Relationship Id="rId99" Type="http://schemas.openxmlformats.org/officeDocument/2006/relationships/footer" Target="footer11.xml" /><Relationship Id="rId990" Type="http://schemas.openxmlformats.org/officeDocument/2006/relationships/hyperlink" Target="https://advance.lexis.com/api/document?collection=cases-ca&amp;id=urn:contentItem:5F7T-S771-JSJC-X05N-00000-00&amp;context=" TargetMode="External" /><Relationship Id="rId991" Type="http://schemas.openxmlformats.org/officeDocument/2006/relationships/hyperlink" Target="https://advance.lexis.com/api/document?collection=cases-ca&amp;id=urn:contentItem:5F7T-S731-F60C-X11W-00000-00&amp;context=" TargetMode="External" /><Relationship Id="rId992" Type="http://schemas.openxmlformats.org/officeDocument/2006/relationships/hyperlink" Target="https://advance.lexis.com/api/document?collection=cases-ca&amp;id=urn:contentItem:5F7T-S6V1-F956-S053-00000-00&amp;context=" TargetMode="External" /><Relationship Id="rId993" Type="http://schemas.openxmlformats.org/officeDocument/2006/relationships/header" Target="header148.xml" /><Relationship Id="rId994" Type="http://schemas.openxmlformats.org/officeDocument/2006/relationships/header" Target="header149.xml" /><Relationship Id="rId995" Type="http://schemas.openxmlformats.org/officeDocument/2006/relationships/footer" Target="footer148.xml" /><Relationship Id="rId996" Type="http://schemas.openxmlformats.org/officeDocument/2006/relationships/footer" Target="footer149.xml" /><Relationship Id="rId997" Type="http://schemas.openxmlformats.org/officeDocument/2006/relationships/header" Target="header150.xml" /><Relationship Id="rId998" Type="http://schemas.openxmlformats.org/officeDocument/2006/relationships/footer" Target="footer150.xml" /><Relationship Id="rId999" Type="http://schemas.openxmlformats.org/officeDocument/2006/relationships/hyperlink" Target="https://advance.lexis.com/api/document?collection=cases-ca&amp;id=urn:contentItem:5F7T-S7C1-F4NT-X3SH-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Gary Tonks Ltd. v. Terasen Gas Inc., [2004] B.C.J. No. 1120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115051434</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