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Mann v. Kathuria, [2017] B.C.J. No. 2462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16, 2017.</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October 20, 2017.</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M146583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[2017] B.C.J. No. 2462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2017 BCSC 2229</w:t>
      </w:r>
    </w:p>
    <w:p>
      <w:pPr>
        <w:spacing w:before="120" w:line="260" w:lineRule="atLeast"/>
        <w:rPr>
          <w:lang w:val="en-US" w:eastAsia="en-US" w:bidi="ar-SA"/>
        </w:rPr>
      </w:pPr>
      <w:r>
        <w:rPr>
          <w:rFonts w:ascii="arial" w:eastAsia="arial" w:hAnsi="arial" w:cs="arial"/>
          <w:color w:val="000000"/>
          <w:sz w:val="20"/>
          <w:lang w:val="en-US" w:eastAsia="en-US" w:bidi="ar-SA"/>
        </w:rPr>
        <w:t>Between Simranjeet Singh Mann, Plaintiff, and Kanwaljit Singh Kathuria,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5" style="position:absolute;z-index:2516582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0" w:name="Keywords"/>
      <w:bookmarkEnd w:id="0"/>
      <w:r>
        <w:rPr>
          <w:rFonts w:ascii="arial" w:eastAsia="arial" w:hAnsi="arial" w:cs="arial"/>
          <w:b/>
          <w:color w:val="000000"/>
          <w:sz w:val="20"/>
          <w:lang w:val="en-US" w:eastAsia="en-US" w:bidi="ar-SA"/>
        </w:rPr>
        <w:t>Damages — Assessment of damages — Limiting factors — Remoteness and foreseeability — Motion by the plaintiff to amend the statement of claim to include a loss of appreciation of his family home dismissed — Plaintiff was injured in a 2013 motor vehicle accident — Plaintiff alleged he was unable to work after the accident and had to sell his family home in 2014, as he could not pay the mortgage and other expenses related to home — Claim for appreciation of the house was not recoverable as it was not reasonably foreseeable and was too remote to be recoverable.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 w:name="Case Summary"/>
            <w:bookmarkEnd w:id="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Motion by the plaintiff to amend the statement of claim to include a loss of appreciation of his family home. The plaintiff was injured in a 2013 motor vehicle accident. In 2014 the plaintiff sold his family home for $441,000. The plaintiff sought to introduce a report from an appraiser which valued the home as of March 2017 at $680,000. The plaintiff sought to amend his claim to include the difference in the home's value as a head of damages. The plaintiff alleged he was unable to work for a period of time after the accident and as a result he had to sell his family home in 2014, as he could not pay the mortgage and other expenses related to the home. </w:t>
            </w:r>
            <w:r>
              <w:rPr>
                <w:lang w:val="en-US" w:eastAsia="en-US" w:bidi="ar-SA"/>
              </w:rPr>
              <w:cr/>
            </w:r>
          </w:p>
          <w:p>
            <w:pPr>
              <w:spacing w:before="120" w:line="260" w:lineRule="atLeast"/>
              <w:ind w:left="240"/>
              <w:jc w:val="both"/>
              <w:rPr>
                <w:lang w:val="en-US" w:eastAsia="en-US" w:bidi="ar-SA"/>
              </w:rPr>
            </w:pPr>
            <w:bookmarkStart w:id="2" w:name="Holdings of Court"/>
            <w:bookmarkEnd w:id="2"/>
            <w:r>
              <w:rPr>
                <w:rFonts w:ascii="arial" w:eastAsia="arial" w:hAnsi="arial" w:cs="arial"/>
                <w:color w:val="000000"/>
                <w:sz w:val="20"/>
                <w:lang w:val="en-US" w:eastAsia="en-US" w:bidi="ar-SA"/>
              </w:rPr>
              <w:t>HELD: Motion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decision to sell the house in 2014 was a discretionary decision made by the plaintiff due to financial difficulties. The law did not compensate plaintiffs for the consequences of their own pecuniosity. The claim for appreciation of the house was not recoverable as it was not reasonably foreseeable and was too remote to be recoverable. </w:t>
            </w:r>
            <w:r>
              <w:rPr>
                <w:lang w:val="en-US" w:eastAsia="en-US" w:bidi="ar-SA"/>
              </w:rPr>
              <w:cr/>
            </w:r>
          </w:p>
          <w:p>
            <w:pPr>
              <w:rPr>
                <w:lang w:val="en-US" w:eastAsia="en-US" w:bidi="ar-SA"/>
              </w:rPr>
            </w:pPr>
          </w:p>
        </w:tc>
      </w:tr>
    </w:tbl>
    <w:p>
      <w:pPr>
        <w:jc w:val="both"/>
        <w:rPr>
          <w:lang w:val="en-US" w:eastAsia="en-US" w:bidi="ar-SA"/>
        </w:rPr>
      </w:pPr>
      <w:bookmarkStart w:id="3" w:name="Counsel"/>
      <w:bookmarkEnd w:id="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26" style="position:absolute;z-index:2517094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M.A. Chaudhary, S.L. Herra.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S. Padmanabhan, C. York.</w:t>
      </w:r>
      <w:r>
        <w:rPr>
          <w:lang w:val="en-US" w:eastAsia="en-US" w:bidi="ar-SA"/>
        </w:rPr>
        <w:cr/>
      </w:r>
    </w:p>
    <w:p>
      <w:pPr>
        <w:spacing w:after="240"/>
        <w:rPr>
          <w:lang w:val="en-US" w:eastAsia="en-US" w:bidi="ar-SA"/>
        </w:rPr>
      </w:pPr>
      <w:bookmarkStart w:id="4" w:name="Judgment"/>
      <w:bookmarkEnd w:id="4"/>
      <w:r>
        <w:pict>
          <v:line id="_x0000_s1027" style="position:absolute;z-index:25176064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Ruling on Application for Amendment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of Notice of Civil Claim</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 w:name="L.B. GEROW J. (orally)"/>
            <w:bookmarkEnd w:id="5"/>
            <w:r>
              <w:rPr>
                <w:rFonts w:ascii="arial" w:eastAsia="arial" w:hAnsi="arial" w:cs="arial"/>
                <w:b/>
                <w:color w:val="000000"/>
                <w:sz w:val="30"/>
                <w:lang w:val="en-US" w:eastAsia="en-US" w:bidi="ar-SA"/>
              </w:rPr>
              <w:t>L.B. GEROW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Simranjeet Singh Mann, was injured in a motor vehicle accident on February 27, 2013, when he was rear-ended by a vehicle driven by the defendant, Kanwaljit Singh Kathuria. The defendant agrees the plaintiff was injured in the accident, but disputes the nature, extent, duration, and effect of the injuries. The jury trial in this matter commenced on October 16, 2017.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One of the claims for damages the plaintiff seeks to advance arises from the sale of his family home in 2014 after the accident. The plaintiff submits that the difference between the sale price of his house in 2014 and what he could sell the house for at the date of the trial is a recoverable head of damages. The evidence is that the plaintiff sold the family home on May 26, 2014, for the amount of $441,000. The plaintiff seeks to introduce a report from an appraiser which values the home as of March 24, 2017, at $680,000.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 for the appreciation of value of his residence between 2014 and the date of the trial was not pleaded in the notice of civil claim. The plaintiff put the defendant on notice that he would be advancing such a claim prior to the trial commencing and seeks to amend the notice of civil claim to include the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takes the position that the appreciation of the home is not a recoverable head of damage. The defendant submits the notice of civil claim should not be amended and the jury ought not to be directed to consider or make any award for any loss arising from the sale of the family home. The defendant argues that the claim for loss of appreciation of the family home is not one that is recognized in law based on the principles of remoteness and foreseeability. As well, the defendant says the claim is not compensable as the law does not compensate injured plaintiffs for the consequences of their own impecuniosity. Finally, the defendant objects to the admissibility of the appraisal report on a number of grounds.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These are the reasons dealing with the issue of whether the notice of civil claim should be amended to include the claim for loss of appreciation in the family home and the admissibility of the appraisal report. I reserve the right to edit these reasons by adding to or subtracting from them including adding citations, but the result will not change.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a truck driver at the time of the accident. There is a dispute about how much income he was making at the time. The plaintiff alleges he was unable to work for a period of time after the accident and as a result he had to sell his family home on May 26, 2014, as he could not pay the mortgage and other expenses related to the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submits that since the time he sold the home until the time of the trial, the value of the home has appreciated and takes the position that to be put back in the position he would have been but for the accident, he is entitled to claim the difference in value. As stated earlier, the defendant takes the position that the loss is not a recoverable head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issue of remoteness of damages was discussed in </w:t>
      </w:r>
      <w:r>
        <w:rPr>
          <w:rFonts w:ascii="arial" w:eastAsia="arial" w:hAnsi="arial" w:cs="arial"/>
          <w:i/>
          <w:color w:val="000000"/>
          <w:sz w:val="20"/>
          <w:lang w:val="en-US" w:eastAsia="en-US" w:bidi="ar-SA"/>
        </w:rPr>
        <w:t>Mustapha v. Culligan of Canada Limited</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where the Supreme Court of Canada noted that even if a defendant is found to have breached a duty owed to the plaintiff, the court must look at whether the damages the plaintiff suffered as a result of the breach are too remote to be recoverable. At paras. 11 to 13, the court addressed the issue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[11] The fourth and final question to address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whether the defendant's breach caused the plaintiff's harm in fact and in law. The evidence before the trial judge establishes that the defendant's breach of its duty of care in fact caused Mr. Mustapha's psychiatric injury. We are not asked to revisit this conclusion. The remaining question is whether that breach also caused the plaintiff's damage in law or whether it is too remote to warrant recovery.</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[12] The remoteness inquiry asks whether "the harm [is] too unrelated to the wrongful conduct to hold the defendant fairly liable" . . . Since </w:t>
      </w:r>
      <w:r>
        <w:rPr>
          <w:rFonts w:ascii="arial" w:eastAsia="arial" w:hAnsi="arial" w:cs="arial"/>
          <w:i/>
          <w:color w:val="000000"/>
          <w:sz w:val="20"/>
          <w:lang w:val="en-US" w:eastAsia="en-US" w:bidi="ar-SA"/>
        </w:rPr>
        <w:t>The Wagon Mound (No. 1)</w:t>
      </w:r>
      <w:r>
        <w:rPr>
          <w:rFonts w:ascii="arial" w:eastAsia="arial" w:hAnsi="arial" w:cs="arial"/>
          <w:color w:val="000000"/>
          <w:sz w:val="20"/>
          <w:lang w:val="en-US" w:eastAsia="en-US" w:bidi="ar-SA"/>
        </w:rPr>
        <w:t>, the principle has been that "it is the foresight of the reasonable man which alone can determine responsibility" . . .</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[13] Much has been written on how probable or likely a harm needs to be in order to be considered reasonably foreseeable. The parties raise the question of whether a reasonably foreseeable harm is one whose occurrence is probable or merely possible. In my view, these terms are misleading. Any harm which has actually occurred is "possible"; it is therefore clear that possibility alone does not provide a meaningful standard for the application of reasonable foreseeability. The degree of probability that would satisfy the reasonable foreseeability requirement was described in </w:t>
      </w:r>
      <w:r>
        <w:rPr>
          <w:rFonts w:ascii="arial" w:eastAsia="arial" w:hAnsi="arial" w:cs="arial"/>
          <w:i/>
          <w:color w:val="000000"/>
          <w:sz w:val="20"/>
          <w:lang w:val="en-US" w:eastAsia="en-US" w:bidi="ar-SA"/>
        </w:rPr>
        <w:t>The Wagon Mound (No. 2)</w:t>
      </w:r>
      <w:r>
        <w:rPr>
          <w:rFonts w:ascii="arial" w:eastAsia="arial" w:hAnsi="arial" w:cs="arial"/>
          <w:color w:val="000000"/>
          <w:sz w:val="20"/>
          <w:lang w:val="en-US" w:eastAsia="en-US" w:bidi="ar-SA"/>
        </w:rPr>
        <w:t xml:space="preserve"> as a "real risk", [that is] "one which would occur to the mind of a reasonable man in the position of the defendan[t] . . . and which he would not brush aside as far-fetched" . .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Normally, losses arising from the plaintiff's impecuniosity or lack of financial resources are not recoverable. The plaintiff submits that the loss is recoverable relying on the cases of </w:t>
      </w:r>
      <w:r>
        <w:rPr>
          <w:rFonts w:ascii="arial" w:eastAsia="arial" w:hAnsi="arial" w:cs="arial"/>
          <w:i/>
          <w:color w:val="000000"/>
          <w:sz w:val="20"/>
          <w:lang w:val="en-US" w:eastAsia="en-US" w:bidi="ar-SA"/>
        </w:rPr>
        <w:t>Suttis v Talstra</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1990 CanLII 1905</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Polovnikoff v. Banks</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2009 BCSC 750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Elofson v. Davis</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1997 CanLII 14757</w:t>
        </w:r>
      </w:hyperlink>
      <w:r>
        <w:rPr>
          <w:rFonts w:ascii="arial" w:eastAsia="arial" w:hAnsi="arial" w:cs="arial"/>
          <w:color w:val="000000"/>
          <w:sz w:val="20"/>
          <w:lang w:val="en-US" w:eastAsia="en-US" w:bidi="ar-SA"/>
        </w:rPr>
        <w:t xml:space="preserve"> (Alta. Q.B.).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Suttis</w:t>
      </w:r>
      <w:r>
        <w:rPr>
          <w:rFonts w:ascii="arial" w:eastAsia="arial" w:hAnsi="arial" w:cs="arial"/>
          <w:color w:val="000000"/>
          <w:sz w:val="20"/>
          <w:lang w:val="en-US" w:eastAsia="en-US" w:bidi="ar-SA"/>
        </w:rPr>
        <w:t xml:space="preserve">, the court found that the remoteness of damages was a question of fact. I note that </w:t>
      </w:r>
      <w:r>
        <w:rPr>
          <w:rFonts w:ascii="arial" w:eastAsia="arial" w:hAnsi="arial" w:cs="arial"/>
          <w:i/>
          <w:color w:val="000000"/>
          <w:sz w:val="20"/>
          <w:lang w:val="en-US" w:eastAsia="en-US" w:bidi="ar-SA"/>
        </w:rPr>
        <w:t>Suttis</w:t>
      </w:r>
      <w:r>
        <w:rPr>
          <w:rFonts w:ascii="arial" w:eastAsia="arial" w:hAnsi="arial" w:cs="arial"/>
          <w:color w:val="000000"/>
          <w:sz w:val="20"/>
          <w:lang w:val="en-US" w:eastAsia="en-US" w:bidi="ar-SA"/>
        </w:rPr>
        <w:t xml:space="preserve"> has not been followed and was decided prior to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in which the Supreme Court of Canada makes even if the breach caused the harm in fact, the question of whether the breach also caused the plaintiff's damage in law must be considered.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issue is whether the degree of probability is one that is a real risk, i.e., one that would occur to the mind of a reasonable person in the position of the defendant. See also </w:t>
      </w:r>
      <w:r>
        <w:rPr>
          <w:rFonts w:ascii="arial" w:eastAsia="arial" w:hAnsi="arial" w:cs="arial"/>
          <w:i/>
          <w:color w:val="000000"/>
          <w:sz w:val="20"/>
          <w:lang w:val="en-US" w:eastAsia="en-US" w:bidi="ar-SA"/>
        </w:rPr>
        <w:t>Borgfjord (Litigation Guardian of) v. Boizard</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2016 BCCA 317</w:t>
        </w:r>
      </w:hyperlink>
      <w:r>
        <w:rPr>
          <w:rFonts w:ascii="arial" w:eastAsia="arial" w:hAnsi="arial" w:cs="arial"/>
          <w:color w:val="000000"/>
          <w:sz w:val="20"/>
          <w:lang w:val="en-US" w:eastAsia="en-US" w:bidi="ar-SA"/>
        </w:rPr>
        <w:t xml:space="preserve">, in which the Court of Appeal referred to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and noted that the plaintiff must establish causation in law as well as in fact, i.e., that the type of injury was not too remote in law. Accordingly, I am of the view that </w:t>
      </w:r>
      <w:r>
        <w:rPr>
          <w:rFonts w:ascii="arial" w:eastAsia="arial" w:hAnsi="arial" w:cs="arial"/>
          <w:i/>
          <w:color w:val="000000"/>
          <w:sz w:val="20"/>
          <w:lang w:val="en-US" w:eastAsia="en-US" w:bidi="ar-SA"/>
        </w:rPr>
        <w:t>Suttis</w:t>
      </w:r>
      <w:r>
        <w:rPr>
          <w:rFonts w:ascii="arial" w:eastAsia="arial" w:hAnsi="arial" w:cs="arial"/>
          <w:color w:val="000000"/>
          <w:sz w:val="20"/>
          <w:lang w:val="en-US" w:eastAsia="en-US" w:bidi="ar-SA"/>
        </w:rPr>
        <w:t xml:space="preserve"> does not assist as the issue of remoteness is not just a question of fact as set out in </w:t>
      </w:r>
      <w:r>
        <w:rPr>
          <w:rFonts w:ascii="arial" w:eastAsia="arial" w:hAnsi="arial" w:cs="arial"/>
          <w:i/>
          <w:color w:val="000000"/>
          <w:sz w:val="20"/>
          <w:lang w:val="en-US" w:eastAsia="en-US" w:bidi="ar-SA"/>
        </w:rPr>
        <w:t>Suttis</w:t>
      </w:r>
      <w:r>
        <w:rPr>
          <w:rFonts w:ascii="arial" w:eastAsia="arial" w:hAnsi="arial" w:cs="arial"/>
          <w:color w:val="000000"/>
          <w:sz w:val="20"/>
          <w:lang w:val="en-US" w:eastAsia="en-US" w:bidi="ar-SA"/>
        </w:rPr>
        <w:t>. The plaintiff must also establish that the breach caused the plaintiff's damage in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have been a number of cases in which plaintiffs have attempted to recover interest on loans taken out by plaintiffs for living and other expenses following motor vehicle accidents when they were unable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Campbell v. Swetland</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2012 BCSC 423</w:t>
        </w:r>
      </w:hyperlink>
      <w:r>
        <w:rPr>
          <w:rFonts w:ascii="arial" w:eastAsia="arial" w:hAnsi="arial" w:cs="arial"/>
          <w:color w:val="000000"/>
          <w:sz w:val="20"/>
          <w:lang w:val="en-US" w:eastAsia="en-US" w:bidi="ar-SA"/>
        </w:rPr>
        <w:t>, the plaintiff attempted to claim the interest on loans she alleged she had to take out in order to pay for living and other expenses as a result of not being able to work after a motor vehicle accident. The court rejected the claim for interest on the loans stating at paras. 94 and 95: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[94] Dating back to the 1933 decision of the House of Lords in </w:t>
      </w:r>
      <w:r>
        <w:rPr>
          <w:rFonts w:ascii="arial" w:eastAsia="arial" w:hAnsi="arial" w:cs="arial"/>
          <w:i/>
          <w:color w:val="000000"/>
          <w:sz w:val="20"/>
          <w:lang w:val="en-US" w:eastAsia="en-US" w:bidi="ar-SA"/>
        </w:rPr>
        <w:t>Leisbosch, Dredger v. Edison S.S. (Owners)</w:t>
      </w:r>
      <w:r>
        <w:rPr>
          <w:rFonts w:ascii="arial" w:eastAsia="arial" w:hAnsi="arial" w:cs="arial"/>
          <w:color w:val="000000"/>
          <w:sz w:val="20"/>
          <w:lang w:val="en-US" w:eastAsia="en-US" w:bidi="ar-SA"/>
        </w:rPr>
        <w:t xml:space="preserve"> . . . the basic principle is that the subject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080"/>
        <w:rPr>
          <w:lang w:val="en-US" w:eastAsia="en-US" w:bidi="ar-SA"/>
        </w:rPr>
      </w:pPr>
      <w:r>
        <w:rPr>
          <w:rFonts w:ascii="arial" w:eastAsia="arial" w:hAnsi="arial" w:cs="arial"/>
          <w:color w:val="000000"/>
          <w:sz w:val="20"/>
          <w:lang w:val="en-US" w:eastAsia="en-US" w:bidi="ar-SA"/>
        </w:rPr>
        <w:t>Should recover such a sum as will replace them, so far as can be done by compensation in money, in the same position as if the loss had not been inflicted on them, subject to the rules of law as to remoteness of damage.</w:t>
      </w:r>
    </w:p>
    <w:p>
      <w:pPr>
        <w:spacing w:before="120" w:line="260" w:lineRule="atLeast"/>
        <w:ind w:left="720"/>
        <w:rPr>
          <w:lang w:val="en-US" w:eastAsia="en-US" w:bidi="ar-SA"/>
        </w:rPr>
      </w:pPr>
      <w:r>
        <w:rPr>
          <w:rFonts w:ascii="arial" w:eastAsia="arial" w:hAnsi="arial" w:cs="arial"/>
          <w:color w:val="000000"/>
          <w:sz w:val="20"/>
          <w:lang w:val="en-US" w:eastAsia="en-US" w:bidi="ar-SA"/>
        </w:rPr>
        <w:t>[95] The House of Lords denied compensation for a special loss or extra expense due to the financial position of the plaintiff. Lord Wright held at page 460:</w:t>
      </w:r>
    </w:p>
    <w:p>
      <w:pPr>
        <w:spacing w:before="120" w:line="260" w:lineRule="atLeast"/>
        <w:ind w:left="1080"/>
        <w:rPr>
          <w:lang w:val="en-US" w:eastAsia="en-US" w:bidi="ar-SA"/>
        </w:rPr>
      </w:pPr>
      <w:r>
        <w:rPr>
          <w:rFonts w:ascii="arial" w:eastAsia="arial" w:hAnsi="arial" w:cs="arial"/>
          <w:color w:val="000000"/>
          <w:sz w:val="20"/>
          <w:lang w:val="en-US" w:eastAsia="en-US" w:bidi="ar-SA"/>
        </w:rPr>
        <w:t>But the appellant's actual loss in so far as it was due to their impecuniosity arose from that impecuniosity as a separate and concurrent cause, extraneous to and distinct in character from the tort; the impecuniosity was not traceable to the respondents' acts, and in my opinion, was outside the legal purview of the consequences of these acts. The law cannot take account of everything that follows a wrongful act' it regards some subsequent matters as outside the scope of its selection, because 'it were infinite for the law to judge the cause of causes,' or consequences of consequences.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court on </w:t>
      </w:r>
      <w:r>
        <w:rPr>
          <w:rFonts w:ascii="arial" w:eastAsia="arial" w:hAnsi="arial" w:cs="arial"/>
          <w:i/>
          <w:color w:val="000000"/>
          <w:sz w:val="20"/>
          <w:lang w:val="en-US" w:eastAsia="en-US" w:bidi="ar-SA"/>
        </w:rPr>
        <w:t>Swetland</w:t>
      </w:r>
      <w:r>
        <w:rPr>
          <w:rFonts w:ascii="arial" w:eastAsia="arial" w:hAnsi="arial" w:cs="arial"/>
          <w:color w:val="000000"/>
          <w:sz w:val="20"/>
          <w:lang w:val="en-US" w:eastAsia="en-US" w:bidi="ar-SA"/>
        </w:rPr>
        <w:t xml:space="preserve"> went on to note that in employment law, interest paid on monies borrowed to cover personal expenses while between jobs have been held not to be recoverable and, in contract law, losses arising from a plaintiff's impecuniosity or lack of financial resources have been held not to be recoverable.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Isbister v. Delong</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2014 BCSC 1947</w:t>
        </w:r>
      </w:hyperlink>
      <w:r>
        <w:rPr>
          <w:rFonts w:ascii="arial" w:eastAsia="arial" w:hAnsi="arial" w:cs="arial"/>
          <w:color w:val="000000"/>
          <w:sz w:val="20"/>
          <w:lang w:val="en-US" w:eastAsia="en-US" w:bidi="ar-SA"/>
        </w:rPr>
        <w:t>, the plaintiff borrowed money following a motor vehicle accident to pay living expenses and healthcare costs while she was unable to work due to her injuries. She attempted to claim the interest on that amount at trial as damages and also as disbursements. The court denied recovery stating at paragraph 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view, assuming that the interest is paid, the interest on a loan to fund general living expenses including treatment costs during the course of litigation is not recoverable as damages where, as here, it is not reasonably foreseeable and arises because of the impecuniosity of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decision was upheld on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noted earlier, the plaintiff relies on </w:t>
      </w:r>
      <w:r>
        <w:rPr>
          <w:rFonts w:ascii="arial" w:eastAsia="arial" w:hAnsi="arial" w:cs="arial"/>
          <w:i/>
          <w:color w:val="000000"/>
          <w:sz w:val="20"/>
          <w:lang w:val="en-US" w:eastAsia="en-US" w:bidi="ar-SA"/>
        </w:rPr>
        <w:t>Polovnikoff v. Banks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Elofson v. Davis</w:t>
      </w:r>
      <w:r>
        <w:rPr>
          <w:rFonts w:ascii="arial" w:eastAsia="arial" w:hAnsi="arial" w:cs="arial"/>
          <w:color w:val="000000"/>
          <w:sz w:val="20"/>
          <w:lang w:val="en-US" w:eastAsia="en-US" w:bidi="ar-SA"/>
        </w:rPr>
        <w:t xml:space="preserve"> for the proposition that damages for selling a property as a result of an accident are not too remote and that the loss is properly claimable in an action for personal injury. However, in my opinion, those cases are distinguishable. Both cases involved properties used for business purposes, i.e., for generating income. In this case, the property in issue is the family home. </w:t>
      </w:r>
      <w:r>
        <w:rPr>
          <w:rFonts w:ascii="arial" w:eastAsia="arial" w:hAnsi="arial" w:cs="arial"/>
          <w:i/>
          <w:color w:val="000000"/>
          <w:sz w:val="20"/>
          <w:lang w:val="en-US" w:eastAsia="en-US" w:bidi="ar-SA"/>
        </w:rPr>
        <w:t>Elofson</w:t>
      </w:r>
      <w:r>
        <w:rPr>
          <w:rFonts w:ascii="arial" w:eastAsia="arial" w:hAnsi="arial" w:cs="arial"/>
          <w:color w:val="000000"/>
          <w:sz w:val="20"/>
          <w:lang w:val="en-US" w:eastAsia="en-US" w:bidi="ar-SA"/>
        </w:rPr>
        <w:t xml:space="preserve"> was decided prior to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Polovnikoff</w:t>
      </w:r>
      <w:r>
        <w:rPr>
          <w:rFonts w:ascii="arial" w:eastAsia="arial" w:hAnsi="arial" w:cs="arial"/>
          <w:color w:val="000000"/>
          <w:sz w:val="20"/>
          <w:lang w:val="en-US" w:eastAsia="en-US" w:bidi="ar-SA"/>
        </w:rPr>
        <w:t xml:space="preserve"> does not refer to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Neither case has been followed for the proposition that damages arising from the sale of a property and, in particular, a personal property as opposed to a business property, are recoverable in a personal injury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Liu v. Bourget</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2014 BCSC 291</w:t>
        </w:r>
      </w:hyperlink>
      <w:r>
        <w:rPr>
          <w:rFonts w:ascii="arial" w:eastAsia="arial" w:hAnsi="arial" w:cs="arial"/>
          <w:color w:val="000000"/>
          <w:sz w:val="20"/>
          <w:lang w:val="en-US" w:eastAsia="en-US" w:bidi="ar-SA"/>
        </w:rPr>
        <w:t>, a case involving a motor vehicle accident, a similar claim for loss of appreciation of property was rejected for a number of reasons. The court noted, at paragraph 268, that in any event the loss claimed was not a foreseeable consequence of the accident and, therefore, too remote to be recoverable.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Although the plaintiff attempts to distinguish the cases involving interest on loans taken out after a motor vehicle accident for living and other expenses from a claim for appreciation of a property, it is my opinion that the principles set out in those cases are applicable to this case. The evidence before the court in </w:t>
      </w:r>
      <w:r>
        <w:rPr>
          <w:rFonts w:ascii="arial" w:eastAsia="arial" w:hAnsi="arial" w:cs="arial"/>
          <w:i/>
          <w:color w:val="000000"/>
          <w:sz w:val="20"/>
          <w:lang w:val="en-US" w:eastAsia="en-US" w:bidi="ar-SA"/>
        </w:rPr>
        <w:t>Swetland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Isbister</w:t>
      </w:r>
      <w:r>
        <w:rPr>
          <w:rFonts w:ascii="arial" w:eastAsia="arial" w:hAnsi="arial" w:cs="arial"/>
          <w:color w:val="000000"/>
          <w:sz w:val="20"/>
          <w:lang w:val="en-US" w:eastAsia="en-US" w:bidi="ar-SA"/>
        </w:rPr>
        <w:t xml:space="preserve"> was that the loans were taken out to pay for living and other expenses as a result of the plaintiffs being unable to work following a motor vehicle accident. As stated in </w:t>
      </w:r>
      <w:r>
        <w:rPr>
          <w:rFonts w:ascii="arial" w:eastAsia="arial" w:hAnsi="arial" w:cs="arial"/>
          <w:i/>
          <w:color w:val="000000"/>
          <w:sz w:val="20"/>
          <w:lang w:val="en-US" w:eastAsia="en-US" w:bidi="ar-SA"/>
        </w:rPr>
        <w:t>Swetland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Isbister</w:t>
      </w:r>
      <w:r>
        <w:rPr>
          <w:rFonts w:ascii="arial" w:eastAsia="arial" w:hAnsi="arial" w:cs="arial"/>
          <w:color w:val="000000"/>
          <w:sz w:val="20"/>
          <w:lang w:val="en-US" w:eastAsia="en-US" w:bidi="ar-SA"/>
        </w:rPr>
        <w:t>, the law does not compensate plaintiffs for the consequences of their own pecuniosity.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the decision to sell the house in 2014 was a discretionary decision made by the plaintiff due to financial difficulties. It is clear from the case law that if a person's own impecuniosity is a cause of damage, then the damage is not recoverable. The rationale behind this proposition rests on foreseeability. It is not reasonably foreseeable to a tortfeasor that they will injure an impecunious person or that a car accident will lead to a chain of events culminating in impecuniosity and subsequent economic losses.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Having reviewed the case law and the submissions, it is my view that the claim for appreciation of the house is not recoverable as it is not reasonably foreseeable and is too remote to be recoverable.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Accordingly, I am dismissing the plaintiff's application to amend the notice of civil claim to claim the loss of appreciation in the family home. As a result of my conclusion, the appraisal reports are not admissible as they are not relevant to any of the matters in issue.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L.B. GEROW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McKibbon (Re), [2019] B.C.J. No. 963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Bankruptcy and Insolvency)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D.K. Hori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52581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Estate No. 11-1764458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963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848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Bankruptcy of William Edward McKibbon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Bankruptcy and insolvency law — Administration of estate — Administrative officials and appointees — Trustees — Trustees in bankruptcy — Removal and discharge — Application by McKibbon to revoke the discharge of the trustee dismissed — McKibbon made an assignment into bankruptcy in July 2013 and was discharged in February 2016 — The trustee in bankruptcy was discharged in November 2016 — The administration of McKibbon's estate was a summary administration — McKibbon submitted that the discharge order was obtained by the suppression or concealment of material facts, including that the trustee had miscalculated the surplus income numbers — The trustee disputed those allegations — There was no basis upon which any fraudulent intention could be inferred on the part of the trustee — Bankruptcy and Insolvency Act, s. 41(8).</w:t>
      </w:r>
    </w:p>
    <w:p>
      <w:pPr>
        <w:jc w:val="both"/>
        <w:rPr>
          <w:rFonts w:ascii="arial" w:eastAsia="arial" w:hAnsi="arial" w:cs="arial"/>
          <w:sz w:val="20"/>
          <w:lang w:val="en-US" w:eastAsia="en-US" w:bidi="ar-SA"/>
        </w:rPr>
      </w:pPr>
      <w:bookmarkStart w:id="7" w:name="Legislation Cited"/>
      <w:bookmarkEnd w:id="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Bankruptcy Act, 1883,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Bankruptcy and Insolvency Act, R.S.C., 1985, c. B-3, s. 41(1), s. 41(8)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Bankruptcy and Insolvency General Rules, Rule 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 w:name="Counsel_0"/>
      <w:bookmarkEnd w:id="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Bankrupt: C.G. Reedman.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Trustee, BDO Canada Limited: S.D. Dvorak.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 w:name="Judgment_0"/>
      <w:bookmarkEnd w:id="9"/>
      <w:r>
        <w:pict>
          <v:line id="_x0000_s1032"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 w:name="D.K. HORI J."/>
            <w:bookmarkEnd w:id="10"/>
            <w:r>
              <w:rPr>
                <w:rFonts w:ascii="arial" w:eastAsia="arial" w:hAnsi="arial" w:cs="arial"/>
                <w:b/>
                <w:color w:val="000000"/>
                <w:sz w:val="30"/>
                <w:lang w:val="en-US" w:eastAsia="en-US" w:bidi="ar-SA"/>
              </w:rPr>
              <w:t>D.K. HORI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applicant, William Edward McKibbon, made an assignment into bankruptcy on July 2, 2013. The applicant's trustee in bankruptcy was the respondent, BDO Canada Limited. The other respondents in this application, Stuart Rennie and Dustin Joslin, are employees of BDO Canada and were involved in the administration of the applicant's estate. Dustin Joslin is a manager with BDO Canada and undertook the primary administration of the estate. Stuart Rennie is a licensed insolvency trustee working with BDO Canada. The applicant was discharged from bankruptcy on February 24, 2016, after successfully fulfilling the terms of a conditional discharge order pronounced on January 4, 2016. The trustee in bankruptcy was discharged on November 5, 2016. The applicant seeks to revoke the discharge of the trustee pursuant to Section 41(8)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R.S.C., 1985, c. B-3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Section 41(1)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when a trustee has completed the duties required of it with respect to the administration of the property of a bankrupt, the trustee shall apply to the court for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administration of the applicant's estate in this case was a summary administration. Accordingly, the process for applying to the court for discharge is governed by Rule 62 of the Bankruptcy and Insolvency General Rules. The process for discharge of a trustee under a summary administration requires the sending of prescribed documents to the creditors who have proved a claim. In this case, BDO Canada applied for a discharge by sending the required documentation to the creditors and the applicant. BDO Canada was discharged on November 5, 2016. No objections to the discharge were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applicant claims that he did not receive the documents submitted by the trustee in support of its discharge. However, the evidence includes an affidavit of mailing sworn by Kellie Dobie deposing that the required documents were sent to the applicant. Further, the documents in support of the discharge of the trustee appear in the affidavit material filed on behalf of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applicant relies on s. 41(8)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an order revoking the trustee's discharge. Section 41(8)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discharge of a trustee discharges him from all liability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in respect of any act done or default made by him in the administration of the property of the bankrupt,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in relation to his conduct as trustee,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any discharge may be revoked by the court on proof that it was obtained by fraud or by suppression or concealment of any material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applicant submits that the discharge order was obtained by the suppression or concealment of material facts. The applicant alleges that the trustee suppressed or concealed the following information when it applied for a discharge:</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trustee had experienced issues in the calculation of the surplus income payable by the bankrupt to his creditors in that the trustee had miscalculated the surplus income numbers;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 by which the trustee calculated the surplus income;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trustee had not finalized the applicant's pre- and post-bankruptcy income tax obligations because it had made errors when submitting those tax returns to the Canada Revenue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applicant submits that the suppression or concealment of a material fact need only be grossly negligent in order to form the basis of an order revoking the discharge. He contends that the suppression or concealment need not be fraudulent and need not have any element of blameworthy conduct associated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However, the interpretation of s. 41(8) as far back as 1899 has required an element of fraud in the suppression or concealment of a material fact. In the case of </w:t>
      </w:r>
      <w:r>
        <w:rPr>
          <w:rFonts w:ascii="arial" w:eastAsia="arial" w:hAnsi="arial" w:cs="arial"/>
          <w:i/>
          <w:color w:val="000000"/>
          <w:sz w:val="20"/>
          <w:lang w:val="en-US" w:eastAsia="en-US" w:bidi="ar-SA"/>
        </w:rPr>
        <w:t>Lee Harris</w:t>
      </w:r>
      <w:r>
        <w:rPr>
          <w:rFonts w:ascii="arial" w:eastAsia="arial" w:hAnsi="arial" w:cs="arial"/>
          <w:color w:val="000000"/>
          <w:sz w:val="20"/>
          <w:lang w:val="en-US" w:eastAsia="en-US" w:bidi="ar-SA"/>
        </w:rPr>
        <w:t xml:space="preserve">, The Law Reports, Queen's Bench Division (1899), the court considered the provisions of the </w:t>
      </w:r>
      <w:r>
        <w:rPr>
          <w:rFonts w:ascii="arial" w:eastAsia="arial" w:hAnsi="arial" w:cs="arial"/>
          <w:i/>
          <w:color w:val="000000"/>
          <w:sz w:val="20"/>
          <w:lang w:val="en-US" w:eastAsia="en-US" w:bidi="ar-SA"/>
        </w:rPr>
        <w:t>Bankruptcy Act</w:t>
      </w:r>
      <w:r>
        <w:rPr>
          <w:rFonts w:ascii="arial" w:eastAsia="arial" w:hAnsi="arial" w:cs="arial"/>
          <w:color w:val="000000"/>
          <w:sz w:val="20"/>
          <w:lang w:val="en-US" w:eastAsia="en-US" w:bidi="ar-SA"/>
        </w:rPr>
        <w:t>, 1883, which enacted that the "order of release may be revoked on proof that it was obtained by fraud or by the suppression or concealment of any material fact." The court held that the words "suppression or concealment" ought to be construed as meaning fraud or such suppression or concealment as has in it some element of fraud. The court went further to indicate that it would be a wrong construction to say that the "release" may be revoked simply because some material fact has been concealed, if there were no element of wrongfulness in the circumstances of the concealment.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More recently, in 2011, the Superior Court of Québec reached a similar conclusion in the case of </w:t>
      </w:r>
      <w:r>
        <w:rPr>
          <w:rFonts w:ascii="arial" w:eastAsia="arial" w:hAnsi="arial" w:cs="arial"/>
          <w:i/>
          <w:color w:val="000000"/>
          <w:sz w:val="20"/>
          <w:lang w:val="en-US" w:eastAsia="en-US" w:bidi="ar-SA"/>
        </w:rPr>
        <w:t>Re Delorme</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2011 QCCS 236</w:t>
        </w:r>
      </w:hyperlink>
      <w:r>
        <w:rPr>
          <w:rFonts w:ascii="arial" w:eastAsia="arial" w:hAnsi="arial" w:cs="arial"/>
          <w:color w:val="000000"/>
          <w:sz w:val="20"/>
          <w:lang w:val="en-US" w:eastAsia="en-US" w:bidi="ar-SA"/>
        </w:rPr>
        <w:t>. In that case the court held at paragraph 34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words "obtained by fraud or by suppression or concealment of any material fact" in section 41(8)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indicate that the suppression or concealment referred to must be fraudulent in nature. The terms used by Parliament do not target cases of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professional fault. In order to have the trustee's discharge revoked, the applicant must prove fraud on the part of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applicant suggests that these authorities are wrongly decided. However, no authorities have been cited to me that call into question the conclusions in these cases. In my view these authorities are in keeping with the ordinary meaning of the words "concealment" and "suppression" which both suggest an element of dishonesty. Therefore, I must conclude that the applicant is required to establish that any steps taken by the trustee at the time of its discharge to suppress or conceal facts was done so fraudulently or with some element of fraud in the circumstances. It is not sufficient for the applicant to establish that the failure to disclose a material fact was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professional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applicant alleges that through the course of the administration of his estate, the trustee misrepresented, concealed or suppressed information from the applicant about the steps taken in the administration. In particular, the applicant alleges that he was not advised of the method by which the surplus income was calculated and it was not fully explained to him that errors had been made in those calculations by the trustee. In addition, the applicant alleges that the trustee made errors in the preparation of his pre- and post-bankruptcy income tax returns. He alleges further that the trustee failed to advise him in a timely manner of those mistakes and that the trustee blamed the errors on the Canada Revenue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These allegations are disputed by the trustee. The trustee claims that surplus income calculations were appropriate. The trustee also claims that the issues relating to the income tax returns were the result of the Canada Revenue Agency, incorrectly, re-allocating income and expenses between the pre- and post-bankruptcy periods. There is a significant disagreement on the facts based on the affidavits filed on this application. However, for the purposes of this application, it is not necessary for me to resolve those differences as it is the court's task to determine whether the trustee suppressed or concealed these facts in order to obtain its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applicant submits that when the trustee applied for a discharge it should have disclosed to the court the following facts but instead concealed and suppressed them for the purposes of obtaining a discharge: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surplus income had been incorrectly calculated by the trustee;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 by which the trustee calculated the surplus income;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trustee had erroneously prepared the applicant's pre- and post- bankruptcy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"Alleged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submissions of the parties was focussed on whether the Alleged Material Facts were suppressed or concealed and whether a fraudulent component to the suppression or concealment was required. The parties did not address whether the Alleged Material Facts were material facts as contemplated by section 41(8)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Since I have accepted that in order for there to be a "suppression or concealment of a material fact", there must be an element of fraud, the applicant has the onus to establish that the trustee purposely suppressed or concealed the Alleged Material Facts with the intent to defraud the court, the creditors or the applicant. For the reasons that follow, I have concluded that the applicant has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ongoing difficulties with the calculation of the surplus income was concluded by an order of the bankruptcy court on January 4, 2016, when it set the surplus income amount payable at $1,500. That order was not appealed by the bankrupt and, in fact, the bankrupt paid the $1,500 surplus income amount and received his discharge from bankruptcy. Therefore, I see no reason for the trustee to have disclosed any of the surplus income issues when it applied for its discharge under s. 41(8). Further, it is not likely that the trustee would have considered that difficulties with the calculation of the surplus income and the method of its calculation were facts that required disclosure at the time of the trustee's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to the pre- and post-bankruptcy income tax returns, on January 15, 2016, the trustee submitted revised 2013 pre- and post-bankruptcy tax returns to the Canada Revenue Agency. Those revised tax returns were intended to correct any errors or confusion that had arisen with respect to the original tax returns filed on behalf of the bankrupt. The trustee claims that any errors or confusion about the tax returns was the result of an incorrect re-assessment of the returns by Canada Revenue Agency. In any event, revised tax returns for 2013 were submitted by the trustee on January 15, 2016, and notices of re-assessment were issued by the Canada Revenue Agency on February 23, 2016. Therefore, once again I see no reason for the trustee to have considered that the disclosure of those errors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Finally, there is no evidence from which I can conclude that the trustee's failure to disclose the Alleged Material Facts was intentional. The applicant suggests that the failure to disclose was motivated by the trustee's desire to avoid civil liability under the protection of section 41(8)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However, the evidence falls short of establishing this theory. There is no evidence that the trustee was concerned about civil liability before it applied for a discharge. There is no evidence that the trustee was put on notice that it should be concerned about civil liability before it applied for a discharge. The evidence is that the trustee had proceeded through this bankruptcy with the view that the surplus income calculations were done in the proper manner and that the income tax issues, which had been created by the Canada Revenue Agency, were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Accordingly, I have concluded that there is no basis upon which any fraudulent intention that can be inferred on the part of the trustee in failing to disclose the Alleged Material Facts in its discharge application. Therefore, the application to revoke the trustee's discharge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would order costs of the application to the respondents unless the parties wish to make submissions on the issue of costs. Any such submissions must be arranged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D.K. HORI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
          <w:headerReference w:type="default" r:id="rId28"/>
          <w:footerReference w:type="even" r:id="rId29"/>
          <w:footerReference w:type="default" r:id="rId30"/>
          <w:headerReference w:type="first" r:id="rId31"/>
          <w:footerReference w:type="first" r:id="rId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 w:history="1">
        <w:r>
          <w:rPr>
            <w:rFonts w:ascii="arial" w:eastAsia="arial" w:hAnsi="arial" w:cs="arial"/>
            <w:b/>
            <w:bCs/>
            <w:i/>
            <w:color w:val="0077CC"/>
            <w:kern w:val="32"/>
            <w:sz w:val="28"/>
            <w:szCs w:val="32"/>
            <w:u w:val="single"/>
            <w:shd w:val="clear" w:color="auto" w:fill="FFFFFF"/>
            <w:lang w:val="en-US" w:eastAsia="en-US" w:bidi="ar-SA"/>
          </w:rPr>
          <w:t>Mirhadi v. Famous Players Inc., [2002] B.C.J. No. 345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Bolton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A990352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345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267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901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Mirhadi, Shahazad Mirhadi, Nikaya-Mirhadi Pathon, an infant by her Guardian ad litem, René Pathon, plaintiffs, and Famous Players Inc., Matthew Ward, André May, Michael Caster and John Moroury,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 w:name="Keywords_1"/>
      <w:bookmarkEnd w:id="11"/>
      <w:r>
        <w:rPr>
          <w:rFonts w:ascii="arial" w:eastAsia="arial" w:hAnsi="arial" w:cs="arial"/>
          <w:b/>
          <w:color w:val="000000"/>
          <w:sz w:val="20"/>
          <w:lang w:val="en-US" w:eastAsia="en-US" w:bidi="ar-SA"/>
        </w:rPr>
        <w:t>Practice — Discovery — Production and inspection of documents — Cost of production — What documents must be produced.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 w:name="Case Summary_0"/>
            <w:bookmarkEnd w:id="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for the production of documents from the defendant. The plaintiffs brought an action under the Family Compensation Act for damages resulting from a murder that occurred in a movie theatre. The murderer entered the theatre through an open fire door. The plaintiffs claimed that the defendant was negligent in failing to prevent access by the murderer, and by deliberately propping the fire door open. The plaintiff sought documents involving any incidents in which a person entered the theatre by the fire doors to commit a criminal act. The defence was based on foreseeability. The defendant Famous Players claimed that the documents were not relevant and that production of the documents would be too onerous. The defendant's 96 theatre with 850 auditoria each filed their own incident reports.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 w:name="Holdings of Court_0"/>
            <w:bookmarkEnd w:id="13"/>
            <w:r>
              <w:rPr>
                <w:rFonts w:ascii="arial" w:eastAsia="arial" w:hAnsi="arial" w:cs="arial"/>
                <w:color w:val="000000"/>
                <w:sz w:val="20"/>
                <w:lang w:val="en-US" w:eastAsia="en-US" w:bidi="ar-SA"/>
              </w:rPr>
              <w:t>HELD: Application adjourned.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Because of the defendant's inadequate filing system, the parties were ordered to devise some means of segregating documents likely to be of interest to the plaintiffs on the issue of foreseeability. It was not fair to require the defendant to conduct such a mammoth task given the low probability of finding any document that might impose liability on the defendant. The plaintiffs presented no evidence that relevant documents existed. Even if they did, their relevance was problematic.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 w:name="Legislation Cited_0"/>
      <w:bookmarkEnd w:id="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Compensation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 w:name="Counsel_1"/>
      <w:bookmarkEnd w:id="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W.D. MacLeod, for the plaintiffs. D. Pangman, for the defendants, Famous Players Inc., Matthew Ward and André May.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 w:name="Judgment_1"/>
      <w:bookmarkEnd w:id="16"/>
      <w:r>
        <w:pict>
          <v:line id="_x0000_s1037" style="position:absolute;z-index:251813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 w:name="MASTER BOLTON"/>
            <w:bookmarkEnd w:id="17"/>
            <w:r>
              <w:rPr>
                <w:rFonts w:ascii="arial" w:eastAsia="arial" w:hAnsi="arial" w:cs="arial"/>
                <w:b/>
                <w:color w:val="000000"/>
                <w:sz w:val="30"/>
                <w:lang w:val="en-US" w:eastAsia="en-US" w:bidi="ar-SA"/>
              </w:rPr>
              <w:t>MASTER BOLTON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plaintiffs for production of documents by the defendant Famous Players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is brought under the Family Compensation Act for damages arising from the death of Mohammed Mirhadi, who was murdered in a movie theatre in North Vancouver operated by Famous Players. The plaintiffs allege that the defendant Caster utilized an open fire door to enter the darkened auditorium where Mr. Mirhadi was watching the movie, and shot him there. Mr. Caster has been convicted of murder. The plaintiffs also allege that the defendant Moroury assisted Caster in the murder. Mr. Moroury was acquitted on a charge of murder.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basis of the liability alleged against Famous Players is, inter alia,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prevent access by the killer to the auditorium via the fire exit doors, and more particularly, for deliberately allowing the doors to remain propped open. The defence, predictably, is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are seeking documents which might enable them to challenge that defence. They have applied for an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production of any documentation of any incidents involving theft, robbery, assault, stalking, threats or any other similar criminal activity within any one of the Famous Players' theatres;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some discussion in chambers, this extremely wide request was narrowed to:</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involving any incident where a person entered through fire doors while patrons were present and then committed a criminal act;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involving criminal incidents involving violence between two or more patrons;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either case, documents limited to the five years immediately preceding the murder of Mr. Mirhadi on February 28, 1997, with liberty to the plaintiffs to apply if they conclude that a longer time frame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Famous Players objects to any production. First, because the documents sought are not relevant. Second, because the cost of producing them would be so high in relation to their anticipated probative value that it would be unjust to impose such a burden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With regard to relevance, counsel's research produced very few cases dealing with the relevance of other violent incidents in places of public resort. The only Canadian case cited is a decision of the Supreme Court of Ontario, Court of Appeal, in McKenna v. Greco </w:t>
      </w:r>
      <w:hyperlink r:id="rId34" w:history="1">
        <w:r>
          <w:rPr>
            <w:rFonts w:ascii="arial" w:eastAsia="arial" w:hAnsi="arial" w:cs="arial"/>
            <w:i/>
            <w:color w:val="0077CC"/>
            <w:sz w:val="20"/>
            <w:u w:val="single"/>
            <w:shd w:val="clear" w:color="auto" w:fill="FFFFFF"/>
            <w:lang w:val="en-US" w:eastAsia="en-US" w:bidi="ar-SA"/>
          </w:rPr>
          <w:t>(1981), 125 D.L.R. (3d) 268</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33 O.R. (2d) 595</w:t>
        </w:r>
      </w:hyperlink>
      <w:r>
        <w:rPr>
          <w:rFonts w:ascii="arial" w:eastAsia="arial" w:hAnsi="arial" w:cs="arial"/>
          <w:color w:val="000000"/>
          <w:sz w:val="20"/>
          <w:lang w:val="en-US" w:eastAsia="en-US" w:bidi="ar-SA"/>
        </w:rPr>
        <w:t>. In that case, the plaintiff was assaulted and seriously injured in a bar owned by the defendant. The trial judge refused to admit evidence of previous incidents of violence in the defendant's hotel. The Court of Appeal ordered a new trial on the issue of liability. The court adopted the view expressed in American authorities that evidence of conduct of patrons on prior occasions is admissible to show that similar conduct could reasonably have been anticipated by the defendants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decision was actually cited by counsel for the defendants, who sought to distinguish it on the basis that it applied only to previous acts of violence in the particular premises involved in the litigation. In the present case, Famous Players has already produced documents relating to the only other known incident of violence in this particular theatre complex - an armed robbery of a cashier in the box office which was totally different in character to the act perpetrated by Caster. While the distinction is certainly valid, on the facts, there is in my opinion no reason to confine the case to these facts. If crimes have been committed in, say, Alberta and Nova Scotia in similar circumstances to those alleged here, their potential relevance to the defence of foreseeability seems to me to be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Counsel's research produced only one case in North America dealing with criminal activity on premises other than those in issue in the particular litigation. This is Martinko v. H-N-W Associates (1986), 393 Northwestern Reporter (2d) 320, a decision of a majority of the Supreme Court of Iowa. In that case, the plaintiff's daughter was murdered in the parking lot of a shopping mall. Her father sued the mall owners, and at trial sought to introduce evidence that in the four previous years 126 crimes had been reported at 26 other malls in various parts of the country in which the defendants owned an interest. The plaintiff's case was dismissed by the trial court. On appeal, the only issue was whether the defendants owed the plaintiff a duty of care - essentially, whether the defendants should have foreseen the attack on the plaintiff's daughter because of their past experience.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that shopping malls are businesses characterized by a likelihood that third persons may endanger their patrons. . . .Thus, whether some crimes occurred at the defendants' other malls in other cities, states, or countries is not probative of foreseeability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my view, this decision does not assist the defendants. The whole point of the plaintiffs' request for documents is to obtain any evidence which may exist showing that darkened movie theatres are businesses characterized by a likelihood that third parties may endanger their patrons. If such evidence is to be found in the files of the defendants, I have no doubt that, for pre-trial discovery purposes, it is relevant on the principles set out in Cie Financi re du Pacifique v. Peruvian Guano Co. (1882), 11 Q.B.D. 55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every document relates to the matters in question in the action, which not only would be evidence upon any issue, but also which, it is reasonable to suppose, contains information which may - not which must - either directly or indirectly enable the party requiring the affidavit either to advance his own case or to damage the case of his adversary.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second argument is that it would be unjustly onerous to order the production sought by the plaintiffs, whether as originally specified in the notice of motion or as narrowed in chambers. It relies on an affidavit sworn by a Mr. Smith, its vice president of Human Resources and Industrial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Smith has worked for Famous Players since 1973, with increasing numbers of theatres under his supervision. He describes Famous Players' policy for incidents which occur in a theatre that involve injury, accident, property damage, or criminal activity. In such cases, employees prepare a written incident report which is forwarded to head office in Toronto. The affidavit does not say what happens to the incident reports once they reach Toronto. The possibilities presumably range from the reports being immediately buried in files, unread, without ever again seeing the light of day, to every single report being immediately forwarded to insurers. Ultimately, however, the reports are indeed filed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Smith deposes that Famous Players has 95 other movie theatres in addition to the North Vancouver complex in issue here. The 96 sites contain about 850 auditoria, and every year more than 50 million "guests" attend the theatres across Canada. Incident reports filed by the theatres are not kept together but are placed in the individual file or files for each theatre, along with all the other head-office documents relating to that theatre.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goes on to say that it would be extremely onerous to search for the documents requested by the plaintiff. He says: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 . .The search would require one or more Famous Players employees to search through all of the individual files and records with respect to each of the Famous Players movie theatres and to read every incident report in every file to determine whether the incident report described an incident of criminal activity of the nature and kind sought by counsel for the Plaintiffs, or whether the incident report described some other incident such as, for example, an injury suffered by a patron after a slip and fall.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cannot be sure of the precise number of files that would need to be searched, but it is my estimate that there would likely be several thousand files for the 96 theatres currently operating as well as additional theatres that are not currently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estimates it would take one employee several weeks to complete the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am satisfied that this evidence of the difficulty and expense of the search is germane to the plaintiffs' application. While the potential relevance of the documents is by far the most important consideration, it does not completely eliminate other issues such as cost and convenience or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Thus, in Fraser v. Houston </w:t>
      </w:r>
      <w:hyperlink r:id="rId35" w:history="1">
        <w:r>
          <w:rPr>
            <w:rFonts w:ascii="arial" w:eastAsia="arial" w:hAnsi="arial" w:cs="arial"/>
            <w:i/>
            <w:color w:val="0077CC"/>
            <w:sz w:val="20"/>
            <w:u w:val="single"/>
            <w:shd w:val="clear" w:color="auto" w:fill="FFFFFF"/>
            <w:lang w:val="en-US" w:eastAsia="en-US" w:bidi="ar-SA"/>
          </w:rPr>
          <w:t>(1997), 36 B.C.L.R. (3d) 118</w:t>
        </w:r>
      </w:hyperlink>
      <w:r>
        <w:rPr>
          <w:rFonts w:ascii="arial" w:eastAsia="arial" w:hAnsi="arial" w:cs="arial"/>
          <w:color w:val="000000"/>
          <w:sz w:val="20"/>
          <w:lang w:val="en-US" w:eastAsia="en-US" w:bidi="ar-SA"/>
        </w:rPr>
        <w:t xml:space="preserve"> (S.C.), Shaw, J. concluded that financial documents of a plaintiff had "at least marginal probative value" to an allegation of economic duress, but declined to order their production: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 I am of the view that to allow an exploration of the nature that is requested by the defendants has a potential prejudicial effect upon Mr. Fraser's privacy which well outweighs any apparent probative value that there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United Services Funds v. Ward </w:t>
      </w:r>
      <w:hyperlink r:id="rId36" w:history="1">
        <w:r>
          <w:rPr>
            <w:rFonts w:ascii="arial" w:eastAsia="arial" w:hAnsi="arial" w:cs="arial"/>
            <w:i/>
            <w:color w:val="0077CC"/>
            <w:sz w:val="20"/>
            <w:u w:val="single"/>
            <w:shd w:val="clear" w:color="auto" w:fill="FFFFFF"/>
            <w:lang w:val="en-US" w:eastAsia="en-US" w:bidi="ar-SA"/>
          </w:rPr>
          <w:t>(1986), 5 B.C.L.R. (2d) 379</w:t>
        </w:r>
      </w:hyperlink>
      <w:r>
        <w:rPr>
          <w:rFonts w:ascii="arial" w:eastAsia="arial" w:hAnsi="arial" w:cs="arial"/>
          <w:color w:val="000000"/>
          <w:sz w:val="20"/>
          <w:lang w:val="en-US" w:eastAsia="en-US" w:bidi="ar-SA"/>
        </w:rPr>
        <w:t xml:space="preserve"> (C.A.), the issue was a series of interrogatories about the defendants' financial affairs, whose relevance was predicated on a claim for punitive damages. The judge in chambers conceded relevance on the pleadings, at least for the purposes of the argument, but held that the interrogatories put the defendants in an extremely invidious position. The court refused to order the production of financial information until after a finding of liability. The decision was approved by Seaton, J.A. on an application for leave to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appellant's position is that if evidence is relevant to an issue, the chambers judge is bound to require answers. I do not agree to that proposition. I think that there is an element of discretion in these matters. If, as here, the answer is only of minimal importance to the litigation and may constitute a serious invasion of the parties' privacy, I think it open to a chambers judge to decline to require that the questions be answered.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G.W.L. Properties Ltd. v. W.R. Grace &amp; Co. </w:t>
      </w:r>
      <w:hyperlink r:id="rId37" w:history="1">
        <w:r>
          <w:rPr>
            <w:rFonts w:ascii="arial" w:eastAsia="arial" w:hAnsi="arial" w:cs="arial"/>
            <w:i/>
            <w:color w:val="0077CC"/>
            <w:sz w:val="20"/>
            <w:u w:val="single"/>
            <w:shd w:val="clear" w:color="auto" w:fill="FFFFFF"/>
            <w:lang w:val="en-US" w:eastAsia="en-US" w:bidi="ar-SA"/>
          </w:rPr>
          <w:t>[1992] B.C.J. No. 2387</w:t>
        </w:r>
      </w:hyperlink>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[1993] B.C.J. No. 3095</w:t>
        </w:r>
      </w:hyperlink>
      <w:r>
        <w:rPr>
          <w:rFonts w:ascii="arial" w:eastAsia="arial" w:hAnsi="arial" w:cs="arial"/>
          <w:color w:val="000000"/>
          <w:sz w:val="20"/>
          <w:lang w:val="en-US" w:eastAsia="en-US" w:bidi="ar-SA"/>
        </w:rPr>
        <w:t>, literally millions of documents were involved. Resistance to production on the basis of the onerous nature of the task was not countenanced by the court, but there was no finding that the potential relevance of the documents was marginal or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present case, I make the following observations about the documents sought: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absolutely no evidence from the plaintiff that relevant documents are likely to exist. There is no suggestion from law reports, newspaper reports, or even anecdote that a violent assault has ever been committed, in any movie theatre anywhere in the world, by a person who entered through an open fire door. Mr. Smith expressly deposes: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far as I am aware, and to the best of my knowledge and belief, there has never been a previous incident of someone entering a Famous Players theatre through an exit door and thereafter committing an assault or other violent incident.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such incident would almost certainly have come to my attention because of the various positions I have held during my employment with Famous Players over the past 28 years.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evidence sounds plausible and reasonable.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such evidence did exist, its ultimate relevance is problematical. The plaintiffs are bound to be confronted with the argument that even if an attack utilizing a fire door for entry could have been foreseen, locking the door would simply divert a determined murderer to another means of entry or even another location.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search for these probably non-existent and quite possibly irrelevant documents will be extremely onerous, as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Fraser v. Houston and United Services v. Ward were both cases where it was a privacy interest that outweighed relevance, and although the cost and inconvenience argument failed on the facts in G.W.L. v. Grace, I am satisfied that on very rare occasions, an order for production of marginally relevant documents may be refused on grounds of expense. Far more than 99 percent of the time it will remain the responsibility of the parties to identify, list and produce their own documents, no matter how difficult the task may be. But I am satisfied that occasionally the cost and difficulty involved will outweigh the value of documents that are very unlikely to exist or to cast any relevant light on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the facts here, it is, in my view, extremely unlikely that the defendants possess any document that might be expected to impose any liability on them that could not be argued without such document. The possibility cannot be entirely ruled out, but in my opinion, subject to one qualification it would not be fair to force the defendants to undertake the mammoth task they have described when there is such a low probability of any useful result. I would not refuse an order for production entirely, but if matters were to rest here, I would make an order that the defendant produce all its files, without listing their contents, at its head office in Toronto, leaving the plaintiffs free to conduct whatever search of them they might wish. To use the common metaphor, the plaintiffs could do all the fishing they wanted, but they would have to bear the entire cost of the expedition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However, there is an aspect of the case that troubles me deeply. I do not doubt the evidence of the defendants' reporting and filing practices given by Mr. Smith. But I have considerable difficulty in accepting that I have heard the full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Presumably Famous Players has insurance. Presumably they are obliged to report incidents which might give rise to claims to their insurers. If they themselves do not have a central file of incident reports, perhaps their insurer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Furthermore, the system described by Mr. Smith, if that truly is the full extent of it, strikes me as completely irresponsible. Incident reports from 50 million visits a year to 850 auditoria in 96 theatres must surely produce common themes; of slips on spilled drinks and trips over popcorn containers; of falls and bruised shins or even assaults occurring while people grope their way back to their seats in the dark. I would have thought that through sheer self-interest the defendants would have some means of identifying common patterns of accidents and claims made against them, with a view to changing policies or even layouts to minimize further claims. If they do not, this court may well be doing them a favour in the long run if it were to order them to start segregating these incident reports so that they are available for analysis. When they are sued for $10 million by a quadriplegic who hit his head on a seat-back after slipping on a spill, it would seem to me that the very lack of existence of a programme for analyzing and avoiding such slips might be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result, I share the concern of Wallace, J.A. in the G.W.L. Properties Ltd. v. W.R. Grace &amp; Co. case, where his lordship said at paragraph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far from being convinced that, if counsel for both parties took a more constructive and cooperative approach to resolving the document problem, - so common to complex litigation they could not devise a less expensive and more efficient method of handling the production and identification of documents.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going to adjourn this application, and ask the parties to attempt to devise some means of identifying the nature of the documents sought and those available which will not result in one side or the other spending weeks to review thousands of useless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first move is up to the defendants, to suggest a means of segregating or consolidating documents likely to be of interest to the plaintiff (or themselves) on the foreseeability issue. If they insist they can do no more than they have already done, I am likely to order them to go through every single piece of paper in their possession relating to every single theatre they own, searching for any document described in paragraph 5 of these reasons. It would be an extremely onerous, and quite possibly useless, task, but it would be necessary because of their own inadequate filing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If the search method can be reduced to a couple of days, I may well order that any search be conducted by the plaintiffs themselves in Toronto (presumably using a law student or similarly inexpensive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If the defendant's insurers have copies of all significant incident reports, presumably the appropriate order would be that the defendant review them itself and produce all relevant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these suggestions, and warnings, I would hope that the parties can resolve the matter themselves. I would suggest that the matter should first be discussed for a week or so. In case that does not work, there will be an order that within two weeks from the date of this order, the defendant provide a further affidavit describing its reporting and filing procedures applicable to these incident reports. Within a further week, each party must make a with prejudice proposal for a method of identifying the potentially relevant documents. Either party may then set the matter for hearing on two clear days' notice. I am, of course, seized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BOLTON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Northwest Organics Limited Partnership v. Sam, [2017] B.C.J. No. 1262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S108325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1262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1088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Northwest Organics, Limited Partnership and Northwest Group Properties Inc., Plaintiffs, and Mike Sam,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 w:name="Keywords_2"/>
      <w:bookmarkEnd w:id="18"/>
      <w:r>
        <w:rPr>
          <w:rFonts w:ascii="arial" w:eastAsia="arial" w:hAnsi="arial" w:cs="arial"/>
          <w:b/>
          <w:color w:val="000000"/>
          <w:sz w:val="20"/>
          <w:lang w:val="en-US" w:eastAsia="en-US" w:bidi="ar-SA"/>
        </w:rPr>
        <w:t>Civil litigation — Civil procedure — Disposition without trial — Dismissal of action — Delay or failure to prosecute — Application by the defendant for dismissal of the action due to delay allowed — Plaintiff commenced present defamation action in 2010 — Neither party took further action on the file until five-and-a-half years later plaintiff filed notice of intention to proceed — Passage of more than six years without proceeding with a defamation action in which malice was alleged amounted to excessive delay — Delay was tactical — Plaintiff had not established a credible excuse for its dilatory approach to the litigation.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 w:name="Case Summary_1"/>
            <w:bookmarkEnd w:id="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dismissal of the action due to delay. The present action was commenced in 2010 seeking damages for defamation, unlawful interference with economic interests and trespass. The defendant was served with the claim in 2011. The plaintiff agreed to extend the deadline for the defendant to file a defence. The plaintiff argued that the discussions between counsel resulted in an abeyance agreement. The defendant denied any such agreement. Neither party took further action on the file until five-and-a-half years later the plaintiff companies filed a notice of intention to proceed. The defendant then filed a defence and immediately brought this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 w:name="Holdings of Court_1"/>
            <w:bookmarkEnd w:id="2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passage of more than six years without proceeding with a defamation action in which malice was alleged amounted to excessive delay. The claim was based on oral statements for which the plaintiff did not provide particulars but alleged that particulars were in the exclusive knowledge of the defendant and non-party witnesses. This lack of specificity further coloured the lengthy delay. The definition of "inordinate" was easily met in these circumstances. The parties did not enter into an abeyance agreement. The delay was tactical and the plaintiff had not established a credible excuse for its dilatory approach to the litigation. The plaintiff had failed to rebut the presumption of prejudice.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 w:name="Legislation Cited_1"/>
      <w:bookmarkEnd w:id="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22-7(7)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 w:name="Counsel_2"/>
      <w:bookmarkEnd w:id="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Oliver C. Hanson.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Robert J.C. Deane.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 w:name="Judgment_2"/>
      <w:bookmarkEnd w:id="23"/>
      <w:r>
        <w:pict>
          <v:line id="_x0000_s1042"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 w:name="G.B. BUTLER J."/>
            <w:bookmarkEnd w:id="24"/>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Sam brings an application under Rule 22-7(7) to have this action dismissed for want of prosecution. In the alternative, he seeks to have the action dismissed entirely or in part for disclosing no reasonable claim. In the event that I do not dismiss the action, Mr. Sam seeks an order for further and better particulars from the plaintiffs. The plaintiffs oppose all of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reasons that follow, I grant Mr. Sam's application to dismiss the action for want of prosecution. Accordingly, I need not deal with the application for dismissal for no reasonable claim or the application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action is part of a dispute between the plaintiff companies and the Lytton First Nation, about an organic composting facility which the plaintiffs own and operate in the Botanie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 number of members of the First Nation have opposed the facility, arguing, among other things, that the smell of the compost lowers their property values, and prevents them from using their land and asserting their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There is also opposition from other Botanie Valley residents. This dispute has resulted in litigation between the First Nation, its members, other residents, and the plaintiff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filed suit against Mr. Sam on December 20, 2010 for defamation, unlawful interference with economic interests, and trespass to land. Mr. Sam was served with the notice of civil claim on February 2, 2011. The plaintiffs also brought defamation actions against two other defendants around the same time. They began a fourth defamation action in 2015. In contrast to this case, the plaintiffs have proceeded with those actions and they are set to proceed to trial in August of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2016, the plaintiffs filed an action against the First Nation and others seeking injunctive relief. The defendants counterclaimed in nuisance and trespass. That action is still proceeding, and Mr. Sam is not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notice of civil claim, the plaintiffs allege that Mr. Sam spoke, published, or caused to be published a number of defamatory falsehoods about the composting facility and its operation. The pleadings do not identify the defamatory words themselves, but allege that the particulars of the defamation are known to Mr. Sam. The plaintiffs claim that Mr. Sam acted out of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Sam sought advice from a lawyer, Ms. Cousins, in February of 2011. Ms. Cousins spoke with counsel for the plaintiffs, Mr. Plant, who agreed to extend the deadline for Mr. Sam to file his response to civil claim. Mr. Plant knew that Ms. Cousins had not been retained to represent Mr. Sam. The parties disagree as to the nature of the discussions between counsel. The plaintiffs say that the discussions between counsel resulted in an abeyance agreement and Mr. Sam denies any such agreement. Neither party took further action on the file until five-and-a-half years later, when, on July 8, 2016, the plaintiff companies filed a notice of intention to proceed. Mr. Sam's response to civil claim was filed on September 14, 2016, and he immediately brought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brings this application under Rule 22-7(7):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Justice Low set out the test that applies to an application to dismiss an action for want of prosecution in </w:t>
      </w:r>
      <w:r>
        <w:rPr>
          <w:rFonts w:ascii="arial" w:eastAsia="arial" w:hAnsi="arial" w:cs="arial"/>
          <w:i/>
          <w:color w:val="000000"/>
          <w:sz w:val="20"/>
          <w:lang w:val="en-US" w:eastAsia="en-US" w:bidi="ar-SA"/>
        </w:rPr>
        <w:t>0690860 Manitoba Ltd. v. Country West Construction Ltd.</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at para. 27:</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reasons for the delay either offered in evidence or inferred from the evidence, including whether the delay was intentional and tactical or whether it was the product of dilatoriness,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impecuniosity, illness or some other relevant cause, the ultimate consideration being whether the delay is excusable in the circumstances;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defence and, if there is such prejudice, whether it creates a substantial risk that a fair trial is not possible at the earliest date by which the action could be readied for trial after its reactivation by the plaintiff;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balance, justice requires dismissal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fourth factor encompasses the other three, and is "the most important and decisive question": </w:t>
      </w:r>
      <w:r>
        <w:rPr>
          <w:rFonts w:ascii="arial" w:eastAsia="arial" w:hAnsi="arial" w:cs="arial"/>
          <w:i/>
          <w:color w:val="000000"/>
          <w:sz w:val="20"/>
          <w:lang w:val="en-US" w:eastAsia="en-US" w:bidi="ar-SA"/>
        </w:rPr>
        <w:t>Country West</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This approach involves a shifting burden. The applicant has the onus to establish the first two criteria: that there has been an inordinate delay, and that that delay is inexcusable. If the applicant discharges that onus, it gives rise to a rebuttable presumption that the delay has prejudiced them. The onus shifts to the respondent to show that the applicant has not been prejudiced by the delay: </w:t>
      </w:r>
      <w:r>
        <w:rPr>
          <w:rFonts w:ascii="arial" w:eastAsia="arial" w:hAnsi="arial" w:cs="arial"/>
          <w:i/>
          <w:color w:val="000000"/>
          <w:sz w:val="20"/>
          <w:lang w:val="en-US" w:eastAsia="en-US" w:bidi="ar-SA"/>
        </w:rPr>
        <w:t>Tundra Helicopters Ltd. v. Allison Gas Turbine</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at paras. 35-36.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I consider the parties' positions and the circumstances of this case in light of this test, I conclude that justice requires dismissal of the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argues that an inordinate amount of time has passed since the notice of civil claim was filed, especially considering that the main substance of the claim is in defamation. Any decision in the case will depend on witnesses' memories about the alleged defamatory statements. He argues further that the plaintiffs have no reasonable excuse for this delay since there was no abeyance agreement between the parties. The plaintiffs cannot rebut the presumption of prejudice that arises from the delay; therefore, the balance of justice favours dismissing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argue that the delay was not inordinate because the parties agreed to put the action in abeyance. Even if the delay was inordinate, the agreement between the parties not to proceed in the action is a reasonable excuse. They argue that even if the delay is inexcusable, the defendant has suffered no prejudice. As dismissal is a draconian remedy, the action should be allowed to proceed.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Inordinate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Determining if a delay is inordinate is a holistic, fact-driven inquiry that must engage the type and complexity of the underlying action: </w:t>
      </w:r>
      <w:r>
        <w:rPr>
          <w:rFonts w:ascii="arial" w:eastAsia="arial" w:hAnsi="arial" w:cs="arial"/>
          <w:i/>
          <w:color w:val="000000"/>
          <w:sz w:val="20"/>
          <w:lang w:val="en-US" w:eastAsia="en-US" w:bidi="ar-SA"/>
        </w:rPr>
        <w:t>Tri-City Contracting Ltd. v. Leko Precast Ltd.</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2016 BCSC 623</w:t>
        </w:r>
      </w:hyperlink>
      <w:r>
        <w:rPr>
          <w:rFonts w:ascii="arial" w:eastAsia="arial" w:hAnsi="arial" w:cs="arial"/>
          <w:color w:val="000000"/>
          <w:sz w:val="20"/>
          <w:lang w:val="en-US" w:eastAsia="en-US" w:bidi="ar-SA"/>
        </w:rPr>
        <w:t xml:space="preserve"> at para. 41. When a party raises allegations that go to a defendant's character, there is an onus on the plaintiff to proceed with appropriate expedition and diligence: </w:t>
      </w:r>
      <w:r>
        <w:rPr>
          <w:rFonts w:ascii="arial" w:eastAsia="arial" w:hAnsi="arial" w:cs="arial"/>
          <w:i/>
          <w:color w:val="000000"/>
          <w:sz w:val="20"/>
          <w:lang w:val="en-US" w:eastAsia="en-US" w:bidi="ar-SA"/>
        </w:rPr>
        <w:t>Extra Gift Exchange Inc. v. Accurate Effective Bailiffs Ltd.</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2015 BCSC 915</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has now been almost six-and-a-half years since the action was filed. The parties have taken no substantive steps in the proceedings. At this point, lists of documents have not been exchanged and examinations for discovery have not been conducted. Other than the pleadings, the only step taken in the proceedings is that the plaintiffs delivered brief particulars after they filed their notice of intention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is a claim in defamation. The plaintiffs allege the defamatory statements were made in numerous telephone conversations and in oral statements to government officials and others. The plaintiffs do not provide particulars of the publication of the defamatory statements but allege that they are known to Mr. Sam. It is evident that proof of the allegations and the defence will have to be determined by the oral testimony of Mr. Sam and non-party witnesses about conversations that took place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also allege that the statements were made "falsely, maliciously and repeatedly". Accordingly, the allegations go to Mr. Sam's character. The plaintiffs have an obligation to proceed with diligence and a measure of alacrity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Inordinate delay means delay that is uncontrolled, immoderate or excessive: </w:t>
      </w:r>
      <w:r>
        <w:rPr>
          <w:rFonts w:ascii="arial" w:eastAsia="arial" w:hAnsi="arial" w:cs="arial"/>
          <w:i/>
          <w:color w:val="000000"/>
          <w:sz w:val="20"/>
          <w:lang w:val="en-US" w:eastAsia="en-US" w:bidi="ar-SA"/>
        </w:rPr>
        <w:t>Tri-City Contracting</w:t>
      </w:r>
      <w:r>
        <w:rPr>
          <w:rFonts w:ascii="arial" w:eastAsia="arial" w:hAnsi="arial" w:cs="arial"/>
          <w:color w:val="000000"/>
          <w:sz w:val="20"/>
          <w:lang w:val="en-US" w:eastAsia="en-US" w:bidi="ar-SA"/>
        </w:rPr>
        <w:t xml:space="preserve"> at para. 32. Given the nature of the claim and the manner of its proof, the delay here is clearly inordinate. The passage of more than six years without proceeding with a defamation action in which malice is alleged amounts to excessive delay. The claim is based on oral statements for which the plaintiffs did not provide particulars. Instead, they alleged that particulars were in the exclusive knowledge of Mr. Sam and non-party witnesses. This lack of specificity further colours the lengthy delay. The definition of "inordinate" is easily met in these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Inexcusable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Where a plaintiff has delayed inordinately and cannot point to a credible excuse, the court will infer that the delay is inexcusable: </w:t>
      </w:r>
      <w:r>
        <w:rPr>
          <w:rFonts w:ascii="arial" w:eastAsia="arial" w:hAnsi="arial" w:cs="arial"/>
          <w:i/>
          <w:color w:val="000000"/>
          <w:sz w:val="20"/>
          <w:lang w:val="en-US" w:eastAsia="en-US" w:bidi="ar-SA"/>
        </w:rPr>
        <w:t>Tri-City Contracting</w:t>
      </w:r>
      <w:r>
        <w:rPr>
          <w:rFonts w:ascii="arial" w:eastAsia="arial" w:hAnsi="arial" w:cs="arial"/>
          <w:color w:val="000000"/>
          <w:sz w:val="20"/>
          <w:lang w:val="en-US" w:eastAsia="en-US" w:bidi="ar-SA"/>
        </w:rPr>
        <w:t xml:space="preserve">, at para. 33. The court should inquire into whether the plaintiff has delayed for a tactical reason, or has had delay forced upon it, for example, by a lack of money or solicitor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argue that there is a reasonable excuse for the delay: an abeyance agreement between the parties in March of 2011. The plaintiffs say they agreed to "move the litigation to the back burner" if Mr. Sam "behaved responsibly". The plaintiffs say that when they learned in June 2016, that Mr. Sam was continuing in his tortious activities against them, they promptly filed their notice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Sam argues that the interactions between the parties in March 2011 cannot be described as an agreement, nor have the plaintiffs given sufficient evidence of one. Rather, the plaintiffs chose not to pursue the claim for tactical reasons: to gain goodwill with the Lytton First Nation during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agree with Mr. Sam's submissions; the parties did not enter into an abeyance agreement; the delay was tactical; and the plaintiffs have not established a credible excuse for their dilatory approach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Chairman and CEO of the plaintiff companies, Mr. McRae, submitted an affidavit outlining communications between then-counsel for the plaintiffs, Mr. Plant, and Ms. Cousins. Ms. Cousins asked Mr. Plant to agree to extend the time limit to file a response to civil claim, to which he agreed. Mr. McRae related a subsequent conversation between the two which, the plaintiffs argue, forms the basis of the abeyance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Plant and Ms. Cousins discussed, and Ms. Cousins said, that she understood that if Mr. Sam stopped taking inflammatory actions, there was a good chance that the litigation would go onto the "back burner", and that the Plaintiffs may not actively prosecute the claim against Mr. Sam unless it was necessary to do so due to Mr. Sam's continuation of the tortious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Plant did not swear an affidavit for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Cousins replied to Mr. Plant following those alleged conversations, thanking him for agreeing to the deadline extension and for agreeing "to not take any further steps in the litigation against Mr. Sam without advising me beforehand". She further confirmed that she was not yet representing Mr. Sam.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Even taking Mr. McRae's evidence at face value, the conversation cannot be construed as an agreement not to proceed with the claim. He acknowledges that "no formal standstill agreement was ever entered into". The plaintiffs cite </w:t>
      </w:r>
      <w:r>
        <w:rPr>
          <w:rFonts w:ascii="arial" w:eastAsia="arial" w:hAnsi="arial" w:cs="arial"/>
          <w:i/>
          <w:color w:val="000000"/>
          <w:sz w:val="20"/>
          <w:lang w:val="en-US" w:eastAsia="en-US" w:bidi="ar-SA"/>
        </w:rPr>
        <w:t>Eastman v. Eastman</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2016 BCSC 209</w:t>
        </w:r>
      </w:hyperlink>
      <w:r>
        <w:rPr>
          <w:rFonts w:ascii="arial" w:eastAsia="arial" w:hAnsi="arial" w:cs="arial"/>
          <w:color w:val="000000"/>
          <w:sz w:val="20"/>
          <w:lang w:val="en-US" w:eastAsia="en-US" w:bidi="ar-SA"/>
        </w:rPr>
        <w:t>, as authority that informal standstill agreements like this can excuse a delay. Here, the problem is not the form of the purported agreement, but its lack of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Plant's offer is couched in uncertainty, saying that there would be a "good chance" the plaintiffs would not proceed against Mr. Sam. The plaintiffs gave up nothing, and always retained the ability to continue the action at their own discretion. There was no meeting of the minds between the parties, and seemingly no consideration underlying the purported agreement. In addition, Ms. Cousins was not yet retained to act for Mr. Sam and there is no suggestion that she had any authority to enter into any such agreement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Moreover, the plaintiffs chose not to submit an affidavit from Mr. Plant, but instead rely on the mixed hearsay and double-hearsay account of the conversation in Mr. McRae's affidavit. Mr. Sam asks that I draw an adverse inference about the content of the discussions with Ms. Cousins, and when the plaintiffs became aware of the alleged agreement. I agree it is appropriate to do so. By failing to call his evidence, the plaintiffs denied the court direct evidence in support of the alleged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Finally, there is ample evidence the plaintiffs put the claim against Mr. Sam on hiatus in order to gain a tactical advantage in their negotiations with the First Nation. Mr. McRae acknowledges in his affidavit that the plaintiffs did not push the action forward to discourage Mr. Sam's "obstructionist behaviour", and "in the hope that it would foster goodwill with [the Lytton First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lays bare the tactical considerations behind the plaintiffs' lassitude: they wanted to improve their negotiating position with the First Nation and felt that pressing the litigation against Mr. Sam would hamper that goal. It also allowed them to use the ever-present threat of pursuing the action as a club to hold over Mr. Sam, preventing him from participating in the public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view of events is borne out by the plaintiffs' recent decision to advance this claim. Negotiations between the plaintiffs and the First Nation broke down, with the plaintiffs filing a claim on June 2, 2016. Delaying the case against Mr. Sam was no longer to the plaintiffs' advantage, and so they filed their notice of continuance six days later. The timing of these actions is impossible to ignore.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parties did not agree, informally or otherwise, to put this action into abeyance. Instead, the plaintiffs delayed to advance their tactical positon and commercial interests in their dispute with the First Nation and others. This is not the kind of excuse that can justify a lengthy delay in the pursuit of a claim. I conclude that the delay is inexcusable.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our Court of Appeal noted in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at para. 36, once the defendant has shown that the delay is inordinate and inexcusable, a rebuttable presumption of delay arises. The plaintiff bears the onus of establishing "on a balance of probabilities that the defendant has not suffered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I noted in </w:t>
      </w:r>
      <w:r>
        <w:rPr>
          <w:rFonts w:ascii="arial" w:eastAsia="arial" w:hAnsi="arial" w:cs="arial"/>
          <w:i/>
          <w:color w:val="000000"/>
          <w:sz w:val="20"/>
          <w:lang w:val="en-US" w:eastAsia="en-US" w:bidi="ar-SA"/>
        </w:rPr>
        <w:t>Sampson v. Scaletta</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2016 BCSC 2598</w:t>
        </w:r>
      </w:hyperlink>
      <w:r>
        <w:rPr>
          <w:rFonts w:ascii="arial" w:eastAsia="arial" w:hAnsi="arial" w:cs="arial"/>
          <w:color w:val="000000"/>
          <w:sz w:val="20"/>
          <w:lang w:val="en-US" w:eastAsia="en-US" w:bidi="ar-SA"/>
        </w:rPr>
        <w:t xml:space="preserve">, at paras. 41 and 42, courts have been more willing to accept a presumption of prejudice from the passage of time in defamation actions where the delay has extended beyond the limitation period. As noted in </w:t>
      </w:r>
      <w:r>
        <w:rPr>
          <w:rFonts w:ascii="arial" w:eastAsia="arial" w:hAnsi="arial" w:cs="arial"/>
          <w:i/>
          <w:color w:val="000000"/>
          <w:sz w:val="20"/>
          <w:lang w:val="en-US" w:eastAsia="en-US" w:bidi="ar-SA"/>
        </w:rPr>
        <w:t>Matheny v. British Columbia Transit Corp.</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[1997] B.C.J. No. 3020</w:t>
        </w:r>
      </w:hyperlink>
      <w:r>
        <w:rPr>
          <w:rFonts w:ascii="arial" w:eastAsia="arial" w:hAnsi="arial" w:cs="arial"/>
          <w:color w:val="000000"/>
          <w:sz w:val="20"/>
          <w:lang w:val="en-US" w:eastAsia="en-US" w:bidi="ar-SA"/>
        </w:rPr>
        <w:t xml:space="preserve"> (S.C.), at para. 42, "the presumption will be afforded much more weight in a case where the allegations are serious such as defamation or a form of fraud." Given the lengthy delay in this case and the nature of the claim, the rebuttable presumption must be given significant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Pardy v. Levant</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2015 BCSC 130</w:t>
        </w:r>
      </w:hyperlink>
      <w:r>
        <w:rPr>
          <w:rFonts w:ascii="arial" w:eastAsia="arial" w:hAnsi="arial" w:cs="arial"/>
          <w:color w:val="000000"/>
          <w:sz w:val="20"/>
          <w:lang w:val="en-US" w:eastAsia="en-US" w:bidi="ar-SA"/>
        </w:rPr>
        <w:t>, at para. 13, Madam Justice Fisher noted that the fading of memories that accompanies the passage of time, may not be sufficient to support a finding of prejudice serious enough to merit dismissal: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It has long been recognized that memories fade with the passage of time, and witnesses may disappear. Prejudice may be presumed from this, but without evidence of specific prejudice, such a presumption may be insufficient to support a finding of prejudice serious enough to warrant dismissal. Specific prejudice may be apparent in cases where disputed facts must be determined from oral testimony of witnesses: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the circumstances of this case are such that specific prejudice is apparent. This claim will depend on oral testimony to establish the disputed facts including: what was said by Mr. Sam; to whom he made the statements; when he made them; and whether the statements were defamatory. The plaintiffs even acknowledge that the particulars of the alleged defamatory statements "are in the unique knowledge of [Mr. Sam]".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Sam has given evidence of his fading memory. He is not a sophisticated litigant. He is 63 years old and reads and writes at a grade 5 level and, because of this, has not made and could not make useful notes of the incidents described in the notice of civil claim. Given the lack of clarity and specificity in the original notice of civil claim, he was unable to contact potential witnesses before their memories faded. While the plaintiffs furnished some particulars in 2016, they came too late to mitigate the prejudice to Mr. Sam.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rebuttable presumption of prejudice is very strong in this case. Further, the nature of the claim is such that specific prejudice is apparent. The plaintiffs have failed to rebut the presumption of prejudice.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Balance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balance, it is clear that justice requires that the claim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have held allegations open against Mr. Sam for over six years. The allegations were not particularized until very recently. They have done so for tactical advantage in their dispute with the First Nation. The suggestion that the parties entered into an informal abeyance agreement is without merit. The plaintiffs have no credible excuse that can account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balancing the interests of justice, two principles come into focus: an action should be brought to trial with reasonable diligence; and the longer the delay, the more likely it is that a fair trial cannot be held. While dismissing an action is a harsh remedy, in this case, the plaintiffs' dilatory approach makes it very unlikely that there could be a fair trial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therefore grant the application and dismiss the action. Mr. Sam is entitled to costs of the application and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O'Connell Electric Ltd. v. British Columbia Hydro and Power Authority, [2006] B.C.J. No. 2864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Myers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12,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November 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S31976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2864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1632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306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O'Connell Electric Ltd. and James O'Connell, Plaintiffs, and British Columbia Hydro and Power Authority, Brian Demerse, Neil Campbell, Tom Franklyn, Lawrence Flynn, International Brothers of Electrical Workers, Local 258, Daniel C. Payne, Gerry Bramhill, Gaetan Gaudreault, Robert Berkopec, and Troy Winters,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4"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 w:name="Keywords_3"/>
      <w:bookmarkEnd w:id="25"/>
      <w:r>
        <w:rPr>
          <w:rFonts w:ascii="arial" w:eastAsia="arial" w:hAnsi="arial" w:cs="arial"/>
          <w:b/>
          <w:color w:val="000000"/>
          <w:sz w:val="20"/>
          <w:lang w:val="en-US" w:eastAsia="en-US" w:bidi="ar-SA"/>
        </w:rPr>
        <w:t>Civil procedure — Costs — Special orders — Unproved allegations of fraud — Application by defendant Hydro and individual defendants, employees of hydro, for special costs — Plaintiff discontinued action for claims of breach of contract, conspiracy for purpose of injuring plaintiff, abuse of office and breach of fiduciary duty — Application allowed — No factual basis to allege dishonesty, conspiracy and improper motive existed.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 w:name="Case Summary_2"/>
            <w:bookmarkEnd w:id="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Hydro and individual defendants, employees of hydro, for special costs -- Plaintiff discontinued action after documentary and oral discovery concluded -- Hydro maintained counterclaim that would proceed to trial -- Plaintiff's action was for claims relating to Hydro's decision suspending plaintiff company from doing further work for Hydro due to plaintiff's improper installing of a hydro poles -- Plaintiff alleged Hydro and its employees conspired for purpose of injuring plaintiff, abused powers of their office and breached a fiduciary duty owed to plaintiff -- Hydro counterclaimed for cost of replacing improperly installed poles -- HELD: Application allowed -- No factual basis for making of allegations against Hydro either at the outset of action or as litigation progressed -- Allegations of dishonest conduct, and fabrication of false evidence underlay causes of actions pleaded -- No factual basis to allege dishonesty and conspiracy and improper motive.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 w:name="Counsel_3"/>
      <w:bookmarkEnd w:id="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R. Breivik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B.C. Hydro, Demerse, Campbell, Franklyn, and Flynn: G. Urquhart, Q.C., S. Lesiuk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 w:name="Judgment_3"/>
      <w:bookmarkEnd w:id="28"/>
      <w:r>
        <w:pict>
          <v:line id="_x0000_s1046" style="position:absolute;z-index:2517647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 w:name="MYERS J. (orally)"/>
            <w:bookmarkEnd w:id="29"/>
            <w:r>
              <w:rPr>
                <w:rFonts w:ascii="arial" w:eastAsia="arial" w:hAnsi="arial" w:cs="arial"/>
                <w:b/>
                <w:color w:val="000000"/>
                <w:sz w:val="30"/>
                <w:lang w:val="en-US" w:eastAsia="en-US" w:bidi="ar-SA"/>
              </w:rPr>
              <w:t>MYERS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B.C. Hydro, and the individual defendants in its employ, for special costs with respect to a claim which was discontinued by the plaintiffs some five years after it was commenced. Both documentary and oral examination for discovery have been done by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B.C. Hydro, is maintaining a counterclaim which - as matters now stand - will proceed to trial. The claim against the International Brotherhood of Electrical Workers, Local 258, and the individual defendants who were employees or officers of the Union, was also discontinued, but they have not joined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corporate plaintiff was engaged in the business of repairing, inspecting and constructing electrical distribution systems. It provided these services both to B.C. Hydro and private individuals and businesses. The individual plaintiff, Mr. O'Connell, was the owner of the plaintiff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causes of action pleaded by the plaintiff were breach of contract, abuse of office,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defamation, inducing breach of contract, unlawful interference with contractual relations or economic interest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return to the allegations made with respect to these causes of action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also brought two prior actions against B.C. Hydro. The first action was commenced in 1999 and alleges breaches of contracts from 1993 to 1999. The action alleges breaches of the contractual duties which arise in the bidding and tendering process. A similar second action was commenced in 2000 and claims breaches for the period 1999 to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current action, commenced in 2001, has been consolidated with the first two actions. The plaintiff has not discontinued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incidents which give rise to this action relate to the improper installation of electrical power poles. In 2000, B.C. Hydro was provided with information from one of the individual defendants that a pole on Mudge Island had the bottom few feet cut off. This is referred to as butt-cutting and is a serious safety matter. The result of butt-cutting is that the pole does not have the required depth buried in the ground, rendering it unstable and creating a danger to linesmen climbing the pole and to the public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an investigation of the matter, B.C. Hydro concluded that the plaintiff company was responsible for the butt-cutting of that particular pole as well as other poles. B.C. Hydro suspended the plaintiff company from doing any further work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alleged that the Hydro defendants conspired with the Union defendants for the sole purpose of injuring the plaintiffs. The conspiracy was to do the following:</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Shut down the corporate plaintiff;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all of the employees to leave the employ of the corporate plaintiff;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Destroy the plaintiffs' business or cause the plaintiff to sell their business;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James O'Connell from working in the Electrical Distribution Industry anywhere in Canada or the U.S. as a lineman or anywhere.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alleged that in pursuance of the conspiracy the B.C. Hydro defendants did the following acts: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would not allow private individuals to connect electrical lines to the Hydro distribution system if they had work done on their private lines by the plaintiffs;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would accept the Union's allegations of the plaintiffs' safety violations at face value and find the plaintiffs guilty of safety violations and impose penalties on the plaintiffs;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agreed that they would not investigate the Mudge Island incident fully or critically and would accept the assertions and allegations made by the other defendants at face value and find the plaintiffs guilty of the safety violations;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would ensure that the plaintiffs would be unable to obtain work elsewhere, either as an employee or contractor, by blacklisting the plaintiffs in Canada and the 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B.C. Hydro defendants sought particulars of the conspiracy claim. The Plaintiffs responded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with respect to paragraph 79(d) of the Amended Statement of Claim particulars of the alleged manufacturing of evidence on Mudge Island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one of the parties would attend on Mudge Island or cause Brian Thomas (aka Brian Guildenstern) to attend on Mudge Island and cut butts on poles that had previously been set properly by the plaintiffs.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said parties would then disclose that James O'Connell had cut the butts in question.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would ostensibly investigate the matter and find the plaintiffs guilty of safety violations.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employees of the defendant, Hydro that imposed the suspensions on the corporate plaintiff and the individual plaintiff did not believe that any safety violation had occurred but used the incident in question as an excuse to drive the plaintiffs out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further alleged that the Hydro employees abused powers of their office and breached their fiduciary duty to the plaintiffs by directing and ordering employees of B.C. Hydro not to investigate safety incidents involving the plaintiffs properly, not to use their own judgment or independent discretion but to impose predetermined suspensions. The plaintiffs further alleged that these individuals acted maliciously in the knowledge that the safety incidents have not been properly investigated and they were reckless and indifferent to the legality of their acts and to the probability of injury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Finally, the plaintiffs pleaded that the said defendants and B.C. Hydro owed a fiduciary duty to the plaintiffs to exercise the power of suspension honestly and in good faith and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B.C. Hydro's counterclaim is for the costs of replacing the cut poles.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B.C. Hydro's position is that it is entitled to special costs because there was no factual basis for the making of these allegations either at the outset of the litigation, or as the litigation progressed. It does not concede that the plaintiff did not act with malice or with an improper motive, but says, in any event, that motive is irrelevant and says that it is therefore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also argues that the plaintiffs conducted this litigation improperly in, amongst other things, delaying discoveries and responses to requests for particulars and that, therefore, special costs can be awarded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B.C. Hydro also argues that it is entitled to special costs because the plaintiff company fraudulently disposed of its assets so that an order for costs would not be exigible.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Finally, B.C. Hydro also asks that I stay the first two actions until any cost award is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argue that they did not act with an improper motive and that while they do not have any concrete evidence of the allegations, nevertheless there was and is a sufficient circumstantial factual matrix to provide reasonable grounds for the bringing of this action. Therefore, special costs should not be awarded. They also argue that a decision on special costs should be deferred until after the trial of the other actions and the counterclaim in this action - now consolidated. This is so because they say that there is an overlapping factual matrix to those actions and the facts germane to the current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Although fraud has not been pleaded as a cause of action, underlying all of the above causes of action are allegations of dishonest conduct, and, indeed, the fabrication of false evidence. I therefore approach this matter as if fraud had been specifically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helpful authority cited to me by counsel was </w:t>
      </w:r>
      <w:r>
        <w:rPr>
          <w:rFonts w:ascii="arial" w:eastAsia="arial" w:hAnsi="arial" w:cs="arial"/>
          <w:b/>
          <w:i/>
          <w:color w:val="000000"/>
          <w:sz w:val="20"/>
          <w:lang w:val="en-US" w:eastAsia="en-US" w:bidi="ar-SA"/>
        </w:rPr>
        <w:t>Genesee Enterprises Ltd. v. Abou-Rached et al</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[2001] B.C.J. No. 1604</w:t>
        </w:r>
      </w:hyperlink>
      <w:r>
        <w:rPr>
          <w:rFonts w:ascii="arial" w:eastAsia="arial" w:hAnsi="arial" w:cs="arial"/>
          <w:color w:val="000000"/>
          <w:sz w:val="20"/>
          <w:lang w:val="en-US" w:eastAsia="en-US" w:bidi="ar-SA"/>
        </w:rPr>
        <w:t>, S.C.B.C., Vancouver Registry, Action No. A963616, a decision of Levine J. when sitting as a judge of this court. Both the facts of the case and the test to be applied are set out in the following passages of the judgment: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defendants that I find justifies an order of special costs includes improper allegations of fraud, unlawful conspiracy, breach of fiduciary duty and criminal conduct; improper conduct during the proceedings; and improper motive for bringing the proceedings.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allegations of fraud, unlawful conspiracy, breach of fiduciary duty and criminal conduct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allegations of criminal conduct included a claim that the plaintiff was claiming interest in excess of the criminal rate set by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This allegation was withdrawn on the eve of trial.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examination for discovery and during his testimony at trial, Mr. Abou-Rached accused Robert de Grasse of forging Mr. Abou-Rached's signature on documents, preparing false documents and stealing documents from the defendants. He accused plaintiff's counsel of obstruction of justice, including witness tampering. There was no evidence to support any of these claims.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claims of fraudulent misrepresentation, unlawful conspiracy and breach of fiduciary duty were all dismissed. The evidence simply did not support them. The defendants repeatedly failed to give the plaintiff and defendants by counterclaim particulars of the alleged fraud, conspiracy, breach of fiduciary duty, or damages, and failed to provide any particulars of damages in their closing submissions at trial.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counsel says that because Mr. Abou-Rached sincerely and honestly believed that Jean de Grasse and Robert de Grasse conspired against him, the bringing of these unmeritorious claims should not be censured. I disagree: a party may honestly believe that he has been wronged, but he has a responsibility as a litigant to bring claims that have a reasonable prospect of success (Garcia at p. 252). He risks censure for bringing claims that have the effect of besmirching the reputation of other parties (</w:t>
      </w:r>
      <w:r>
        <w:rPr>
          <w:rFonts w:ascii="arial" w:eastAsia="arial" w:hAnsi="arial" w:cs="arial"/>
          <w:i/>
          <w:color w:val="000000"/>
          <w:sz w:val="20"/>
          <w:lang w:val="en-US" w:eastAsia="en-US" w:bidi="ar-SA"/>
        </w:rPr>
        <w:t>Hannan v. Methenex Corp.</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(1998), 46 B.C.L.R. (3d) 230</w:t>
        </w:r>
      </w:hyperlink>
      <w:r>
        <w:rPr>
          <w:rFonts w:ascii="arial" w:eastAsia="arial" w:hAnsi="arial" w:cs="arial"/>
          <w:color w:val="000000"/>
          <w:sz w:val="20"/>
          <w:lang w:val="en-US" w:eastAsia="en-US" w:bidi="ar-SA"/>
        </w:rPr>
        <w:t xml:space="preserve"> at 247 (C.A.)) or making unfounded allegations about the conduct of counsel (</w:t>
      </w:r>
      <w:r>
        <w:rPr>
          <w:rFonts w:ascii="arial" w:eastAsia="arial" w:hAnsi="arial" w:cs="arial"/>
          <w:i/>
          <w:color w:val="000000"/>
          <w:sz w:val="20"/>
          <w:lang w:val="en-US" w:eastAsia="en-US" w:bidi="ar-SA"/>
        </w:rPr>
        <w:t>Interstate Investments Ltd. v. Pacific International Securities Inc.</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(1995), 10 B.C.L.R. (3d) 265</w:t>
        </w:r>
      </w:hyperlink>
      <w:r>
        <w:rPr>
          <w:rFonts w:ascii="arial" w:eastAsia="arial" w:hAnsi="arial" w:cs="arial"/>
          <w:color w:val="000000"/>
          <w:sz w:val="20"/>
          <w:lang w:val="en-US" w:eastAsia="en-US" w:bidi="ar-SA"/>
        </w:rPr>
        <w:t xml:space="preserve"> at 269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Walker v. College of Dental Surgeons of British Columbia</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(1997), 70 A.C.W.S. (3d) 365</w:t>
        </w:r>
      </w:hyperlink>
      <w:r>
        <w:rPr>
          <w:rFonts w:ascii="arial" w:eastAsia="arial" w:hAnsi="arial" w:cs="arial"/>
          <w:color w:val="000000"/>
          <w:sz w:val="20"/>
          <w:lang w:val="en-US" w:eastAsia="en-US" w:bidi="ar-SA"/>
        </w:rPr>
        <w:t xml:space="preserve"> (B.C.S.C.), Sinclair-Prowse J. awarded special costs where the plaintiff did have sufficient facts to prove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defendant college acted in bad faith, with malice and without reasonable and probable grounds in disciplining the plaintiff dentist. There was no mention in that judgment of the requirement of an improper motive on behalf of the plaintiff in order for the defendant to recover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Albion Securities v. Milne</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[1999] B.C.J. No. 2358</w:t>
        </w:r>
      </w:hyperlink>
      <w:r>
        <w:rPr>
          <w:rFonts w:ascii="arial" w:eastAsia="arial" w:hAnsi="arial" w:cs="arial"/>
          <w:color w:val="000000"/>
          <w:sz w:val="20"/>
          <w:lang w:val="en-US" w:eastAsia="en-US" w:bidi="ar-SA"/>
        </w:rPr>
        <w:t>, no mention of motive was made in coming to a conclusion that special costs should be awarded. Rather, the decision was based on the fact that there was an insufficient evidentiary basis upon which to allege fraud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Therefore the threshold issue for an order for special costs appears to me to be whether the plaintiff had a sufficient factual basis upon which to make the allegations of fraud, dishonesty or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the reasons that follow, I am convinced that there was no proper evidentiary basis for the causes of action in issue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First, on May 30, 2000, before the commencement of this action, Mrs. O'Connell, an officer of the plaintiff company, wrote to the constituency office of James O'Connell's Member of the Legislative Assembly: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two former employees who cut the pole on Mudge Island are still qualified to work on B.C. Hydro's system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realize that the company is responsible for the actions of its (sic) employees while they are on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Second, during his examinations for discovery, Mr. O'Connell was asked what the factual basis was for his allegations. He was unable to provide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Any minimal evidence that the plaintiffs can point to as justifying commencing or continuing with the action is primarily directed against the Union defendants and not B.C. Hydro. The only facts relied on by the plaintiff with respect to B.C. Hydro are that the plaintiff was rudely spoken to or sworn at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a bald allegation that B.C. Hydro cut the plaintiff out of doing business with it prior to the pole incident and that that provides a partial circumstantial foundation for the allegations. But that allegation appears to be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am sympathetic to the plaintiffs' argument that it is difficult to come up with direct evidence of a conspiracy prior to discoveries. Without deciding the matter, it may well be that in an appropriate case circumstantial evidence is sufficient to justify the commencing of an action pleading claims of the nature pleaded here, or "evidence from which an inference of an intention to deceive could be drawn": per Downs J. in </w:t>
      </w:r>
      <w:r>
        <w:rPr>
          <w:rFonts w:ascii="arial" w:eastAsia="arial" w:hAnsi="arial" w:cs="arial"/>
          <w:b/>
          <w:i/>
          <w:color w:val="000000"/>
          <w:sz w:val="20"/>
          <w:lang w:val="en-US" w:eastAsia="en-US" w:bidi="ar-SA"/>
        </w:rPr>
        <w:t>Albion Securities Co. v Milne</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[1999] B.C.J. No. 2358</w:t>
        </w:r>
      </w:hyperlink>
      <w:r>
        <w:rPr>
          <w:rFonts w:ascii="arial" w:eastAsia="arial" w:hAnsi="arial" w:cs="arial"/>
          <w:color w:val="000000"/>
          <w:sz w:val="20"/>
          <w:lang w:val="en-US" w:eastAsia="en-US" w:bidi="ar-SA"/>
        </w:rPr>
        <w:t xml:space="preserve"> at para. 7. But even if that were the case, I do not think the circumstantial evidence here could meet any reasonable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do not agree with the plaintiffs' submission that I defer ruling on special costs until the trial of the remaining claims. If the plaintiffs had any evidence to bring forward in support of its argument that it had a proper foundation for the allegations in question, it could have brought them forward for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Further, I do not see how a ruling in favour of B.C. Hydro in this application might embarrass the court when it hears the trial of the remaining issues because of the possibility of inconsistent findings of fact. My ruling today is based on the fact that there was no factual basis to allege dishonesty and conspiracy and improper motive. Those issues are not engaged by the matters which are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therefore find that B.C. Hydro and the individual defendants who were employees of B.C. Hydro - Demerse, Campbell, Franklyn and Flynn - are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view of my conclusion that B.C. Hydro is entitled to special costs on the basis of its main argument, I need not consider its other arguments of the manner in which this litigation was conducted. or fraudulent conveyance of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plaintiffs argued that any order for special costs that I make should be limited to the causes of action of abuse of office,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inducing breach of contract, unlawful interference with contractual relations or economic interest and conspiracy and not for the claims for defamation and breach of contract. There would then be an apportionment of costs. It is clear to me that the main thrust of this action was the former claims and I therefore decline to accede to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turn now to the issue of whether a stay of the first two actions should be ordered pending payment of the special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These remaining actions are - at the risk of oversimplification - breach of contract actions and a counterclaim by B.C. Hydro for the costs of repairing the cut poles. Those claims stand on their own. B.C. Hydro does not argue that the claims for breach of contract have been brought improperly by the plaintiffs. In my view it would be punitive to make the requested order, and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MYERS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 w:history="1">
        <w:r>
          <w:rPr>
            <w:rFonts w:ascii="arial" w:eastAsia="arial" w:hAnsi="arial" w:cs="arial"/>
            <w:b/>
            <w:bCs/>
            <w:i/>
            <w:color w:val="0077CC"/>
            <w:kern w:val="32"/>
            <w:sz w:val="28"/>
            <w:szCs w:val="32"/>
            <w:u w:val="single"/>
            <w:shd w:val="clear" w:color="auto" w:fill="FFFFFF"/>
            <w:lang w:val="en-US" w:eastAsia="en-US" w:bidi="ar-SA"/>
          </w:rPr>
          <w:t>Ramadan v. University of British Columbia, [2018] B.C.J. No. 1320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S094660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1132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Ehab Farouk Mohamed Ramadan, Plaintiff, and The University of British Columbia, the Senate Appeal on Academic Standing, Enrolment Service/Senate &amp; Curriculum Services of the University of British Columbia, the Faculty of Graduate Studies of the University of British Columbia, the Department of Anesthesia, Pharmacology &amp; Therapeutics of UBC,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 w:name="Keywords_4"/>
      <w:bookmarkEnd w:id="30"/>
      <w:r>
        <w:rPr>
          <w:rFonts w:ascii="arial" w:eastAsia="arial" w:hAnsi="arial" w:cs="arial"/>
          <w:b/>
          <w:color w:val="000000"/>
          <w:sz w:val="20"/>
          <w:lang w:val="en-US" w:eastAsia="en-US" w:bidi="ar-SA"/>
        </w:rPr>
        <w:t>Civil litigation — Civil procedure — Pleadings — Striking out pleadings or allegations — Grounds — False, frivolous, vexatious or abuse of process — Application by the defendants to strike out the claims arising out of the plaintiff's removal from the PhD program at the defendant University allowed — Pleadings constituted abuse of process — Vast majority of the particulars of each claim were a mixed summary of elements of various different causes of action — In addition to being confusing and failing to plead material facts capable of constituting an element of the various causes of action, the claims constituted a collateral attack on the university appeal process.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 w:name="Case Summary_3"/>
            <w:bookmarkEnd w:id="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out the claims arising out of the plaintiff's removal from the PhD program at the defendant University. It was the third such application in slightly less than a decade since this case began. The prior two applications were granted with leave to the plaintiff to amend his pleadings. The action was commenced in 2009. In 2013, the plaintiff filed a 20-page second further Amended Notice of Civil Claim. The defendants argued that there was no reasonable cause of action because the claims' essential character was academic, and therefore they must be dealt with exclusively through the university's internal appeal procedures and any subsequent judicial review. The defendants also argued that the claims were an abuse of process and constituted a collateral attack on the decision by the Senate Appeal Committee in which it decided to dismiss the plaintiff's appeal of the decision to remove him from the PhD program.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 w:name="Holdings of Court_2"/>
            <w:bookmarkEnd w:id="3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should be struck because they constituted an abuse of process. The most fundamental problem with the Second Further Amended Claim was that it was so confusingly drafted that it was impossible to know what facts were intended to support which claim, what causes of action were actually being pursued, and who was alleged to have committed which cause of action. The vast majority of the particulars of each claim were a mixed summary of elements of various different causes of action. In addition to being confusing and failing to plead material facts capable of constituting an element of the various causes of action, the claims constituted a collateral attack on the university appeal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 w:name="Legislation Cited_2"/>
      <w:bookmarkEnd w:id="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4" w:name="Counsel_4"/>
      <w:bookmarkEnd w:id="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on his own behalf: E.F.M. Ramadan.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Tsang.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 w:name="Judgment_4"/>
      <w:bookmarkEnd w:id="35"/>
      <w:r>
        <w:pict>
          <v:line id="_x0000_s1051" style="position:absolute;z-index:251816960" from="0,12pt" to="512pt,12pt" strokecolor="#009ddb" strokeweight="1.5pt">
            <v:stroke linestyle="single"/>
          </v:line>
        </w:pic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Ýeditor's note: A correction was released by the Court July 31, 2018; the change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 w:name="D.M. MASUHARA J."/>
            <w:bookmarkEnd w:id="36"/>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to dismiss a variety of claims arising out of the plaintiff's removal from the PhD program at the University of British Columbia. It is the third such application in slightly less than a decade since this case began. The prior two applications were granted with leave to the plaintiff to amend his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say that the defects identified in the earlier decisions remain. They ask that the pleadings be struck and that the plaintiff be prohibited from filing any further claim against them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PLEADINGS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action began in or around June 2009 when the plaintiff filed a writ of summons. He filed an amended writ of summons and a 92-page Statement of Claim on June 18,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July 27, 2010, the defendants took the position that the Statement of Claim was improper because it pled evidence, argument and included documents. They encouraged him to seek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July 30, 2010, the plaintiff advised the defendants that he would amend his pleadings. Counsel for the defendants again told the plaintiff his pleadings were improper in a number of ways, encouraged him to seek legal advice, and advised him that if the pleadings remained improper, the defendants would bring an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August 17, 2010, the plaintiff requested an extension so he could seek legal advice and file his pleadings in the new form (Notice of Civil Claim). The defendants consented.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August 19, 2010, the plaintiff delivered a filed 93-page Notice of Civil Claim and advised the defendants that he had filed it without any changes and without seeking legal advice. He then advised that he would work on amending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October 25, 2010, the plaintiff filed a 172-page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November 25, 2010, counsel for the defendants told the plaintiff the Amended Notice of Civil Claim was still defective because it contained needless and vexatious allegations and an action was not the proper forum for academic disputes. Counsel told the plaintiff that the defendants were prepared to provide more time to amend the pleadings, but if it continued in its current form they would apply to have it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13, 2011, the defendants applied to have the Amended Notice of Civil Claim struck on the basis that it was prolix, pled evidence, disclosed no reasonable claim, was unnecessary, scandalous, frivolous or vexatious, or may prejudice, embarrass or delay the fair trial or hearing of the proceeding (the "First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First Application was heard on January 19, 2011 and Loo J. granted the application with leave to the plaintiff to amend his pleadings: </w:t>
      </w:r>
      <w:r>
        <w:rPr>
          <w:rFonts w:ascii="arial" w:eastAsia="arial" w:hAnsi="arial" w:cs="arial"/>
          <w:i/>
          <w:color w:val="000000"/>
          <w:sz w:val="20"/>
          <w:lang w:val="en-US" w:eastAsia="en-US" w:bidi="ar-SA"/>
        </w:rPr>
        <w:t>Ramadan v. University of British Columbia</w:t>
      </w:r>
      <w:r>
        <w:rPr>
          <w:rFonts w:ascii="arial" w:eastAsia="arial" w:hAnsi="arial" w:cs="arial"/>
          <w:color w:val="000000"/>
          <w:sz w:val="20"/>
          <w:lang w:val="en-US" w:eastAsia="en-US" w:bidi="ar-SA"/>
        </w:rPr>
        <w:t xml:space="preserve"> (19 January 2011), Vancouver S094660 (S.C.). Loo J. strongly encouraged the plaintiff to seek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or about June 10, 2011, the plaintiff delivered to the defendants an unfiled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June 16, 2011, counsel for the defendants advised the plaintiff that these pleadings suffered from the same defects as those Loo J. struck, and advised him to seek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July 14, 2011, the plaintiff filed a 54-page further Amended Notice of Civil Claim (the "Further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July 15, counsel for the defendants told the plaintiff that the Further Amended Claim was improper and the defendants would apply to have it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September 8, 2011, counsel for the defendants requested the plaintiff to provide him with his available dates to have the defendants' application to strike heard and that no further steps would be taken until it was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ignored counsel's repeated requested for his availability until April 23,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April 25, 2012, counsel for the defendants advised the plaintiff that the defendants would proceed with scheduling the application. Counsel again advised the plaintiff that he should seek legal advice and that the defendants would agree to delay the application until he had received legal advice and had a reasonable opportunity to revise his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April 30, 2012, the defendants filed an application to strike the Further Amended Claim and set the date for December 3, 2012 (the "Second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December 3, 2012, Affleck J. granted the Second Application with costs to the defendants: </w:t>
      </w:r>
      <w:r>
        <w:rPr>
          <w:rFonts w:ascii="arial" w:eastAsia="arial" w:hAnsi="arial" w:cs="arial"/>
          <w:i/>
          <w:color w:val="000000"/>
          <w:sz w:val="20"/>
          <w:lang w:val="en-US" w:eastAsia="en-US" w:bidi="ar-SA"/>
        </w:rPr>
        <w:t>Ramadan v. University of British Columbia</w:t>
      </w:r>
      <w:r>
        <w:rPr>
          <w:rFonts w:ascii="arial" w:eastAsia="arial" w:hAnsi="arial" w:cs="arial"/>
          <w:color w:val="000000"/>
          <w:sz w:val="20"/>
          <w:lang w:val="en-US" w:eastAsia="en-US" w:bidi="ar-SA"/>
        </w:rPr>
        <w:t xml:space="preserve"> (December 3, 2012), Vancouver S094660 (S.C.). He concluded the Further Amended Claim "exhibits the same egregious defects as did its predecessor". In granting leave to amend to the plaintiff, Affleck J. warned the plaintiff that should there be another successful application, the Court may conclude that the plaintiff should not be entitled to amend without first obtaining the Court's permission. Affleck J. also strongly encouraged the plaintiff to seek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February 15, 2013, the plaintiff filed a 20-page second further Amended Notice of Civil Claim (the "Second Further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 further steps were taken in the litigation other than a few emails exchanged between the plaintiff and counsel for the defendants in July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February 9, 2018, the plaintiff wrote to counsel for the defendants to seek trial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February 13, 2018, counsel for the defendants responded that the plaintiff would need to file and serve a Notice of Intention to Proceed and advised him to seek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or about February 15, 2018, the plaintiff delivered and filed a Notice of Intention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March 22, 2018, counsel for the defendants advised the plaintiff that the Second Further Amended Claim suffered from the same defects as the earlier pleadings and that if the plaintiff intended to proceed they would bring an application to strike. Counsel further advised that they would seek an order that he not be permitted to file any claim against the defendants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Rule 9-5(1) states: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law related to striking pleadings was summarized in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2015 BCSC 392</w:t>
        </w:r>
      </w:hyperlink>
      <w:r>
        <w:rPr>
          <w:rFonts w:ascii="arial" w:eastAsia="arial" w:hAnsi="arial" w:cs="arial"/>
          <w:color w:val="000000"/>
          <w:sz w:val="20"/>
          <w:lang w:val="en-US" w:eastAsia="en-US" w:bidi="ar-SA"/>
        </w:rPr>
        <w:t xml:space="preserve">, appeal dismissed as abandoned </w:t>
      </w:r>
      <w:hyperlink r:id="rId74" w:history="1">
        <w:r>
          <w:rPr>
            <w:rFonts w:ascii="arial" w:eastAsia="arial" w:hAnsi="arial" w:cs="arial"/>
            <w:i/>
            <w:color w:val="0077CC"/>
            <w:sz w:val="20"/>
            <w:u w:val="single"/>
            <w:shd w:val="clear" w:color="auto" w:fill="FFFFFF"/>
            <w:lang w:val="en-US" w:eastAsia="en-US" w:bidi="ar-SA"/>
          </w:rPr>
          <w:t>2017 BCCA 96</w:t>
        </w:r>
      </w:hyperlink>
      <w:r>
        <w:rPr>
          <w:rFonts w:ascii="arial" w:eastAsia="arial" w:hAnsi="arial" w:cs="arial"/>
          <w:color w:val="000000"/>
          <w:sz w:val="20"/>
          <w:lang w:val="en-US" w:eastAsia="en-US" w:bidi="ar-SA"/>
        </w:rPr>
        <w:t>, at paras. 57-63: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test on an application to strike an action under R. 9-5(1)(a), on the basis the pleadings do not disclose a cause of action, is whether it is plain and obvious the claim cannot succeed. It requires a conclusion that, assuming that the facts as stated are true, those facts disclose no cause of action and the pleadings disclose no arguable issue. If there is a chance that the action may succeed, then the action should be allowed to proceed;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Thompson v. Webber</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2010 BCCA 308</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xml:space="preserve"> at para.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The test for striking a pleading under R. 9-5(1)(b), on the basis that it is unnecessary, scandalous, frivolous or vexatious, was recently summarized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where Fisher 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Under Rule 9-5(1)(b), a pleading is unnecessary or vexatious if it does not go to establishing the plaintiff's cause of action, if it does not advance any claim known in law, where it is obvious that an action cannot succeed, or where it would serve no useful purpose and would be a waste of the court's time and public resources: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Skender v Farley</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If a pleading is so confusing that it is difficult to understand what is pleaded, it may also be unnecessary, frivolous or vexatious.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An "embarrassing" pleading, as contemplated by R. 9-5(1)(c), is one that is so irrelevant that to allow it to stand would involve useless expense and would also prejudice the trial of the action by involving the parties in a dispute apart from the issues; </w:t>
      </w:r>
      <w:r>
        <w:rPr>
          <w:rFonts w:ascii="arial" w:eastAsia="arial" w:hAnsi="arial" w:cs="arial"/>
          <w:i/>
          <w:color w:val="000000"/>
          <w:sz w:val="20"/>
          <w:lang w:val="en-US" w:eastAsia="en-US" w:bidi="ar-SA"/>
        </w:rPr>
        <w:t>Keddie v. Dumas Hotels Ltd</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at 147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The abuse of process standard under R. 9-5(1)(d) derives from a flexible doctrine. It allows the court to prevent a claim from proceeding where to do so would violate principles of judicial economy, consistency, finality and the integrity of the administration of justice;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paras. 35-37.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Though subsections (a)-(d) of R. 9-5(1) address different concerns and different wrongs, there is also some overlap between these subsections. Thus, for example, a pleading that discloses no cause of action, contrary to R. 9-5(1)(a), can also be unnecessary, frivolous or vexatious within the meaning of R. 9-5(1)(b); see e.g. </w:t>
      </w:r>
      <w:r>
        <w:rPr>
          <w:rFonts w:ascii="arial" w:eastAsia="arial" w:hAnsi="arial" w:cs="arial"/>
          <w:i/>
          <w:color w:val="000000"/>
          <w:sz w:val="20"/>
          <w:lang w:val="en-US" w:eastAsia="en-US" w:bidi="ar-SA"/>
        </w:rPr>
        <w:t>Virk v. Brar</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2012 BCSC 1004</w:t>
        </w:r>
      </w:hyperlink>
      <w:r>
        <w:rPr>
          <w:rFonts w:ascii="arial" w:eastAsia="arial" w:hAnsi="arial" w:cs="arial"/>
          <w:color w:val="000000"/>
          <w:sz w:val="20"/>
          <w:lang w:val="en-US" w:eastAsia="en-US" w:bidi="ar-SA"/>
        </w:rPr>
        <w:t xml:space="preserve"> at paras. 69-70.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A pleading can be embarrassing if it does not state the real issue in an intelligible form. It can also be embarrassing if it is prolix, includes irrelevant facts, argument or evidence. It can be prejudicial if it is designed to or has the effect of confusing the defendant, making it difficult, if not impossible, to answer; </w:t>
      </w:r>
      <w:r>
        <w:rPr>
          <w:rFonts w:ascii="arial" w:eastAsia="arial" w:hAnsi="arial" w:cs="arial"/>
          <w:i/>
          <w:color w:val="000000"/>
          <w:sz w:val="20"/>
          <w:lang w:val="en-US" w:eastAsia="en-US" w:bidi="ar-SA"/>
        </w:rPr>
        <w:t>Virk</w:t>
      </w:r>
      <w:r>
        <w:rPr>
          <w:rFonts w:ascii="arial" w:eastAsia="arial" w:hAnsi="arial" w:cs="arial"/>
          <w:color w:val="000000"/>
          <w:sz w:val="20"/>
          <w:lang w:val="en-US" w:eastAsia="en-US" w:bidi="ar-SA"/>
        </w:rPr>
        <w:t xml:space="preserve"> at para. 75.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These same concerns can constitute an abuse of the court if a litigant has been expressly told that there are aspects of its pleadings that are deficient or defective, and if that litigant persists, in its amended claim, to advance the same claims or issues in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defendants say that the Second Further Amended Claim ought to be struck under essentially every subheading of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defendants say that there is no reasonable cause of action because the claims' essential character is academic, and therefore they must be dealt with exclusively through the university's internal appeal procedures and any subsequent judicial review, citing </w:t>
      </w:r>
      <w:r>
        <w:rPr>
          <w:rFonts w:ascii="arial" w:eastAsia="arial" w:hAnsi="arial" w:cs="arial"/>
          <w:i/>
          <w:color w:val="000000"/>
          <w:sz w:val="20"/>
          <w:lang w:val="en-US" w:eastAsia="en-US" w:bidi="ar-SA"/>
        </w:rPr>
        <w:t>Jaffer v. York University</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2010 ONCA 654</w:t>
        </w:r>
      </w:hyperlink>
      <w:r>
        <w:rPr>
          <w:rFonts w:ascii="arial" w:eastAsia="arial" w:hAnsi="arial" w:cs="arial"/>
          <w:color w:val="000000"/>
          <w:sz w:val="20"/>
          <w:lang w:val="en-US" w:eastAsia="en-US" w:bidi="ar-SA"/>
        </w:rPr>
        <w:t xml:space="preserve">, leave to appeal ref'd </w:t>
      </w:r>
      <w:hyperlink r:id="rId84" w:history="1">
        <w:r>
          <w:rPr>
            <w:rFonts w:ascii="arial" w:eastAsia="arial" w:hAnsi="arial" w:cs="arial"/>
            <w:i/>
            <w:color w:val="0077CC"/>
            <w:sz w:val="20"/>
            <w:u w:val="single"/>
            <w:shd w:val="clear" w:color="auto" w:fill="FFFFFF"/>
            <w:lang w:val="en-US" w:eastAsia="en-US" w:bidi="ar-SA"/>
          </w:rPr>
          <w:t>[2010] S.C.C.A. No. 402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Dawson v. University of Toronto</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[2007] O.J. No. 591</w:t>
        </w:r>
      </w:hyperlink>
      <w:r>
        <w:rPr>
          <w:rFonts w:ascii="arial" w:eastAsia="arial" w:hAnsi="arial" w:cs="arial"/>
          <w:color w:val="000000"/>
          <w:sz w:val="20"/>
          <w:lang w:val="en-US" w:eastAsia="en-US" w:bidi="ar-SA"/>
        </w:rPr>
        <w:t xml:space="preserve"> (QL) (S.C.), leave to appeal ref'd </w:t>
      </w:r>
      <w:hyperlink r:id="rId86" w:history="1">
        <w:r>
          <w:rPr>
            <w:rFonts w:ascii="arial" w:eastAsia="arial" w:hAnsi="arial" w:cs="arial"/>
            <w:i/>
            <w:color w:val="0077CC"/>
            <w:sz w:val="20"/>
            <w:u w:val="single"/>
            <w:shd w:val="clear" w:color="auto" w:fill="FFFFFF"/>
            <w:lang w:val="en-US" w:eastAsia="en-US" w:bidi="ar-SA"/>
          </w:rPr>
          <w:t>2007 ONCA 875</w:t>
        </w:r>
      </w:hyperlink>
      <w:r>
        <w:rPr>
          <w:rFonts w:ascii="arial" w:eastAsia="arial" w:hAnsi="arial" w:cs="arial"/>
          <w:color w:val="000000"/>
          <w:sz w:val="20"/>
          <w:lang w:val="en-US" w:eastAsia="en-US" w:bidi="ar-SA"/>
        </w:rPr>
        <w:t>. The defendants also argue that the claims are an abuse of process and constitute a collateral attack on the decision by the Senate Appeal Committee, in which it decided to dismiss the plaintiff's appeal of the decision to remove him from the PhD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further argue that the Second Further Amended Claim fails to plead material facts supporting elements of various causes of action. For example, the plaintiff pleads the existence of a contract between him and the University with the terms being "all Policies, Regulations, Ordinances, the Act of the University, and the Statutes of the University of British Columbia", but does not plead any material facts related to which particular terms have been breached. Similarly, breach of trust and defamation are referred to but no material facts related to them are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Second Further Amended Claim is also prolix and pleads irrelevant facts and evidence, mingling facts and a wide variety of claims, making it difficult to even understand the case to be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Some of the allegations such as the claims of forgery and fabrication of evidence do not give rise to a claim: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 xml:space="preserve"> at para. 46. Nor do claims of breaches of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fall within this Court's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defendants repeat the observation of Donald J.A. in </w:t>
      </w:r>
      <w:r>
        <w:rPr>
          <w:rFonts w:ascii="arial" w:eastAsia="arial" w:hAnsi="arial" w:cs="arial"/>
          <w:i/>
          <w:color w:val="000000"/>
          <w:sz w:val="20"/>
          <w:lang w:val="en-US" w:eastAsia="en-US" w:bidi="ar-SA"/>
        </w:rPr>
        <w:t>The Owners, Strata Plan LMS 3259 v. Sze Holding Inc.</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2015 BCCA 424</w:t>
        </w:r>
      </w:hyperlink>
      <w:r>
        <w:rPr>
          <w:rFonts w:ascii="arial" w:eastAsia="arial" w:hAnsi="arial" w:cs="arial"/>
          <w:color w:val="000000"/>
          <w:sz w:val="20"/>
          <w:lang w:val="en-US" w:eastAsia="en-US" w:bidi="ar-SA"/>
        </w:rPr>
        <w:t xml:space="preserve">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 Self-represented litigants must understand that the court is not a free fire zone where anything can be said regardless of the harm to others and their reputations.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responds that academic disputes may give rise to civil liability: </w:t>
      </w:r>
      <w:r>
        <w:rPr>
          <w:rFonts w:ascii="arial" w:eastAsia="arial" w:hAnsi="arial" w:cs="arial"/>
          <w:i/>
          <w:color w:val="000000"/>
          <w:sz w:val="20"/>
          <w:lang w:val="en-US" w:eastAsia="en-US" w:bidi="ar-SA"/>
        </w:rPr>
        <w:t>Olar v. Laurentian University</w:t>
      </w:r>
      <w:r>
        <w:rPr>
          <w:rFonts w:ascii="arial" w:eastAsia="arial" w:hAnsi="arial" w:cs="arial"/>
          <w:color w:val="000000"/>
          <w:sz w:val="20"/>
          <w:lang w:val="en-US" w:eastAsia="en-US" w:bidi="ar-SA"/>
        </w:rPr>
        <w:t xml:space="preserve">, 2007 CanLII 20787 (Ont. S.C.), aff'd </w:t>
      </w:r>
      <w:hyperlink r:id="rId88" w:history="1">
        <w:r>
          <w:rPr>
            <w:rFonts w:ascii="arial" w:eastAsia="arial" w:hAnsi="arial" w:cs="arial"/>
            <w:i/>
            <w:color w:val="0077CC"/>
            <w:sz w:val="20"/>
            <w:u w:val="single"/>
            <w:shd w:val="clear" w:color="auto" w:fill="FFFFFF"/>
            <w:lang w:val="en-US" w:eastAsia="en-US" w:bidi="ar-SA"/>
          </w:rPr>
          <w:t>2008 ONCA 699</w:t>
        </w:r>
      </w:hyperlink>
      <w:r>
        <w:rPr>
          <w:rFonts w:ascii="arial" w:eastAsia="arial" w:hAnsi="arial" w:cs="arial"/>
          <w:color w:val="000000"/>
          <w:sz w:val="20"/>
          <w:lang w:val="en-US" w:eastAsia="en-US" w:bidi="ar-SA"/>
        </w:rPr>
        <w:t>. More generally, he says the claim discloses reasonable causes of action in "fraud, misrepresentation, harassment, and conspiracy within the laws of duty of care and contract that the [defendants] breached", that the Second Further Amended Claim does not fall within any of the categories of Rule 9-5(1), and that the defendants fail to point to any particular paragraphs which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my view, the "essential character" argument has some merit, however, it does not appear to be a complete answer here. For example, the Court of Appeal has declined to strike claims that related to academic matters such as inadequate instruction/supervision: </w:t>
      </w:r>
      <w:r>
        <w:rPr>
          <w:rFonts w:ascii="arial" w:eastAsia="arial" w:hAnsi="arial" w:cs="arial"/>
          <w:i/>
          <w:color w:val="000000"/>
          <w:sz w:val="20"/>
          <w:lang w:val="en-US" w:eastAsia="en-US" w:bidi="ar-SA"/>
        </w:rPr>
        <w:t>Mohl v. The University of British Columbia</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2006 BCCA 70</w:t>
        </w:r>
      </w:hyperlink>
      <w:r>
        <w:rPr>
          <w:rFonts w:ascii="arial" w:eastAsia="arial" w:hAnsi="arial" w:cs="arial"/>
          <w:color w:val="000000"/>
          <w:sz w:val="20"/>
          <w:lang w:val="en-US" w:eastAsia="en-US" w:bidi="ar-SA"/>
        </w:rPr>
        <w:t xml:space="preserve">. Instead, I rest my decision on the well settled principles routinely applied in applications to strike, as set out in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 That is to say abuse of process. The pleadings should be struck because they constitute an abuse of process, running afoul of every subsection of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most fundamental problem with the Second Further Amended Claim is that it is so confusingly drafted that it is impossible to know what facts are intended to support which claim, what causes of action are actually being pursued, and who is alleged to have committed which cause of action. The vast majority of the "particulars" of each claim are a mixed summary of elements of various different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impossible to go through each paragraph with a view to pointing out each error. However, I will attempt to provide some illustrations.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organizes his pleadings into nine claims, but each involves multiple causes of action. It is difficult to discern which causes of action the plaintiff has attempted to plead, but they appear to include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misrepresentation (negligent and fraudulent), conspiracy and breach of contract. The elements of each tort are repeatedly mixed. As an example, at page 7, the plaintiff says that UBC "fraudulently reproduced" a report which recommended that he not be permitted to continue in the PhD program. There follows a section regarding particulars of what appears in the main to be a fraudulent misrepresentation claim. The particulars include an allegation that "[t]he defendant negligently owed the plaintiff duty of care and the defendant negligently breached that duty of care and the contract". He subsequently says that the Senate Appeal Committee "negligently relied on the reproduced false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pleads on page 8 of the Second Further Amended Claim that he "put trust on the defendant and the defendant abused and breached the trust". There are no material facts plead that would put the parties in a trust relationship. Indeed, it appears that the plaintiff has misconstrued the particular legal meaning of trust and has pleaded that in a general sense he had confidence or placed reliance on the defendant. That in itself does not give rise to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Under his third claim, he pleads a "negligent fraudulent misrepresentation". In the particulars, he pleads duress, breach of duty of care and breach of contract, abuse of trust and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page 11 the plaintiff says that a letter defamed him. There are no particulars about the allegedly defamatory contents of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pleads a number of different contracts: one with UBC, the terms of which are essentially all laws and policies which apply to it; two contracts with non-parties for supervision (and he does not plead that UBC was a party to either); and another agreement that UBC would allow him to be reinstated to the PhD program if he accepted being placed in the master's program. He pleads that the Regulations and Statutes of UBC and "the law" were breached, but provides no material facts related 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pleads that a signature on an important letter was forged. Forgery in itself is not a cause of action, though it may be part of a fraudulent misrepresentation. The elements of the tort were set out in </w:t>
      </w:r>
      <w:r>
        <w:rPr>
          <w:rFonts w:ascii="arial" w:eastAsia="arial" w:hAnsi="arial" w:cs="arial"/>
          <w:i/>
          <w:color w:val="000000"/>
          <w:sz w:val="20"/>
          <w:lang w:val="en-US" w:eastAsia="en-US" w:bidi="ar-SA"/>
        </w:rPr>
        <w:t>Bruno Appliance and Furniture Inc. v. Hryniak</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2014 SCC 8</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representation made by the defendant; (2) some level of knowledge of the falsehood of the representation on the part of the defendant (whether through knowledge or recklessness); (3) the false representation caused the plaintiff to act; and (4) the plaintiff's actions resulted in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pleads that he relied on the letter but fails to plead material facts capable of supporting that allegation. The letter is alleged to have required him to withdraw from the PhD program or face being removed from the faculty of graduate studies. There is no suggestion that he was not in fact faced with this choice - indeed, the plaintiff pleads repeatedly that he was in fact compelled by multiple people within the University to make this choice, and the requirement was upheld by the Senate Appeal Committee. The plaintiff does not plead any material facts that could remotely support any causative impact of the signature. Similarly, the allegation that the letter contained a "negligent material misrepresentation about the plaintiff's progress with his Ph.D. program" - which allegation is entirely unparticularized - is not accompanied by any material facts capable of establishing that the plaintiff relied to his detriment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This analysis applies to any alleged negligent misrepresentation, which also requires detrimental reliance: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Conspiracy is alleged at several points. The tort of conspiracy requires proof of an agreement either (1) with the intent to injure, and injury does in fact result, or (2) to employ unlawful means directed at the plaintiff, while knowing that injury is likely to occur, and injury in fact does occur: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at paras. 74-83. The plaintiff does not plead any agreement to injure or to use unlawful means, nor does he (if the latter is intended to be pleaded) allege any material facts related to knowledge that injury is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terms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addition to misrepresentation the plaintiff alleges that "[t]he Departmental Graduate Studies Committee of the Pharmacology Department negligently required the plaintiff to either write his PhD thesis as a master's thesis or voluntarily withdraw from the PhD program." No material facts are pleaded regarding the standard of care or how it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addition to being confusing and failing to plead material facts capable of constituting an element of the various causes of action, the claims constitute a collateral attack on the university appeal process. The first order sought under each of the plaintiff's nine claims is "an order to void the Master degree obtained in May 2008 with rescission". The plaintiff refers repeatedly to forged and fraudulent evidence being used in this process. He also says the University breached its statutes and regulations by requiring that he transfer from the PhD program to the master's program, and that the Senate Appeal Committee decision was tainted by alleged forgery. If there were fraudulent documents that materially affected his appeal, the proper route was to either seek a reconsideration on the basis of the limited equitable jurisdiction tribunals may have in such circumstances, or to seek judicial review: </w:t>
      </w:r>
      <w:r>
        <w:rPr>
          <w:rFonts w:ascii="arial" w:eastAsia="arial" w:hAnsi="arial" w:cs="arial"/>
          <w:i/>
          <w:color w:val="000000"/>
          <w:sz w:val="20"/>
          <w:lang w:val="en-US" w:eastAsia="en-US" w:bidi="ar-SA"/>
        </w:rPr>
        <w:t>Chandler v. Alberta Association of Architects</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[1989] 2 S.C.R. 848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Zutter v. British Columbia (Council of Human Rights)</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(1995), 3 B.C.L.R. (3d) 321</w:t>
        </w:r>
      </w:hyperlink>
      <w:r>
        <w:rPr>
          <w:rFonts w:ascii="arial" w:eastAsia="arial" w:hAnsi="arial" w:cs="arial"/>
          <w:color w:val="000000"/>
          <w:sz w:val="20"/>
          <w:lang w:val="en-US" w:eastAsia="en-US" w:bidi="ar-SA"/>
        </w:rPr>
        <w:t xml:space="preserve">, leave to appeal to SCC ref'd </w:t>
      </w:r>
      <w:hyperlink r:id="rId95" w:history="1">
        <w:r>
          <w:rPr>
            <w:rFonts w:ascii="arial" w:eastAsia="arial" w:hAnsi="arial" w:cs="arial"/>
            <w:i/>
            <w:color w:val="0077CC"/>
            <w:sz w:val="20"/>
            <w:u w:val="single"/>
            <w:shd w:val="clear" w:color="auto" w:fill="FFFFFF"/>
            <w:lang w:val="en-US" w:eastAsia="en-US" w:bidi="ar-SA"/>
          </w:rPr>
          <w:t>[1995] S.C.C.A. No. 243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Demings v. Workers' Compensation Appeal Tribunal</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2012 BCSC 475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has been informed of these defects multiple times, both by this Court and by counsel for the defendants. He has been encouraged, forcefully, to seek legal advice. While he has reduced the page count of his pleadings, he has not made any progress in remedying their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at this point the pleadings constitute an abuse of process and ought to be struck on that basis. The plaintiff will be required to seek leave of the Court should he wish to file any further claims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July 31, 2018</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51 is to be deleted and replaced with the following: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at this point the pleadings constitute an abuse of process and ought to be struck on that basis. The plaintiff will be required to seek leave of the Court should he wish to file any further claims against the defendants.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Ram Construction Inc. v. JBLK Enterprises Inc., [2010] B.C.J. No. 1866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P.M. Willcock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S086589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1866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1333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C.L.R. (3d) 297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2527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192 A.C.W.S. (3d) 1160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Ram Construction Inc., Plaintiff, and JBLK Enterprises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 w:name="Keywords_5"/>
      <w:bookmarkEnd w:id="37"/>
      <w:r>
        <w:rPr>
          <w:rFonts w:ascii="arial" w:eastAsia="arial" w:hAnsi="arial" w:cs="arial"/>
          <w:b/>
          <w:color w:val="000000"/>
          <w:sz w:val="20"/>
          <w:lang w:val="en-US" w:eastAsia="en-US" w:bidi="ar-SA"/>
        </w:rPr>
        <w:t>Construction law — Payment — Conditions precedent to payment — Completion of work — Certificate of completion — Validity — Owner's right to set-off against — Application by plaintiff contractor for summary judgment for funds held back from progress payments allowed in part — The defendant was ordered to pay $89,480 out of the holdback to be held in trust for the unpaid subcontractors, while the application for payment out of the balance of the holdback, $371,848, was dismissed — Since all other beneficiaries of the holdback impressed with the statutory trust had been paid out, the only remaining beneficiary was the plaintiff — It would be unfair if the plaintiff had to first be paid before the defendant could sue for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8" w:name="Case Summary_4"/>
            <w:bookmarkEnd w:id="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plaintiff Ram Construction Inc. for summary judgment for an order that funds held back from progress payments be paid out to it. Ram contracted to build a building to house a food supplement production facility for the defendant, to be substantially completed by Nov. 27, 2007. By that date, the defendant held back $617,163 from progress payments pursuant to the contract and the Builders Lien Act. Ram claimed the amount remaining payable to the contract was $850,624, and it sought an order that the portion of the holdback relating to subcontractors' claims be paid out to it, namely $461,327. Of that amount, Ram had paid $371,848 to its sub-contractors, with only $89,480 still owing to third party sub-trades. The defendant claimed the certificate of substantial performance ought not to have issued. It claimed the contract required that a certificate of payment be issued before payment was made and no such certificate had ever been issued. Further, the defendant stated it had a claim to a set-off against the funds held back arising from construction deficiencies, and that the portion of the holdback payable to Ram's credit should not be paid out until that claim was adjudicated. The defendant argued that while some of the funds were being held back in respect of the sub-contractors' claims, most of them had been paid by Ram, and thus most of the holdback was subject to a claim for set-off. The issues were: (1) whether the certificate of substantial completion could now be challenged; (2) whether the consultant's failure to issue a certificate of payment barred an order for payment out of the holdback; and (3) whether Ram's payment of sub-trades increased the amount of the holdback against which the defendant might advance a claim to a set-off.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9" w:name="Holdings of Court_3"/>
            <w:bookmarkEnd w:id="39"/>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ordered to pay out of the holdback to Ram the sum of $89,480 to be held in trust for its unpaid subcontractors and paid out to them in satisfaction of their unpaid claims. The application for payment out of the balance of the holdback was dismissed. Costs were to be in the cause. The legislative scheme required that parties have some certainty in the effect of the certificate upon its issuance. (1) The issuance of the certificate begins the period in which liens may be made and claims protected. At the expiry of 55 days after the issuance of the certificate the holdback was payable to the contractor. For that reason there was no provision for appeals and s. 7(10) provided that if a certificate of completion was in the prescribed form it was sufficient to comply with the Act. There was no basis to set aside the certificate where no fraud was alleged. The certificate was to be given its statutory effect. (2) Once substantial performance was certified and the contractor had provided proof of payment of accounts, the consultant had no further discretion in determining whether to issue the certificate of payment. If the accounts were proved on an application to court for payment of a holdback, the failure to seek and obtain a certificate of payment should not stand as an obstacle to an order for payment of the amounts that were due and payable upon substantial performance. The failure to comply with the contractual provisions requiring application for payment was not a bar to Ram's application now for an order for payment out of the holdback. (3) Ram sought only payment of the portion of the holdback that it claimed represented the holdback from sub-trades. To the extent Ram had satisfied its sub-contractors, money paid out of the holdback would not be subject to a trust in Ram's hands and should therefore be subject to the defendant's claims to set-off. While the funds at issue here were impressed with a trust, since all other possible beneficiaries of the holdback account impressed with the statutory trust had been paid out, the only remaining beneficiary to the holdback in excess of $89,480 was Ram. Therefore, it would be unfair if Ram had to first be paid before the defendant could sue for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0" w:name="Legislation Cited_3"/>
      <w:bookmarkEnd w:id="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Builders Lien Act, </w:t>
      </w:r>
      <w:hyperlink r:id="rId104" w:history="1">
        <w:r>
          <w:rPr>
            <w:rFonts w:ascii="arial" w:eastAsia="arial" w:hAnsi="arial" w:cs="arial"/>
            <w:i/>
            <w:color w:val="0077CC"/>
            <w:sz w:val="20"/>
            <w:u w:val="single"/>
            <w:shd w:val="clear" w:color="auto" w:fill="FFFFFF"/>
            <w:lang w:val="en-US" w:eastAsia="en-US" w:bidi="ar-SA"/>
          </w:rPr>
          <w:t>SBC 1997, CHAPTER 45, s. 6</w:t>
        </w:r>
      </w:hyperlink>
      <w:r>
        <w:rPr>
          <w:rFonts w:ascii="arial" w:eastAsia="arial" w:hAnsi="arial" w:cs="arial"/>
          <w:color w:val="000000"/>
          <w:sz w:val="20"/>
          <w:lang w:val="en-US" w:eastAsia="en-US" w:bidi="ar-SA"/>
        </w:rPr>
        <w:t>(1), s. 7(10), s. 9(1)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1" w:name="Counsel_5"/>
      <w:bookmarkEnd w:id="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D.S. Gray.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 Campbell.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5"/>
      <w:bookmarkEnd w:id="42"/>
      <w:r>
        <w:pict>
          <v:line id="_x0000_s1056"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P.M. WILLCOCK J."/>
            <w:bookmarkEnd w:id="43"/>
            <w:r>
              <w:rPr>
                <w:rFonts w:ascii="arial" w:eastAsia="arial" w:hAnsi="arial" w:cs="arial"/>
                <w:b/>
                <w:color w:val="000000"/>
                <w:sz w:val="30"/>
                <w:lang w:val="en-US" w:eastAsia="en-US" w:bidi="ar-SA"/>
              </w:rPr>
              <w:t>P.M. WILLCOCK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("Ram") applies for summary judgment on an issue in an action arising out of a construction dispute. Orders were made on June 29, 2010 in relation to all other interim relief sought by Ram. This judgment, on Ram's application for an order that funds held back from progress payments be paid out to it, was 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Ram contracted in 2005 to build a 58,000 square foot building to house a food supplement production facility for the defendant ("JBLK"). The work was certified to have been substantially performed on November 27, 2007. By that date JBLK had held back $617,163.35 from progress payments pursuant to the construction contract and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 Ram says the amount remaining payable pursuant to the contract is $850,623.86. Ram seeks an order that the portion of the holdback relating to subcontractors' claims be paid out to it. Ram says that amount is now $461,327.40. Of that amount, however, Ram has paid $371,847.68 to its sub-contractors. In the result, only $89,479.72 is still owing to third party sub-trades.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JBLK says the certificate of substantial performance ought not to have been issued. In addition, JBLK says the contract requires that a certificate of payment be issued before payment is made and no such certificate has ever been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Further, JBLK says it has a claim to a set-off against the funds held back, arising from construction deficiencies, and that the portion of the holdback payable to Ram's credit should not be paid out until adjudication of that claim. JBLK says that while some of the funds are being held back in respect of the claims of sub-contractors (and, if the other defences are not an obstacle to doing so, those may be paid out to Ram in trust for sub-contractors) most of the sub-contractors have been paid by Ram. Most of the holdback is, therefore subject to a claim for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JBLK operated a small food supplement production facility in rented premises in Burnaby until June 2007. By contract made December 9, 2005 Ram agreed to construct a new building for JBLK for $8,357,435.09. The contract provided that the work would be commenced in late August 2005, and completed by late July 2006. The new building would contain an office (administration) area, a packaging area, and a production and warehouse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Ram contracted to perform the mechanical work described in the contract as that set out in a "Full set of mechanical drawings and specifications prepared by Bycar Engineering" ("Bycar") dated November 7, 2005 and the electrical work described in a "Full set of electrical drawings prepared by SML Consultants" dated June 28,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Progress payments were to be made "in accordance with the legislation and statutory regulations regarding holdback percentages".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parties agreed to nominate Scott Gordon, Architect as a consultant and that the consultant would determine certain issues as provided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contract included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GC 5.4 SUBSTANTIAL PERFORMANCE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5.4.1 When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considers that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is substantially performed, or if permitted by the lien legislation applicable to the </w:t>
      </w:r>
      <w:r>
        <w:rPr>
          <w:rFonts w:ascii="arial" w:eastAsia="arial" w:hAnsi="arial" w:cs="arial"/>
          <w:i/>
          <w:color w:val="000000"/>
          <w:sz w:val="20"/>
          <w:lang w:val="en-US" w:eastAsia="en-US" w:bidi="ar-SA"/>
        </w:rPr>
        <w:t>Place of the Work</w:t>
      </w:r>
      <w:r>
        <w:rPr>
          <w:rFonts w:ascii="arial" w:eastAsia="arial" w:hAnsi="arial" w:cs="arial"/>
          <w:color w:val="000000"/>
          <w:sz w:val="20"/>
          <w:lang w:val="en-US" w:eastAsia="en-US" w:bidi="ar-SA"/>
        </w:rPr>
        <w:t xml:space="preserve"> a designated portion thereof which the </w:t>
      </w:r>
      <w:r>
        <w:rPr>
          <w:rFonts w:ascii="arial" w:eastAsia="arial" w:hAnsi="arial" w:cs="arial"/>
          <w:i/>
          <w:color w:val="000000"/>
          <w:sz w:val="20"/>
          <w:lang w:val="en-US" w:eastAsia="en-US" w:bidi="ar-SA"/>
        </w:rPr>
        <w:t>Owner</w:t>
      </w:r>
      <w:r>
        <w:rPr>
          <w:rFonts w:ascii="arial" w:eastAsia="arial" w:hAnsi="arial" w:cs="arial"/>
          <w:color w:val="000000"/>
          <w:sz w:val="20"/>
          <w:lang w:val="en-US" w:eastAsia="en-US" w:bidi="ar-SA"/>
        </w:rPr>
        <w:t xml:space="preserve"> agrees to accept separately is substantially performed,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shall prepare and submit to the </w:t>
      </w:r>
      <w:r>
        <w:rPr>
          <w:rFonts w:ascii="arial" w:eastAsia="arial" w:hAnsi="arial" w:cs="arial"/>
          <w:i/>
          <w:color w:val="000000"/>
          <w:sz w:val="20"/>
          <w:lang w:val="en-US" w:eastAsia="en-US" w:bidi="ar-SA"/>
        </w:rPr>
        <w:t>Consultant</w:t>
      </w:r>
      <w:r>
        <w:rPr>
          <w:rFonts w:ascii="arial" w:eastAsia="arial" w:hAnsi="arial" w:cs="arial"/>
          <w:color w:val="000000"/>
          <w:sz w:val="20"/>
          <w:lang w:val="en-US" w:eastAsia="en-US" w:bidi="ar-SA"/>
        </w:rPr>
        <w:t xml:space="preserve"> a comprehensive list of items to be completed or corrected and then apply for a review by the </w:t>
      </w:r>
      <w:r>
        <w:rPr>
          <w:rFonts w:ascii="arial" w:eastAsia="arial" w:hAnsi="arial" w:cs="arial"/>
          <w:i/>
          <w:color w:val="000000"/>
          <w:sz w:val="20"/>
          <w:lang w:val="en-US" w:eastAsia="en-US" w:bidi="ar-SA"/>
        </w:rPr>
        <w:t>Consultant</w:t>
      </w:r>
      <w:r>
        <w:rPr>
          <w:rFonts w:ascii="arial" w:eastAsia="arial" w:hAnsi="arial" w:cs="arial"/>
          <w:color w:val="000000"/>
          <w:sz w:val="20"/>
          <w:lang w:val="en-US" w:eastAsia="en-US" w:bidi="ar-SA"/>
        </w:rPr>
        <w:t xml:space="preserve"> to establish </w:t>
      </w:r>
      <w:r>
        <w:rPr>
          <w:rFonts w:ascii="arial" w:eastAsia="arial" w:hAnsi="arial" w:cs="arial"/>
          <w:i/>
          <w:color w:val="000000"/>
          <w:sz w:val="20"/>
          <w:lang w:val="en-US" w:eastAsia="en-US" w:bidi="ar-SA"/>
        </w:rPr>
        <w:t>Substantial Performance of the Work</w:t>
      </w:r>
      <w:r>
        <w:rPr>
          <w:rFonts w:ascii="arial" w:eastAsia="arial" w:hAnsi="arial" w:cs="arial"/>
          <w:color w:val="000000"/>
          <w:sz w:val="20"/>
          <w:lang w:val="en-US" w:eastAsia="en-US" w:bidi="ar-SA"/>
        </w:rPr>
        <w:t xml:space="preserve"> or substantial performance of the designated portion of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Failure to include an item on the list does not alter the responsibility of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to complete the </w:t>
      </w:r>
      <w:r>
        <w:rPr>
          <w:rFonts w:ascii="arial" w:eastAsia="arial" w:hAnsi="arial" w:cs="arial"/>
          <w:i/>
          <w:color w:val="000000"/>
          <w:sz w:val="20"/>
          <w:lang w:val="en-US" w:eastAsia="en-US" w:bidi="ar-SA"/>
        </w:rPr>
        <w:t>Contract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5.4.2 No later than ten days after the receipt of the </w:t>
      </w:r>
      <w:r>
        <w:rPr>
          <w:rFonts w:ascii="arial" w:eastAsia="arial" w:hAnsi="arial" w:cs="arial"/>
          <w:i/>
          <w:color w:val="000000"/>
          <w:sz w:val="20"/>
          <w:lang w:val="en-US" w:eastAsia="en-US" w:bidi="ar-SA"/>
        </w:rPr>
        <w:t>Contractor's</w:t>
      </w:r>
      <w:r>
        <w:rPr>
          <w:rFonts w:ascii="arial" w:eastAsia="arial" w:hAnsi="arial" w:cs="arial"/>
          <w:color w:val="000000"/>
          <w:sz w:val="20"/>
          <w:lang w:val="en-US" w:eastAsia="en-US" w:bidi="ar-SA"/>
        </w:rPr>
        <w:t xml:space="preserve"> list and application, the </w:t>
      </w:r>
      <w:r>
        <w:rPr>
          <w:rFonts w:ascii="arial" w:eastAsia="arial" w:hAnsi="arial" w:cs="arial"/>
          <w:i/>
          <w:color w:val="000000"/>
          <w:sz w:val="20"/>
          <w:lang w:val="en-US" w:eastAsia="en-US" w:bidi="ar-SA"/>
        </w:rPr>
        <w:t>Consultant</w:t>
      </w:r>
      <w:r>
        <w:rPr>
          <w:rFonts w:ascii="arial" w:eastAsia="arial" w:hAnsi="arial" w:cs="arial"/>
          <w:color w:val="000000"/>
          <w:sz w:val="20"/>
          <w:lang w:val="en-US" w:eastAsia="en-US" w:bidi="ar-SA"/>
        </w:rPr>
        <w:t xml:space="preserve"> will review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to verify the validity of the application and no later than seven days after completing the review, will notify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whether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or the designated portion of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is substantially performed.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5.4.3 The </w:t>
      </w:r>
      <w:r>
        <w:rPr>
          <w:rFonts w:ascii="arial" w:eastAsia="arial" w:hAnsi="arial" w:cs="arial"/>
          <w:i/>
          <w:color w:val="000000"/>
          <w:sz w:val="20"/>
          <w:lang w:val="en-US" w:eastAsia="en-US" w:bidi="ar-SA"/>
        </w:rPr>
        <w:t>Consultant</w:t>
      </w:r>
      <w:r>
        <w:rPr>
          <w:rFonts w:ascii="arial" w:eastAsia="arial" w:hAnsi="arial" w:cs="arial"/>
          <w:color w:val="000000"/>
          <w:sz w:val="20"/>
          <w:lang w:val="en-US" w:eastAsia="en-US" w:bidi="ar-SA"/>
        </w:rPr>
        <w:t xml:space="preserve"> shall state the date of </w:t>
      </w:r>
      <w:r>
        <w:rPr>
          <w:rFonts w:ascii="arial" w:eastAsia="arial" w:hAnsi="arial" w:cs="arial"/>
          <w:i/>
          <w:color w:val="000000"/>
          <w:sz w:val="20"/>
          <w:lang w:val="en-US" w:eastAsia="en-US" w:bidi="ar-SA"/>
        </w:rPr>
        <w:t>Substantial Performance of the Work</w:t>
      </w:r>
      <w:r>
        <w:rPr>
          <w:rFonts w:ascii="arial" w:eastAsia="arial" w:hAnsi="arial" w:cs="arial"/>
          <w:color w:val="000000"/>
          <w:sz w:val="20"/>
          <w:lang w:val="en-US" w:eastAsia="en-US" w:bidi="ar-SA"/>
        </w:rPr>
        <w:t xml:space="preserve"> or designated portion of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in a certificate.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contract called for payment of the holdback upon substantial performance of the work. Article A-5.1.2 provided that the Owner should: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upon Substantial Performance of the Work, pay to the Contractor the unpaid balance of the holdback amount when due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Article GC 5.5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5.5.2 After the receipt of an application for payment from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and the sworn statement as provided in paragraph 5.5.1, the </w:t>
      </w:r>
      <w:r>
        <w:rPr>
          <w:rFonts w:ascii="arial" w:eastAsia="arial" w:hAnsi="arial" w:cs="arial"/>
          <w:i/>
          <w:color w:val="000000"/>
          <w:sz w:val="20"/>
          <w:lang w:val="en-US" w:eastAsia="en-US" w:bidi="ar-SA"/>
        </w:rPr>
        <w:t>Consultant</w:t>
      </w:r>
      <w:r>
        <w:rPr>
          <w:rFonts w:ascii="arial" w:eastAsia="arial" w:hAnsi="arial" w:cs="arial"/>
          <w:color w:val="000000"/>
          <w:sz w:val="20"/>
          <w:lang w:val="en-US" w:eastAsia="en-US" w:bidi="ar-SA"/>
        </w:rPr>
        <w:t xml:space="preserve"> will issue a certificate for payment of the holdback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5.5.4 The holdback amount authorized by the certificate for payment of the holdback amount is due and payable on the day following the expiration of the holdback period stipulated in the lien legislation applicable to the place of work. Where lien legislation does not exist or apply, a holdback amount shall be due and payable in accordance with other legislation, industry practice, or provisions which may be agreed to between the parties. The </w:t>
      </w:r>
      <w:r>
        <w:rPr>
          <w:rFonts w:ascii="arial" w:eastAsia="arial" w:hAnsi="arial" w:cs="arial"/>
          <w:i/>
          <w:color w:val="000000"/>
          <w:sz w:val="20"/>
          <w:lang w:val="en-US" w:eastAsia="en-US" w:bidi="ar-SA"/>
        </w:rPr>
        <w:t>Owner</w:t>
      </w:r>
      <w:r>
        <w:rPr>
          <w:rFonts w:ascii="arial" w:eastAsia="arial" w:hAnsi="arial" w:cs="arial"/>
          <w:color w:val="000000"/>
          <w:sz w:val="20"/>
          <w:lang w:val="en-US" w:eastAsia="en-US" w:bidi="ar-SA"/>
        </w:rPr>
        <w:t xml:space="preserve"> may retain out of the holdback amount any sums required by law to satisfy any liens against the work or, if permitted by the lien legislation applicable to the place of work, other third party monetary claims against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which are enforceable against the </w:t>
      </w:r>
      <w:r>
        <w:rPr>
          <w:rFonts w:ascii="arial" w:eastAsia="arial" w:hAnsi="arial" w:cs="arial"/>
          <w:i/>
          <w:color w:val="000000"/>
          <w:sz w:val="20"/>
          <w:lang w:val="en-US" w:eastAsia="en-US" w:bidi="ar-SA"/>
        </w:rPr>
        <w:t>Owner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During the course of the construction, pursuant to the contract and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Ram issued holdback invoices to JBLK, the aggregate amount of which totalled $617,163.35. The portion of the holdback relating to subcontractors' work is $461,327.40.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27, 2007, Scott Gordon, Architect issued a certificate of substantial performance in accordance with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Ram has subsequently paid $371,847.68 to its sub-contractors. $89,479.72 is still owed to third party sub-trades.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mechanical heating, ventilation and air conditioning (HVAC) system was designed to heat and cool the building and to cool large fermenting and seed tanks in the production area. It was JBLK's intention to reduce its energy consumption by using a geothermal system for heating and cooling and to reduce its water consumption by constructing a closed-loop cooling system. JBLK says it has been unable to use the building as anticipated. It says the mechanical systems have been unable to maintain the temperatures required in the fermenting tanks and seed tanks and that the ambient temperature in the building varies with outside temperatures to the point where it is uncomfortably cold in the winter and hot in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JBLK says Ram was responsible for the design of the geothermal loops and the cooling tower in the new building. Its expert, Mr. Kenneth Newbert, a professional engineer and the Technical Director of Cobalt Engineering, has inspected the building and reviewed HVAC balancing and test reports prepared in January and February 2008. It is his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temperatures are low the building's heat pumps are cycled off. A boiler maintains the temperature of the water in the system but the cooling tower is bypassed. Because heated water is not circulated through the cooling tower it is vulnerable to freezing in the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Newbert suggests solutions to this problem, including the addition of an antifreeze, glycol, to the water in the tower.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Newbert says the mechanical systems will not be able to adequately cool the process equipment during summer heat. Errors were made in the installation of the process equipment but Mr. Newbert believes these to be inconsequential. He concludes that a chiller will be necessary to maintain temperatures in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buffer tank for the heating system cannot be maintained at a temperature close to the proper operating temperature, and the unit heaters do not function properly. The pipes and flow rates for the injection system appear to be undersized. This is a design flaw in the HVAC but he is not able to determine whether the system was built according to design. As an interim solution to this problem he suggests a manual adjustment to the control valves. He does not describe a long term solution, in part because he has not seen the system operating on controls that have been commissioned.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Newbert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building systems are still not operational, although the tests that have been conducted for the plaintiff and my analyses are gradually serving to isolate the problems and to suggest solutions. The single greatest difficulty in determining what is wrong with the building systems is the fact that the controls are not commissioned and operating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For the reasons stated by Mr. Newbert, JBLK says Scott Gordon ought not to have issued the Certificate of Substantial Performance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Further, JBLK says article GC 5.5 describes the procedure for payment of the holdback upon substantial performance of the work and that a certificate for payment of the holdback amount has never been issued by the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Ram says that after the building was substantially complete and a certificate of substantial performance was issued on November 27, 2007, JBLK made a general complaint that the building did not work but took no other step to contest or set aside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Ram commenced this Action by Writ and Statement of Claim filed on September 18, 2008. Ram sought judgment for the unpaid balance of the aggregate amount of the construction costs, including extras, amounting to $850,623.86 and interest on that amount. Ram, relying on article GC 5.5.4, says the holdback amount is due and payable on the day following the expiration of the holdback period stipulated in the lien legislation applicable to the place of work. It says final payment has been due since the expiry of 56 days after the certificate of substantial completion on November 27, 2007: since January 22,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Statement of Defence was filed on October 27, 2008. In its defence JBLK says the construction contract was entered into on the basis of representations by Ram that the building, if built according to the supplied design, would meet the design criteria and, in particular, that specific heating and cooling criteria could be met. JBLK says neither the designs nor the building meet those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JBLK alleges that it suffered unspecified damages and expense and claims a set-off of its damages against Ram's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 Reply filed November 14, 2008 Ram denies that JBLK sought or Ram gave an assurance with respect to the ability of the system, as designed, to meet specific heating or cooling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August 19, 2009, JBLK filed a counterclaim in which it alleges, among other things, that Ram failed to design and build the building mechanical systems in accordance with the design criteria; that it failed to advise JBLK the existing process equipment could not be operated properly as the building mechanical system was designed and built and; that it designed and built the mechanical system without correctly ascertaining the requirements of the existing process equipment; and that it designed mechanical systems for heating and cooling that were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issues raised before me are: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certificate of substantial completion may be now challenged;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consultant's failure to issue a certificate of payment bars an order for payment out of the holdback;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Ram's payment of sub-trades increases the amount of the holdback against which JBLK may advance a claim to a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There is agreement on general legal principles. As a starting point the parties agree that in the normal course of events when the certificate of substantial performance (as it is described in the contract) or certificate of substantial completion (as it is described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is issued the holdback should be paid out. There is also agreement that the owner cannot set-off its claims for deficiencies against the valid claims of third party sub-trades.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Whether the certificate of substantial completion may be now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JBLK says that where, as here, the owner disputes the consultant's conclusion that the work is substantially complete the court ought not to order payment out of the holdback until that dispute is resolved. JBLK says none of the holdback monies are due because it was an error for the consultant to issue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Ram says the certificate of substantial performance should be given its statutory effect. There is no statutory procedure for challenging the certificate and even if this Court had jurisdiction to set it aside, that relief has never been sought by JBLK.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Ram says there is no evidence from either the consultant or another suitably qualified expert that the certificate ought not to have been issued. Ram says there is only an allegation that the building does not work and a suggestion that Ram may be responsible for the functional problems but no evidence that the work was not substantially performed, as defined by the contract, when the certificate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legislative scheme requires that parties have some certainty in the effect of the certificate upon its issuance. The issuance of the certificate begins the period in which liens may be made and claims protected. At the expiry of 55 days after the issuance of the certificate the holdback is payable to the contractor. For that reason there is no provision for appeals and s. 7(10) provides that if a certificate of completion is in the prescribed form it is sufficient to comply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position taken by Ram is consistent with the judgment of the Court of Appeal in </w:t>
      </w:r>
      <w:r>
        <w:rPr>
          <w:rFonts w:ascii="arial" w:eastAsia="arial" w:hAnsi="arial" w:cs="arial"/>
          <w:i/>
          <w:color w:val="000000"/>
          <w:sz w:val="20"/>
          <w:lang w:val="en-US" w:eastAsia="en-US" w:bidi="ar-SA"/>
        </w:rPr>
        <w:t>Howe Sound School District No. 48 v. Killick Metz Bowen Rose Architects and Planners Inc.</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2008 BCCA 195</w:t>
        </w:r>
      </w:hyperlink>
      <w:r>
        <w:rPr>
          <w:rFonts w:ascii="arial" w:eastAsia="arial" w:hAnsi="arial" w:cs="arial"/>
          <w:color w:val="000000"/>
          <w:sz w:val="20"/>
          <w:lang w:val="en-US" w:eastAsia="en-US" w:bidi="ar-SA"/>
        </w:rPr>
        <w:t xml:space="preserve"> where the Court at para. 21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purpose of the certificate and the reliance placed upon it by owners going into occupation and others relying on the certificate would be defeated if the notice could be invalidated by latent defects of design or construction involving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architect. It would introduce instability into the relationships if a declaration of substantial performance could be invalidated by latent defects discovered years after the owner occupied the premises. The architect in the IBI action cites several cases for the proposition that certificates of architects and engineers will be upheld where there is error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 long as there is no fraud or collusion between the architect and owner: see </w:t>
      </w:r>
      <w:r>
        <w:rPr>
          <w:rFonts w:ascii="arial" w:eastAsia="arial" w:hAnsi="arial" w:cs="arial"/>
          <w:i/>
          <w:color w:val="000000"/>
          <w:sz w:val="20"/>
          <w:lang w:val="en-US" w:eastAsia="en-US" w:bidi="ar-SA"/>
        </w:rPr>
        <w:t>Hutchinson v. Mathias</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[1943] 1 W.W.R. 451</w:t>
        </w:r>
      </w:hyperlink>
      <w:r>
        <w:rPr>
          <w:rFonts w:ascii="arial" w:eastAsia="arial" w:hAnsi="arial" w:cs="arial"/>
          <w:color w:val="000000"/>
          <w:sz w:val="20"/>
          <w:lang w:val="en-US" w:eastAsia="en-US" w:bidi="ar-SA"/>
        </w:rPr>
        <w:t xml:space="preserve"> at 453 (B.C.S.C.); </w:t>
      </w:r>
      <w:r>
        <w:rPr>
          <w:rFonts w:ascii="arial" w:eastAsia="arial" w:hAnsi="arial" w:cs="arial"/>
          <w:i/>
          <w:color w:val="000000"/>
          <w:sz w:val="20"/>
          <w:lang w:val="en-US" w:eastAsia="en-US" w:bidi="ar-SA"/>
        </w:rPr>
        <w:t>Holliston v. Zaluski</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(1946), 63 B.C.R. 1</w:t>
        </w:r>
      </w:hyperlink>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[1946] 3 W.W.R. 468</w:t>
        </w:r>
      </w:hyperlink>
      <w:r>
        <w:rPr>
          <w:rFonts w:ascii="arial" w:eastAsia="arial" w:hAnsi="arial" w:cs="arial"/>
          <w:color w:val="000000"/>
          <w:sz w:val="20"/>
          <w:lang w:val="en-US" w:eastAsia="en-US" w:bidi="ar-SA"/>
        </w:rPr>
        <w:t xml:space="preserve"> at 477-478 (C.A.); </w:t>
      </w:r>
      <w:r>
        <w:rPr>
          <w:rFonts w:ascii="arial" w:eastAsia="arial" w:hAnsi="arial" w:cs="arial"/>
          <w:i/>
          <w:color w:val="000000"/>
          <w:sz w:val="20"/>
          <w:lang w:val="en-US" w:eastAsia="en-US" w:bidi="ar-SA"/>
        </w:rPr>
        <w:t>Columbia Bitulithic Ltd. v. D.C. Masonry Construction Ltd.</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(1980), 27 B.C.L.R. 220</w:t>
        </w:r>
      </w:hyperlink>
      <w:r>
        <w:rPr>
          <w:rFonts w:ascii="arial" w:eastAsia="arial" w:hAnsi="arial" w:cs="arial"/>
          <w:color w:val="000000"/>
          <w:sz w:val="20"/>
          <w:lang w:val="en-US" w:eastAsia="en-US" w:bidi="ar-SA"/>
        </w:rPr>
        <w:t xml:space="preserve"> at 224 (C.A.); </w:t>
      </w:r>
      <w:r>
        <w:rPr>
          <w:rFonts w:ascii="arial" w:eastAsia="arial" w:hAnsi="arial" w:cs="arial"/>
          <w:i/>
          <w:color w:val="000000"/>
          <w:sz w:val="20"/>
          <w:lang w:val="en-US" w:eastAsia="en-US" w:bidi="ar-SA"/>
        </w:rPr>
        <w:t>Dilcon Constructors Inc. v. British Columbia Hydro and Power Authority</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(1993), 7 C.L.R. (2d) 22</w:t>
        </w:r>
      </w:hyperlink>
      <w:r>
        <w:rPr>
          <w:rFonts w:ascii="arial" w:eastAsia="arial" w:hAnsi="arial" w:cs="arial"/>
          <w:color w:val="000000"/>
          <w:sz w:val="20"/>
          <w:lang w:val="en-US" w:eastAsia="en-US" w:bidi="ar-SA"/>
        </w:rPr>
        <w:t xml:space="preserve"> at para. 241, (B.C.S.C.); and </w:t>
      </w:r>
      <w:r>
        <w:rPr>
          <w:rFonts w:ascii="arial" w:eastAsia="arial" w:hAnsi="arial" w:cs="arial"/>
          <w:i/>
          <w:color w:val="000000"/>
          <w:sz w:val="20"/>
          <w:lang w:val="en-US" w:eastAsia="en-US" w:bidi="ar-SA"/>
        </w:rPr>
        <w:t>Croft Construction Co. v. Terminal Construction Co.</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(1959), 20 D.L.R. (2d) 247</w:t>
        </w:r>
      </w:hyperlink>
      <w:r>
        <w:rPr>
          <w:rFonts w:ascii="arial" w:eastAsia="arial" w:hAnsi="arial" w:cs="arial"/>
          <w:color w:val="000000"/>
          <w:sz w:val="20"/>
          <w:lang w:val="en-US" w:eastAsia="en-US" w:bidi="ar-SA"/>
        </w:rPr>
        <w:t xml:space="preserve"> at 253-254 (Ont. C.A.). These cases involve reliance by contractors or others on the certificate of the architect or engineer but in my view the same reasoning is applicable to limitation issues involving claims against the architect. The context of articles 3.9.6 and 1.8 necessarily implies that the certificate of the architect should be determinative in the absence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JBLK acknowledges the existence of a long line of authorities for the proposition that, historically, under our lien legislation, absent fraud or collusion between the payment certifier and the owner, a certificate of substantial performance cannot be set aside. However JBLK submits that there should be an exception to the rule where the consultant relies upon incorrect or incomplete information supplied by the contractor. I cannot see any basis for doing so where, as here, no fraud is alleged. I accept the argument of Ram that the certificate should be given its statutory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consultant's failure to issue a certificate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JBLK also relies upon the failure of the claimants to seek and the failure of the consultant to issue a certificate of payment, as required by Article GC 5.5.1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provisions of the contract describe the procedure to be followed in the ordinary course for the payment of funds out of a holdback account. The liability to pay and the right to seek payment, however, arises from the issuance of the certificate of substantial performance of the work. The contract provides, in Article GC 5.5.4 that the holdback amount is "due and payable on the day following the expiration of the holdback period stipulated in the lien legislation applicable to the place of work". That legislation,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A contractor is entitled to receive, from the holdback retained by the owner from the contractor, an amount equal to the holdback amount applicable to a subcontract if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 of completion has been issued in respect of the subcontract to which the contractor was a party,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holdback period established under section 8(1) has expired without any claims of lien being filed that arose under the subcontract.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Once substantial performance is certified and the contractor has provided proof of payment of accounts the consultant has no further discretion in determining whether to issue the certificate of payment but "shall" issue the certificate of payment. If the accounts are proved on an application to the court for payment of a holdback, the failure to seek and obtain a certificate of payment should not stand as an obstacle to an order for payment of the amounts that are due and payable upon substantial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the failure to comply with the contractual provisions requiring application for payment is not a bar to Ram's application now for an order for payment out of the holdback.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effect of Ram's payment of sub-trades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JBLK says the largest claims of the sub-trades have been paid by Ram and equity should not require payment to Ram itself (as opposed to payment out to the benefit of third parties) where there is a dispute between Ram and JBLK that may be resolved in JBLK's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Ram does not seek payment out of the entire holdback but only that portion of the holdback it says represents the holdback from sub-trades. It does so in recognition of the effect of the judgment in </w:t>
      </w:r>
      <w:r>
        <w:rPr>
          <w:rFonts w:ascii="arial" w:eastAsia="arial" w:hAnsi="arial" w:cs="arial"/>
          <w:i/>
          <w:color w:val="000000"/>
          <w:sz w:val="20"/>
          <w:lang w:val="en-US" w:eastAsia="en-US" w:bidi="ar-SA"/>
        </w:rPr>
        <w:t>Kinetic Construction Ltd. v. Tuscany Village Holdings Ltd.</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2008 BCCA 417</w:t>
        </w:r>
      </w:hyperlink>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75 C.L.R. (3d) 292</w:t>
        </w:r>
      </w:hyperlink>
      <w:r>
        <w:rPr>
          <w:rFonts w:ascii="arial" w:eastAsia="arial" w:hAnsi="arial" w:cs="arial"/>
          <w:color w:val="000000"/>
          <w:sz w:val="20"/>
          <w:lang w:val="en-US" w:eastAsia="en-US" w:bidi="ar-SA"/>
        </w:rPr>
        <w:t>. In that case, Hall. J.A. for the Court held,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funds at issue here are impressed with a trust, it must be recognized that since all other possible beneficiaries of the holdback account, the account impressed with the statutory trust, have been paid out, the only remaining beneficiary is Kinetic. Absent some claim such as that advanced by the respondents, the money in the account belongs absolutely to Kinetic and if there had been no such claim advanced, a judge would doubtless order payment out of the funds to Kinetic under s.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the factual circumstances extant here, the existence of the trust does not prevent the advancement of a claim of set-off to the funds that are in the holdback account. As to the allegations about the validity of the counterclaim and the questions of duress and ratification, these are matters more properly left for adjudication by a trial judge. It would not be appropriate to resolve these issues in a summary proceeding under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It would not be appropriate to presently order the payment out to Kinetic of these funds. Entitlement to the funds must be resolved by some methodology, be it Rule 18A, a regular trial or another summary application should there be some change of circumstances. I would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Ram says that the payment to sub-trades should not affect its claim to payment of that portion of the holdback that was created for the protection of beneficiaries other than Ram. It says it is not seeking payment out of money that would have been subject to set-off, but for the voluntary payment it made to its sub-contractors. If JBLK can set-off its claims against all of the holdback except money still payable to sub-trades, regardless of whether the money was originally held back in relation to the claims of sub-trades, the effect will be to discourage payment of sub-trades before release of the holdback. Given the issuance of a certificate of substantial performance Ram says it was entirely reasonable on its part to expect payment of the holdback and good business practice to pay the sub-trades and to bear the burden of pursuing the owner for payment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Ram says the effect of payment of sub-trades on the fund against which claims to set-off may be made has not been judicially considered and the question should be determined on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Section 6 of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If a contractor or subcontractor defaults under a contract or subcontract, the required holdback must not be applied to the completion of the contract or subcontract, or for the payment of damages, or for any other purpose until the possibility of any lien arising under the person in default is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This provision embodies the principle described in </w:t>
      </w:r>
      <w:r>
        <w:rPr>
          <w:rFonts w:ascii="arial" w:eastAsia="arial" w:hAnsi="arial" w:cs="arial"/>
          <w:i/>
          <w:color w:val="000000"/>
          <w:sz w:val="20"/>
          <w:lang w:val="en-US" w:eastAsia="en-US" w:bidi="ar-SA"/>
        </w:rPr>
        <w:t>Sigurdson v. Noranda Exploration Co.</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[1976] 1 S.C.R. 296</w:t>
        </w:r>
      </w:hyperlink>
      <w:r>
        <w:rPr>
          <w:rFonts w:ascii="arial" w:eastAsia="arial" w:hAnsi="arial" w:cs="arial"/>
          <w:color w:val="000000"/>
          <w:sz w:val="20"/>
          <w:lang w:val="en-US" w:eastAsia="en-US" w:bidi="ar-SA"/>
        </w:rPr>
        <w:t>. It prevents an owner from applying a set-off against the holdback to diminish the amount available to subcontractors. It prohibits the application of the holdback to the completion of the contract or for the payment of damages, or for any other purpose but does so only "</w:t>
      </w:r>
      <w:r>
        <w:rPr>
          <w:rFonts w:ascii="arial" w:eastAsia="arial" w:hAnsi="arial" w:cs="arial"/>
          <w:i/>
          <w:color w:val="000000"/>
          <w:sz w:val="20"/>
          <w:lang w:val="en-US" w:eastAsia="en-US" w:bidi="ar-SA"/>
        </w:rPr>
        <w:t>until the possibility of any lien arising under the person in default is exhausted"</w:t>
      </w:r>
      <w:r>
        <w:rPr>
          <w:rFonts w:ascii="arial" w:eastAsia="arial" w:hAnsi="arial" w:cs="arial"/>
          <w:color w:val="000000"/>
          <w:sz w:val="20"/>
          <w:lang w:val="en-US" w:eastAsia="en-US" w:bidi="ar-SA"/>
        </w:rPr>
        <w:t xml:space="preserve">. The express provision that set-off may not be made until the possibility of any lien arising under the person in default is exhausted clearly implies that that the owner can set-off claims against the contractor's claim to the holdback once other claims to those funds are satisfied. This is consistent with the recognition in </w:t>
      </w:r>
      <w:r>
        <w:rPr>
          <w:rFonts w:ascii="arial" w:eastAsia="arial" w:hAnsi="arial" w:cs="arial"/>
          <w:i/>
          <w:color w:val="000000"/>
          <w:sz w:val="20"/>
          <w:lang w:val="en-US" w:eastAsia="en-US" w:bidi="ar-SA"/>
        </w:rPr>
        <w:t>Sigurdson</w:t>
      </w:r>
      <w:r>
        <w:rPr>
          <w:rFonts w:ascii="arial" w:eastAsia="arial" w:hAnsi="arial" w:cs="arial"/>
          <w:color w:val="000000"/>
          <w:sz w:val="20"/>
          <w:lang w:val="en-US" w:eastAsia="en-US" w:bidi="ar-SA"/>
        </w:rPr>
        <w:t xml:space="preserve"> at p. 301 that the general purpose of the lien act is to protect the claims of those who supply work and materials </w:t>
      </w:r>
      <w:r>
        <w:rPr>
          <w:rFonts w:ascii="arial" w:eastAsia="arial" w:hAnsi="arial" w:cs="arial"/>
          <w:i/>
          <w:color w:val="000000"/>
          <w:sz w:val="20"/>
          <w:lang w:val="en-US" w:eastAsia="en-US" w:bidi="ar-SA"/>
        </w:rPr>
        <w:t>so long as the owner is not prejudiced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extent to which claims to set-off may be made against funds held back pursuant to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was considered by Arnold-Bailey J. in </w:t>
      </w:r>
      <w:r>
        <w:rPr>
          <w:rFonts w:ascii="arial" w:eastAsia="arial" w:hAnsi="arial" w:cs="arial"/>
          <w:i/>
          <w:color w:val="000000"/>
          <w:sz w:val="20"/>
          <w:lang w:val="en-US" w:eastAsia="en-US" w:bidi="ar-SA"/>
        </w:rPr>
        <w:t>PCL Constructors Westcoast Inc. v. Norex Civil Contractors Inc</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2009 BCSC 95</w:t>
        </w:r>
      </w:hyperlink>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76 C.L.R. (3d) 184</w:t>
        </w:r>
      </w:hyperlink>
      <w:r>
        <w:rPr>
          <w:rFonts w:ascii="arial" w:eastAsia="arial" w:hAnsi="arial" w:cs="arial"/>
          <w:color w:val="000000"/>
          <w:sz w:val="20"/>
          <w:lang w:val="en-US" w:eastAsia="en-US" w:bidi="ar-SA"/>
        </w:rPr>
        <w:t xml:space="preserve">. The Court recognized that the holdback is intended to serve the purposes of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to limit of the owners' liability and to protect subcontractors, but went on to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law of equitable setoff was discussed in </w:t>
      </w:r>
      <w:r>
        <w:rPr>
          <w:rFonts w:ascii="arial" w:eastAsia="arial" w:hAnsi="arial" w:cs="arial"/>
          <w:i/>
          <w:color w:val="000000"/>
          <w:sz w:val="20"/>
          <w:lang w:val="en-US" w:eastAsia="en-US" w:bidi="ar-SA"/>
        </w:rPr>
        <w:t>Holt v. Telford</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[1987] 2 S.C.R. 193</w:t>
        </w:r>
      </w:hyperlink>
      <w:r>
        <w:rPr>
          <w:rFonts w:ascii="arial" w:eastAsia="arial" w:hAnsi="arial" w:cs="arial"/>
          <w:color w:val="000000"/>
          <w:sz w:val="20"/>
          <w:lang w:val="en-US" w:eastAsia="en-US" w:bidi="ar-SA"/>
        </w:rPr>
        <w:t xml:space="preserve">. The judgment sets out a number of points regarding the nature of both legal and equitable setoff, but relevant to this case, the Court held that equitable setoff applies when the mutual obligations in question arise out of the same contract, and setoff is available whether the claimed setoff is liquidated or not: </w:t>
      </w:r>
      <w:r>
        <w:rPr>
          <w:rFonts w:ascii="arial" w:eastAsia="arial" w:hAnsi="arial" w:cs="arial"/>
          <w:i/>
          <w:color w:val="000000"/>
          <w:sz w:val="20"/>
          <w:lang w:val="en-US" w:eastAsia="en-US" w:bidi="ar-SA"/>
        </w:rPr>
        <w:t>Holt</w:t>
      </w:r>
      <w:r>
        <w:rPr>
          <w:rFonts w:ascii="arial" w:eastAsia="arial" w:hAnsi="arial" w:cs="arial"/>
          <w:color w:val="000000"/>
          <w:sz w:val="20"/>
          <w:lang w:val="en-US" w:eastAsia="en-US" w:bidi="ar-SA"/>
        </w:rPr>
        <w:t xml:space="preserve"> at 207. The reason for this is simple: when there is a close relationship between dealings giving rise to mutual claims, equity will not permit one of them to be insisted upon without taking the other into account: </w:t>
      </w:r>
      <w:r>
        <w:rPr>
          <w:rFonts w:ascii="arial" w:eastAsia="arial" w:hAnsi="arial" w:cs="arial"/>
          <w:i/>
          <w:color w:val="000000"/>
          <w:sz w:val="20"/>
          <w:lang w:val="en-US" w:eastAsia="en-US" w:bidi="ar-SA"/>
        </w:rPr>
        <w:t>Holt</w:t>
      </w:r>
      <w:r>
        <w:rPr>
          <w:rFonts w:ascii="arial" w:eastAsia="arial" w:hAnsi="arial" w:cs="arial"/>
          <w:color w:val="000000"/>
          <w:sz w:val="20"/>
          <w:lang w:val="en-US" w:eastAsia="en-US" w:bidi="ar-SA"/>
        </w:rPr>
        <w:t xml:space="preserve"> at 213.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In the ordinary course of business, the Sub-contractor's right to be paid is subject to the Contractor's right to set off. As Mr. Justice Hood stated in </w:t>
      </w:r>
      <w:r>
        <w:rPr>
          <w:rFonts w:ascii="arial" w:eastAsia="arial" w:hAnsi="arial" w:cs="arial"/>
          <w:i/>
          <w:color w:val="000000"/>
          <w:sz w:val="20"/>
          <w:lang w:val="en-US" w:eastAsia="en-US" w:bidi="ar-SA"/>
        </w:rPr>
        <w:t>Swagger</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[2000] B.C.J. No. 2568</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 ... in modern times the parties to a construction contract, and subject to its terms, have always had the right to defend, by way of set-off, against the claims of the other; usually a claim for contract monies on the one hand, and a claim for damages for breach of that Contract, for poor workmanship or for delay, on the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Hood J. went on to hold that set off could properly be claimed out of monies that had been held back by the Contractor pursuant to statutory requirements, although in that case there were no other parties claiming an interest in the holdback.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Equitable setoff is not a complicated legal device - it is a simple mechanism for ensuring that parties to a contract only pay or get paid what is due or owing under the contract. It would be unfair if a Sub-contractor who completes work for a Contractor, but who in the process causes damage to the Contractor equal to the value of the work done, had to first be paid before the Contractor could sue for damages. When setoff is claimed, therefore, it means that the amount owed under the contract, if any, is unclear and that claim must be determined before the Sub-contractor becomes entitled to the holdback fund.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This was the reasoning of our Court of Appeal in </w:t>
      </w:r>
      <w:r>
        <w:rPr>
          <w:rFonts w:ascii="arial" w:eastAsia="arial" w:hAnsi="arial" w:cs="arial"/>
          <w:i/>
          <w:color w:val="000000"/>
          <w:sz w:val="20"/>
          <w:lang w:val="en-US" w:eastAsia="en-US" w:bidi="ar-SA"/>
        </w:rPr>
        <w:t>United Metal Fabricators Ltd. v. Voth Bros. Construction (1974) Ltd.</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(1987), 42 D.L.R. (4th) 193</w:t>
        </w:r>
      </w:hyperlink>
      <w:r>
        <w:rPr>
          <w:rFonts w:ascii="arial" w:eastAsia="arial" w:hAnsi="arial" w:cs="arial"/>
          <w:color w:val="000000"/>
          <w:sz w:val="20"/>
          <w:lang w:val="en-US" w:eastAsia="en-US" w:bidi="ar-SA"/>
        </w:rPr>
        <w:t xml:space="preserve"> (B.C.C.A.). In that case, the plaintiff Sub-contractor (to use our terms) sued the defendant Contractor for amounts owing under a series of contracts and, under the version of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xml:space="preserve"> in force at the time, said to be held "in trust" for the Sub-contractor. The Contractor asserted a right of setoff. Mr. Justice Taggart held that the trust only applied to monies due for "work done under the contract", meaning work properly done, so the funds said to be held in trust are the net amount due under the contract after claims to setoff are settled.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recent Court of Appeal ruling in </w:t>
      </w:r>
      <w:r>
        <w:rPr>
          <w:rFonts w:ascii="arial" w:eastAsia="arial" w:hAnsi="arial" w:cs="arial"/>
          <w:i/>
          <w:color w:val="000000"/>
          <w:sz w:val="20"/>
          <w:lang w:val="en-US" w:eastAsia="en-US" w:bidi="ar-SA"/>
        </w:rPr>
        <w:t>Kinetic Construction</w:t>
      </w:r>
      <w:r>
        <w:rPr>
          <w:rFonts w:ascii="arial" w:eastAsia="arial" w:hAnsi="arial" w:cs="arial"/>
          <w:color w:val="000000"/>
          <w:sz w:val="20"/>
          <w:lang w:val="en-US" w:eastAsia="en-US" w:bidi="ar-SA"/>
        </w:rPr>
        <w:t xml:space="preserve"> is to the same effect. There, the plaintiff Sub-contractor sued for the holdback fund and the defendant Contractor resisted, claiming a set off for associated damages. Mr. Justice Hall held at para. 10 that even though the Sub-contractor had a beneficial interest in the holdback under s. 5(2) of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its claim to the fund was nonetheless subject to the Contractor's claim to a set off, and therefore the claim to set off had to be resolved before the funds could be ordered to be paid to the Sub-contractor.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Of course, as previously discussed, in a situation where the Sub-contractor defaults on the contract, as is the case in the applications at bar, s. 6 of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xml:space="preserve"> prohibits the Contractor from applying the holdback fund against any claimed set off until the possibility of liens against the fund has been exhausted. The chain of priority in these circumstances is therefore clear: a Contractor is required to maintain a 10% holdback fund; Sub-subcontractors have priority to this fund through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xml:space="preserve"> lien scheme; once their claims are satisfied, the holdback is payable to the Sub-contractor, subject to any claims to set off from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para. 62 the court summarized the priorities in set-off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holdback fund established by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xml:space="preserve">, though it is said to be held "in trust", does not thereby create an ordinary trust in which the beneficiary has an unrestricted beneficial interest. It creates a fund to which the Sub-contractor, for whom it is held "in trust",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eventually become entitled. The entitlement arises when, generally speaking, the project is finished or discontinued, the subsequent holdback period in s. 8 has expired, and any claimed setoff has been resolved. In the circumstance in which the Sub-contractor has defaulted, there is the added condition that all possible lien claims must be exhausted before the Contractor is entitled to set off against the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JBLK says the voluntary payment of holdback monies before the release of holdbacks should </w:t>
      </w:r>
      <w:r>
        <w:rPr>
          <w:rFonts w:ascii="arial" w:eastAsia="arial" w:hAnsi="arial" w:cs="arial"/>
          <w:b/>
          <w:color w:val="000000"/>
          <w:sz w:val="20"/>
          <w:lang w:val="en-US" w:eastAsia="en-US" w:bidi="ar-SA"/>
        </w:rPr>
        <w:t>not</w:t>
      </w:r>
      <w:r>
        <w:rPr>
          <w:rFonts w:ascii="arial" w:eastAsia="arial" w:hAnsi="arial" w:cs="arial"/>
          <w:color w:val="000000"/>
          <w:sz w:val="20"/>
          <w:lang w:val="en-US" w:eastAsia="en-US" w:bidi="ar-SA"/>
        </w:rPr>
        <w:t xml:space="preserve"> be encouraged as a policy decision. The legislative scheme is designed to protect the parties to layered contracts (sub-contractors and their sub-contractors) and encouraging any variation from the trust created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increases the exposure of contractors below the first sub-contractors to unprotected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accept JBLK's submission that to the extent Ram has satisfied its sub-contractors, money paid out of the holdback will not be subject to a trust in Ram's hands and should therefore be subject to JBLK's claims to set-off. In the language used in </w:t>
      </w:r>
      <w:r>
        <w:rPr>
          <w:rFonts w:ascii="arial" w:eastAsia="arial" w:hAnsi="arial" w:cs="arial"/>
          <w:i/>
          <w:color w:val="000000"/>
          <w:sz w:val="20"/>
          <w:lang w:val="en-US" w:eastAsia="en-US" w:bidi="ar-SA"/>
        </w:rPr>
        <w:t>Kinetic</w:t>
      </w:r>
      <w:r>
        <w:rPr>
          <w:rFonts w:ascii="arial" w:eastAsia="arial" w:hAnsi="arial" w:cs="arial"/>
          <w:color w:val="000000"/>
          <w:sz w:val="20"/>
          <w:lang w:val="en-US" w:eastAsia="en-US" w:bidi="ar-SA"/>
        </w:rPr>
        <w:t xml:space="preserve">: while the funds at issue here are impressed with a trust, since all other possible beneficiaries of the holdback account impressed with the statutory trust have been paid out, the only remaining beneficiary to the holdback in excess of $89,479.72 is Ram. That being the case here, I find, as did Arnold-Bailey J. in </w:t>
      </w:r>
      <w:r>
        <w:rPr>
          <w:rFonts w:ascii="arial" w:eastAsia="arial" w:hAnsi="arial" w:cs="arial"/>
          <w:i/>
          <w:color w:val="000000"/>
          <w:sz w:val="20"/>
          <w:lang w:val="en-US" w:eastAsia="en-US" w:bidi="ar-SA"/>
        </w:rPr>
        <w:t>PCL Constructors</w:t>
      </w:r>
      <w:r>
        <w:rPr>
          <w:rFonts w:ascii="arial" w:eastAsia="arial" w:hAnsi="arial" w:cs="arial"/>
          <w:color w:val="000000"/>
          <w:sz w:val="20"/>
          <w:lang w:val="en-US" w:eastAsia="en-US" w:bidi="ar-SA"/>
        </w:rPr>
        <w:t>, that it would be unfair if Ram had to first be paid before JBLK could sue for damages. As set-off is claimed the amount owed under the contract, if any, is unclear and the set-off must be determined before Ram becomes entitled to the holdback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will be an order requiring JBLK to pay out of the holdback to Ram the sum of $89,479.72 to be held in trust for its unpaid subcontractors and paid out to them in satisfaction of their unpaid claims. The application for payment out of the balance of the holdback is dismissed.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P.M. WILLCOCK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Smart v. College of the Rockies, [2002] B.C.J. No. 3119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Cranbrook Registry No. 9223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3119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1839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960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Charity Smart, Joe Windels, Colin Rechlin, John McMillan, Linda Boon, Wendy Sobczak, Mike McBride, Lee Blom and Barney Blackwater, plaintiffs, and The College of the Rockies a.k.a. East Kootenay Community College,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6"/>
      <w:bookmarkEnd w:id="44"/>
      <w:r>
        <w:rPr>
          <w:rFonts w:ascii="arial" w:eastAsia="arial" w:hAnsi="arial" w:cs="arial"/>
          <w:b/>
          <w:color w:val="000000"/>
          <w:sz w:val="20"/>
          <w:lang w:val="en-US" w:eastAsia="en-US" w:bidi="ar-SA"/>
        </w:rPr>
        <w:t>Education — Technical institutes and colleges — Actions against — Practice — Judgments and orders — Summary judgments — To dismiss action — Requirement that question at issue be beyond doubt.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5" w:name="Case Summary_5"/>
            <w:bookmarkEnd w:id="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College of the Rockies to dismiss the plaintiffs' action. The plaintiffs were former students at the College. They claimed that the College promised to provide a course of instruction in the forest technical assistant program, but failed to do so. The College argued that the claim amounted to a claim for educational malpractice, which was not a recognized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6" w:name="Holdings of Court_4"/>
            <w:bookmarkEnd w:id="4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not dismissed. This was not merely a claim for educational malpractice. There were issues of breach of contract and misrepresentation. It was not plain and obvious that this action could not succeed.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Legislation Cited_4"/>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 18(6), 19(24)(a), 34.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8" w:name="Counsel_6"/>
      <w:bookmarkEnd w:id="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G.S. Majic, Q.C., for the plaintiffs. A.G. Atherton,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6"/>
      <w:bookmarkEnd w:id="49"/>
      <w:r>
        <w:pict>
          <v:line id="_x0000_s1061"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LOO J. (orally)"/>
            <w:bookmarkEnd w:id="50"/>
            <w:r>
              <w:rPr>
                <w:rFonts w:ascii="arial" w:eastAsia="arial" w:hAnsi="arial" w:cs="arial"/>
                <w:b/>
                <w:color w:val="000000"/>
                <w:sz w:val="30"/>
                <w:lang w:val="en-US" w:eastAsia="en-US" w:bidi="ar-SA"/>
              </w:rPr>
              <w:t>LOO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brings an application for an order pursuant to Rules 18 and 19(24)(a) that the plaintiffs' action be dismissed; alternatively, that the plaintiffs' claim be dismissed pursuant to Rule 34. At the outset, I decline to make a determination on the basis of Rule 18 as there is no affidavit, as required by Rule 18(6), setting out the facts verifying the defendant's contention that there is no merit in the whole or part of the claim, and stating that the deponent knows of no facts which would substantiate the whole or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Although Mr. Majic, on behalf of the plaintiffs, indicated that the plaintiffs were prepared to consent to this application being heard on the basis of Rule 34, I find that the requirements set out in the decision of Alcan Smelters and Chemicals Ltd. v. C.A.S.A.W., Local 1 </w:t>
      </w:r>
      <w:hyperlink r:id="rId124" w:history="1">
        <w:r>
          <w:rPr>
            <w:rFonts w:ascii="arial" w:eastAsia="arial" w:hAnsi="arial" w:cs="arial"/>
            <w:i/>
            <w:color w:val="0077CC"/>
            <w:sz w:val="20"/>
            <w:u w:val="single"/>
            <w:shd w:val="clear" w:color="auto" w:fill="FFFFFF"/>
            <w:lang w:val="en-US" w:eastAsia="en-US" w:bidi="ar-SA"/>
          </w:rPr>
          <w:t>(1977), 3 B.C.L.R. 163</w:t>
        </w:r>
      </w:hyperlink>
      <w:r>
        <w:rPr>
          <w:rFonts w:ascii="arial" w:eastAsia="arial" w:hAnsi="arial" w:cs="arial"/>
          <w:color w:val="000000"/>
          <w:sz w:val="20"/>
          <w:lang w:val="en-US" w:eastAsia="en-US" w:bidi="ar-SA"/>
        </w:rPr>
        <w:t xml:space="preserve"> at 165 (S.C.) have not been met. More particularly, the point of law to be decided is not raised and clearly defined in the pleadings and it does not appear that the determination of a question will be decisive of the litigation or a substantial issue raised in it. I will, therefore, deal with this application on the basis of Rule 19(24)(a), in which case the averments set out in the statement of claim must be taken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were formerly students at the defendant College of the Rockies, also known as East Kootenay Community College. I do not propose to set out, in full, the statement of claim, but will refer to the following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paragraph 10, it is alleged that on or about January 1997 the plaintiffs entered into a contract with the defendant whereby in return for tuition and other fees paid, the college would provide a course of instruction in the Forest Technical Assistant program, thereinafter referred to as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Paragraph 11 of the statement of claim alleges that the agreement contained inter alia the following terms, express or implied:</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College would provide course instruction as outlined in the occupational profile and program profile;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College would provide fully qualified instructors to teach the courses outlined in the occupational profile, program profile and green book;</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College would provide adequate materials and supervision to complete the courses provided;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successful completion of the courses outlined in the program profile, occupational profile and green book, the College would issue a diploma;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College would provide a standardized system of rating performance of each individual student;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College would provide a comprehensive curriculum of the material to be taught.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paragraph 12 of the statement of claim, it is alleged that in January 1997, approximately thirty students, inclusive of the plaintiffs, were admitted into the program. The plaintiffs successfully completed the first term of the program. In May 1997, all the plaintiffs were successfully placed in field work internships over the summer of 1997. Upon returning for the third term of in-class instruction in November 1997, the following problems were experienced by the plaintiffs: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marks for the first term of in-class instruction were not available and no indication was provided on how performance would be evaluated;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courses that formed part of the program profile and occupational profile were cancelled unilaterally;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courses were improperly or incompletely taught;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instructors did not have proper qualifications to teach the material;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program, as a whole, was poorly overseen by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Paragraph 6 of the statement of claim alleges that the occupational profile used in the proposal identified several skill areas required by graduates, each of which was broken down into smaller modules for outcomes. These skill areas were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applied mathematical and computer techniques;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applied communication techniques;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use and care of survey tools;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applied survey techniques;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workplace consideration;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elements of forest eco-systems;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basic forest engineering and maintenance;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use and care of tools and equipment;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fire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paragraph 13 of the statement of claim, it is alleged that the College breached the terms of the agreement by failing to provide the services aforementioned.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paragraph 16 of the statement of claim, it is alleged that the College fraudulently or, in the alternative, negligently misrepresented the state of the program and, in particular, misrepresented that the program would be delivered as set out in the program profile, occupational profile and green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paragraph 17 the plaintiffs claim that as a result of the defendant's breach of the agreement or, alternatively, fraudulent or negligent misrepresentation, the plaintiffs have suffered damage, loss and expense, details of which are set out in paragraph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It is argued on behalf of the defendant that regardless of whether the statement of claim is pleaded as a breach of contract, or fraudulent or negligent misrepresentation, the plaintiffs' claim amounts to educational malpractice, a claim which is not recognized in Canada and ought to be dismissed. It is pointed out on behalf of the defendant that the plaintiffs do not allege a statutory breach under the College and Institute Act, </w:t>
      </w:r>
      <w:r>
        <w:rPr>
          <w:rFonts w:ascii="arial" w:eastAsia="arial" w:hAnsi="arial" w:cs="arial"/>
          <w:i/>
          <w:color w:val="000000"/>
          <w:sz w:val="20"/>
          <w:lang w:val="en-US" w:eastAsia="en-US" w:bidi="ar-SA"/>
        </w:rPr>
        <w:t>R.S.B.C. 1996, c. 52</w:t>
      </w:r>
      <w:r>
        <w:rPr>
          <w:rFonts w:ascii="arial" w:eastAsia="arial" w:hAnsi="arial" w:cs="arial"/>
          <w:color w:val="000000"/>
          <w:sz w:val="20"/>
          <w:lang w:val="en-US" w:eastAsia="en-US" w:bidi="ar-SA"/>
        </w:rPr>
        <w:t>, which establishes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defendant's argument relies on a series of cases, the most important of which appears to be, based on the defendant's written and oral submissions, the case of Haynes (Guardian ad litem of) v. Lleres, </w:t>
      </w:r>
      <w:hyperlink r:id="rId125" w:history="1">
        <w:r>
          <w:rPr>
            <w:rFonts w:ascii="arial" w:eastAsia="arial" w:hAnsi="arial" w:cs="arial"/>
            <w:i/>
            <w:color w:val="0077CC"/>
            <w:sz w:val="20"/>
            <w:u w:val="single"/>
            <w:shd w:val="clear" w:color="auto" w:fill="FFFFFF"/>
            <w:lang w:val="en-US" w:eastAsia="en-US" w:bidi="ar-SA"/>
          </w:rPr>
          <w:t>[1997] B.C.J. No. 1202</w:t>
        </w:r>
      </w:hyperlink>
      <w:r>
        <w:rPr>
          <w:rFonts w:ascii="arial" w:eastAsia="arial" w:hAnsi="arial" w:cs="arial"/>
          <w:color w:val="000000"/>
          <w:sz w:val="20"/>
          <w:lang w:val="en-US" w:eastAsia="en-US" w:bidi="ar-SA"/>
        </w:rPr>
        <w:t xml:space="preserve"> (P.C.), Moss J. The decision of Judge Moss was upheld on appeal by Mr. Justice Singh in his reasons for judgment, Haynes (Guardian ad litem of) v. Lleres (19 September 1997), No. A971045 (B.C.S.C.). In my view, this case and the other cases upon which the defendant relies are distinguishable. The other cases on which the defendant relies are Hicks v. Etobicoke (City) Board of Education, </w:t>
      </w:r>
      <w:hyperlink r:id="rId126" w:history="1">
        <w:r>
          <w:rPr>
            <w:rFonts w:ascii="arial" w:eastAsia="arial" w:hAnsi="arial" w:cs="arial"/>
            <w:i/>
            <w:color w:val="0077CC"/>
            <w:sz w:val="20"/>
            <w:u w:val="single"/>
            <w:shd w:val="clear" w:color="auto" w:fill="FFFFFF"/>
            <w:lang w:val="en-US" w:eastAsia="en-US" w:bidi="ar-SA"/>
          </w:rPr>
          <w:t>[1988] O.J. No. 1900</w:t>
        </w:r>
      </w:hyperlink>
      <w:r>
        <w:rPr>
          <w:rFonts w:ascii="arial" w:eastAsia="arial" w:hAnsi="arial" w:cs="arial"/>
          <w:color w:val="000000"/>
          <w:sz w:val="20"/>
          <w:lang w:val="en-US" w:eastAsia="en-US" w:bidi="ar-SA"/>
        </w:rPr>
        <w:t xml:space="preserve"> (Ont. Dist. Ct.) and also Ponsford v. School District 43 Coquitlam (15 June 1996), No. 27257 (B.C.P.C.). Those cases can be summarized as finding that breach of an educational statute cannot or does not give rise to a claim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Justice Singh, in his September 19, 1997 oral reasons for judgment states at paragraphs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claim was for some $902 as damages resulting from his obligation to have hired a tutor to teach the infant industrial revolution, a branch or a topic under the rubric social studies for the grade 9 school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bases his claim that the teacher failed to teach in its entirety this topic, namely the industrial revolution. He then goes further and says by the failure of the teacher to have not taught this topic, the teacher has been guilty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 such, through the provisions of s. 112 of the School Act, he has a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it be a claim provided by the statute, as Mr. Haynes claims, under s. 112 or under a claim of tort under the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be it gross or otherwise, would fall under the rubric of educational 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paragraph 9, Mr. Justice Singh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shortcomings that fall within the purview of the School Act that gives rise to a claim for damages can only be characterized as educational 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 also relies on the decision of Wong v. University of Toronto </w:t>
      </w:r>
      <w:hyperlink r:id="rId127" w:history="1">
        <w:r>
          <w:rPr>
            <w:rFonts w:ascii="arial" w:eastAsia="arial" w:hAnsi="arial" w:cs="arial"/>
            <w:i/>
            <w:color w:val="0077CC"/>
            <w:sz w:val="20"/>
            <w:u w:val="single"/>
            <w:shd w:val="clear" w:color="auto" w:fill="FFFFFF"/>
            <w:lang w:val="en-US" w:eastAsia="en-US" w:bidi="ar-SA"/>
          </w:rPr>
          <w:t>(1989), 79 D.L.R. (4th) 652</w:t>
        </w:r>
      </w:hyperlink>
      <w:r>
        <w:rPr>
          <w:rFonts w:ascii="arial" w:eastAsia="arial" w:hAnsi="arial" w:cs="arial"/>
          <w:color w:val="000000"/>
          <w:sz w:val="20"/>
          <w:lang w:val="en-US" w:eastAsia="en-US" w:bidi="ar-SA"/>
        </w:rPr>
        <w:t xml:space="preserve"> (Ont. Dist. Ct.), aff'd </w:t>
      </w:r>
      <w:hyperlink r:id="rId128" w:history="1">
        <w:r>
          <w:rPr>
            <w:rFonts w:ascii="arial" w:eastAsia="arial" w:hAnsi="arial" w:cs="arial"/>
            <w:i/>
            <w:color w:val="0077CC"/>
            <w:sz w:val="20"/>
            <w:u w:val="single"/>
            <w:shd w:val="clear" w:color="auto" w:fill="FFFFFF"/>
            <w:lang w:val="en-US" w:eastAsia="en-US" w:bidi="ar-SA"/>
          </w:rPr>
          <w:t>(1992), 4 Admin. L.R. (2d) 95</w:t>
        </w:r>
      </w:hyperlink>
      <w:r>
        <w:rPr>
          <w:rFonts w:ascii="arial" w:eastAsia="arial" w:hAnsi="arial" w:cs="arial"/>
          <w:color w:val="000000"/>
          <w:sz w:val="20"/>
          <w:lang w:val="en-US" w:eastAsia="en-US" w:bidi="ar-SA"/>
        </w:rPr>
        <w:t xml:space="preserve"> (Ont. C.A.). That case, in my view, is also distinguishable. There the court found that the plaintiff, when he entered into the Doctoral program, agreed to be bound by the provisions of the legislation which provided for a review process. Until that review process had been complied with, the court was without jurisdiction to hear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am not satisfied that on the pleadings this claim is similar to Haynes or to Wong or is solely a claim for educational malpractice. As Mr. Majic says, "The claim is simply this. They didn't deliver what they promised to deliver."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am more inclined to follow the decision of Mr. Justice Blair of this court in McKay v. CDI Career Development Institutes Ltd. </w:t>
      </w:r>
      <w:hyperlink r:id="rId129" w:history="1">
        <w:r>
          <w:rPr>
            <w:rFonts w:ascii="arial" w:eastAsia="arial" w:hAnsi="arial" w:cs="arial"/>
            <w:i/>
            <w:color w:val="0077CC"/>
            <w:sz w:val="20"/>
            <w:u w:val="single"/>
            <w:shd w:val="clear" w:color="auto" w:fill="FFFFFF"/>
            <w:lang w:val="en-US" w:eastAsia="en-US" w:bidi="ar-SA"/>
          </w:rPr>
          <w:t>(1999), 64 B.C.L.R. (3d) 386</w:t>
        </w:r>
      </w:hyperlink>
      <w:r>
        <w:rPr>
          <w:rFonts w:ascii="arial" w:eastAsia="arial" w:hAnsi="arial" w:cs="arial"/>
          <w:color w:val="000000"/>
          <w:sz w:val="20"/>
          <w:lang w:val="en-US" w:eastAsia="en-US" w:bidi="ar-SA"/>
        </w:rPr>
        <w:t>. At paragraph 7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satisfied that this is an action that deserves dismissal as sought by the defendants. Much of the claim and the defence will rest on issues of credibility which are best attended by a trial. At this point I note that despite the fact that claims for educational malpractice have been rejected by courts both in the U.S. and Canada, there appears to be some situations where a court might accept such a claim. Given these findings and the uncertainty of the claim, I will decline to strike those parts of the Statement of Claim relating to educational 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paragraph 17 through 19 of the decision, Mr. Justice Blair reviews some of the cases that have dealt with claims for educational 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Under Rule 19(24)(a), a statement of claim should not be struck out unless it is plain and obvious that the claim cannot succeed. If the matter is obscure, either by reason of law or facts, or raises an arguable issue, then a motion to strike out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may be at the end of the day that the defendant will succeed on its claim for an order dismissing the plaintiffs' claim. At this stage, however, I find that it is premature. The defendant's application is therefore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St. Pierre v. Chriscan Enterprises Ltd., [2013] B.C.J. No. 2687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97271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2687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2251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 C.L.R. (4th) 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234 A.C.W.S. (3d) 545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3710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Ernie St. Pierre and Marilyn St. Pierre, Petitioners, and Chriscan Enterprises Ltd. and Len Suchocki,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1" w:name="Keywords_7"/>
      <w:bookmarkEnd w:id="51"/>
      <w:r>
        <w:rPr>
          <w:rFonts w:ascii="arial" w:eastAsia="arial" w:hAnsi="arial" w:cs="arial"/>
          <w:b/>
          <w:color w:val="000000"/>
          <w:sz w:val="20"/>
          <w:lang w:val="en-US" w:eastAsia="en-US" w:bidi="ar-SA"/>
        </w:rPr>
        <w:t>Alternative dispute resolution — Binding arbitration — Appeals and judicial review — Application by the St Pierres for leave to appeal an arbitral award dismissed — Pursuant to a contract, Chriscan Enterprises agreed to act as project manager for the construction of the St Pierres' home — The St Pierres alleged that Chriscan breached a fiduciary relationship by failing to disclose that it had contracted with PC Contracting to do the framing on the project — The arbitrator found that there was no fiduciary relationship — Even if the alleged errors of law were indeed errors, they were not material to the decision — Arbitration Act, s. 31.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2" w:name="Case Summary_6"/>
            <w:bookmarkEnd w:id="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St Pierres for leave to appeal an arbitral award. The St Pierres entered into a contract with Chriscan Enterprises under which Chriscan agreed to act as project manager for the construction of the St Pierres' home. Chriscan contracted with PC Contracting to do the framing on the project. The St Pierres alleged that Chriscan was in a fiduciary relationship with them and, by failing to disclose the relationship with PC Contracting, breached its fiduciary duty. The contract contained an arbitration clause. The arbitrator found that there was no fiduciary relationship and dismissed the claims against the respondents to the extent that they rested on an allegation of breach of a fiduciary relationship. The St Pierres alleged several errors of law.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3" w:name="Holdings of Court_5"/>
            <w:bookmarkEnd w:id="5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made sense for the arbitrator to deal with the merits of the case before addressing the issue of jurisdiction. Even if the sequence followed by the arbitrator could be characterized as an error, it was not an error material to the decision. The same was true of the other alleged errors.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4" w:name="Legislation Cited_5"/>
      <w:bookmarkEnd w:id="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4"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Arbitration Act, </w:t>
      </w:r>
      <w:hyperlink r:id="rId137" w:history="1">
        <w:r>
          <w:rPr>
            <w:rFonts w:ascii="arial" w:eastAsia="arial" w:hAnsi="arial" w:cs="arial"/>
            <w:i/>
            <w:color w:val="0077CC"/>
            <w:sz w:val="20"/>
            <w:u w:val="single"/>
            <w:shd w:val="clear" w:color="auto" w:fill="FFFFFF"/>
            <w:lang w:val="en-US" w:eastAsia="en-US" w:bidi="ar-SA"/>
          </w:rPr>
          <w:t>RSBC 1996, CHAPTER 55, s. 22</w:t>
        </w:r>
      </w:hyperlink>
      <w:r>
        <w:rPr>
          <w:rFonts w:ascii="arial" w:eastAsia="arial" w:hAnsi="arial" w:cs="arial"/>
          <w:color w:val="000000"/>
          <w:sz w:val="20"/>
          <w:lang w:val="en-US" w:eastAsia="en-US" w:bidi="ar-SA"/>
        </w:rPr>
        <w:t>, s. 31(1), s. 31(2)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Commercial Arbitration Act, </w:t>
      </w:r>
      <w:r>
        <w:rPr>
          <w:rFonts w:ascii="arial" w:eastAsia="arial" w:hAnsi="arial" w:cs="arial"/>
          <w:i/>
          <w:color w:val="000000"/>
          <w:sz w:val="20"/>
          <w:lang w:val="en-US" w:eastAsia="en-US" w:bidi="ar-SA"/>
        </w:rPr>
        <w:t>RSBC 1996, CHAPTER 55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Domestic Commercial Arbitration Rules of Procedure, Rule 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5" w:name="Counsel_7"/>
      <w:bookmarkEnd w:id="5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Petitioners: A.C. Kempf.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I. Schildt.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6" w:name="Judgment_7"/>
      <w:bookmarkEnd w:id="56"/>
      <w:r>
        <w:pict>
          <v:line id="_x0000_s1066"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7" w:name="G. BARROW J."/>
            <w:bookmarkEnd w:id="57"/>
            <w:r>
              <w:rPr>
                <w:rFonts w:ascii="arial" w:eastAsia="arial" w:hAnsi="arial" w:cs="arial"/>
                <w:b/>
                <w:color w:val="000000"/>
                <w:sz w:val="30"/>
                <w:lang w:val="en-US" w:eastAsia="en-US" w:bidi="ar-SA"/>
              </w:rPr>
              <w:t>G. 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petitioners seek leave to appeal an arbitral award made on September 6, 2012. Section 31(1) of the </w:t>
      </w:r>
      <w:r>
        <w:rPr>
          <w:rFonts w:ascii="arial" w:eastAsia="arial" w:hAnsi="arial" w:cs="arial"/>
          <w:i/>
          <w:color w:val="000000"/>
          <w:sz w:val="20"/>
          <w:lang w:val="en-US" w:eastAsia="en-US" w:bidi="ar-SA"/>
        </w:rPr>
        <w:t>Arbitration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limits appeals from arbitral awards to those that raise questions of law. Whether to grant leave is a matter of discretion to be exercised if one or more of the propositions set out in s. 31(2) are established. Section 31(2) provides that: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In an application for leave under subsection (1)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the court may grant leave if it determines that</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result of the arbitration to the parties justifies the intervention of the court and the determination of the point of law may prevent a miscarriage of justice,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law is of importance to some class or body of persons of which the applicant is a member,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law is of general or public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Pearlman J. succinctly summarized the import of s. 31(2) in </w:t>
      </w:r>
      <w:r>
        <w:rPr>
          <w:rFonts w:ascii="arial" w:eastAsia="arial" w:hAnsi="arial" w:cs="arial"/>
          <w:i/>
          <w:color w:val="000000"/>
          <w:sz w:val="20"/>
          <w:lang w:val="en-US" w:eastAsia="en-US" w:bidi="ar-SA"/>
        </w:rPr>
        <w:t>British Columbia (Housing and Social Development) v. WCG International Consultants Inc.</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2011 BCSC 1353</w:t>
        </w:r>
      </w:hyperlink>
      <w:r>
        <w:rPr>
          <w:rFonts w:ascii="arial" w:eastAsia="arial" w:hAnsi="arial" w:cs="arial"/>
          <w:color w:val="000000"/>
          <w:sz w:val="20"/>
          <w:lang w:val="en-US" w:eastAsia="en-US" w:bidi="ar-SA"/>
        </w:rPr>
        <w:t xml:space="preserve"> at para. 7, where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An applicant must seek leave to appeal on a question of law arising from the award. The party applying for leave must also satisfy at least one of the three criteria set out in ss. 31(2)(a) through (c). Even where the applicant meets one or more of those criteria, the court is not required to grant leave. The applicant must satisfy the court that it should exercise its residual discretion in favour of granting leave to appeal: </w:t>
      </w:r>
      <w:r>
        <w:rPr>
          <w:rFonts w:ascii="arial" w:eastAsia="arial" w:hAnsi="arial" w:cs="arial"/>
          <w:i/>
          <w:color w:val="000000"/>
          <w:sz w:val="20"/>
          <w:lang w:val="en-US" w:eastAsia="en-US" w:bidi="ar-SA"/>
        </w:rPr>
        <w:t>Assn. of the British Columbia Institute of Technology v. British Columbia Institute of Technology</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2000 BCCA 496</w:t>
        </w:r>
      </w:hyperlink>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80 B.C.L.R. (3d)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BCIT</w:t>
      </w:r>
      <w:r>
        <w:rPr>
          <w:rFonts w:ascii="arial" w:eastAsia="arial" w:hAnsi="arial" w:cs="arial"/>
          <w:color w:val="000000"/>
          <w:sz w:val="20"/>
          <w:lang w:val="en-US" w:eastAsia="en-US" w:bidi="ar-SA"/>
        </w:rPr>
        <w:t>]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proceeding has its genesis in a contract that the petitioners and the respondent, Chriscan Enterprises Ltd. ("Chriscan"), entered into in September 2004. Under the contract, Chriscan agreed to act as the project manager for the construction of the St. Pierres' home. Chriscan was to be paid a fee based on a percentage of the total cost of the project. The respondent, Len Suchocki, is a principal of Chriscan Enterprises Ltd. In the course of managing the construction of the petitioners' home, Chriscan contracted with P.C. Contracting to do the framing on the project. The petitioners allege that Mr. Suchocki is or was a principal of P.C. Contracting and that he did not disclose this fact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September 2009, the petitioners, as plaintiffs, filed a writ of summons and statement of claim against Chriscan and Mr. Suchocki, alleging that by virtue of their contractual relationship, both Chriscan and Mr. Suchocki were in a fiduciary relationship with them. They allege that by failing to disclose the relationship between Mr. Suchocki and P.C. Contracting, and perhaps other subcontractors and suppliers, and by Mr. Suchocki receiving payment from P.C. Contracting for work done in relation to the construction of the plaintiff's home, both Chriscan and Mr. Suchocki breached their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contract between the petitioners and Chriscan contains an arbitration clause. Chriscan applied under what was then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xml:space="preserve"> to stay the action commenced by the petitioners. Rogers J. heard that application and on November 20, 2009, granted the stay. The petitioners appealed and on March 4, 2011, the Court of Appeal dismissed the appeal. In the meantime, the respondent, Chriscan, issued a notice of arbitration. Following the Court of Appeal's decision, the parties exchanged pleadings as provided for by the </w:t>
      </w:r>
      <w:r>
        <w:rPr>
          <w:rFonts w:ascii="arial" w:eastAsia="arial" w:hAnsi="arial" w:cs="arial"/>
          <w:i/>
          <w:color w:val="000000"/>
          <w:sz w:val="20"/>
          <w:lang w:val="en-US" w:eastAsia="en-US" w:bidi="ar-SA"/>
        </w:rPr>
        <w:t>Domestic Commercial Arbitration Rules of Procedure</w:t>
      </w:r>
      <w:r>
        <w:rPr>
          <w:rFonts w:ascii="arial" w:eastAsia="arial" w:hAnsi="arial" w:cs="arial"/>
          <w:color w:val="000000"/>
          <w:sz w:val="20"/>
          <w:lang w:val="en-US" w:eastAsia="en-US" w:bidi="ar-SA"/>
        </w:rPr>
        <w:t>. The petitioners' statement of claim largely tracks the statement of claim they filed in this court. Specifically, they pleaded that Chriscan and Mr. Suchocki stood in a fiduciary relationship to them as a result of the contractual relationship they had. They claimed that the respondents were in breach of their fiduciary duty and in breach of their 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May 2012, the petitioners filed an application with the arbitrator seeking two forms of relief. First, they sought liberty to amend their statement of claim to allege fraud. Second, they sought a declaration that the subject matter of their dispute with the respondents, to the extent it was based on breach of a fiduciary duty and/or fraud, was outside the jurisdiction of the arbitral tribunal. The respondents replied to this application and advanced their own application later that month. By that pleading, they sought the dismissal of the petitioners' applications and sought dismissal of the petitioners' claim to the extent it rested on an alleged breach of fiduciary duty. They also sought dismissal of the claim as against Mr. Suchocki, to the extent it rested on breach of contract 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arbitrator heard the parties' applications on August 22, 2012, and issued his decision on September 6, 2012. He found that there was no fiduciary relationship between the petitioners and the respondents and dismissed the claims against the respondents to the extent they rested on an allegation of breach of a fiduciary relationship. Finally, he dismissed the petitioners' application to amend their statement of claim. It is from this ruling that leave to appeal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Arbitrator's Decision and the Posited Errors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petitioners allege eight distinct errors in law. To understand the alleged errors, it is helpful to first set out at least in outline the arbitrator's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arbitrator began his analysis with a consideration of the meaning of the term "fiduciary". In doing so, he referred to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Sopinka J. noted the traditionally recognized relationships that give rise to fiduciary duties ("director-corporation, trustee-beneficiary, solicitor-client, partners, principal-agent ..."). Further, he noted that the law recognizes ad hoc fiduciary relationships. Sopinka J. pointed out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while the imposition of fiduciary duties in ad hoc relationships is possible, it is a conclusion that the law is reluctant to reach. Sopinka J. noted three general characteristics that are often, but not invariably, present in relationships that give rise to fiduciary obligations. Among those characteristics is vulnerability of the beneficiary. Sopinka J. quoted with approval from an article by Professor Weinrib in which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hallmark of a fiduciary relation is that the relative legal positions are such that one party is at the mercy of the other's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arbitrator next considered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In that case, McLachlin C.J. held at para. 31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 The party asserting the duty must be able to point to a forsaking by the alleged fiduciary of the interests of all others in favour of those of the beneficiary, in relation to the specific legal interest at 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Having identified the legal framework, the arbitrator turned to the circumstances of the case. The first question he posed for himself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the relationship which was established between the Claimants and the Respondents was a fiduciary relationship deserving of the protection of the imposition of a fiduciary duty to prevent self-dealing on the part of the Respondents ...</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(at p.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answering this question, the arbitrator first noted that the quality of undivided loyalty to the beneficiary or, as Professor Weinrib put it, the forsaking of all interests by the fiduciary in favour of those of the beneficiary, was not present in the relationship between the parties in this matter. He also observed that the feature "simply does not exist in a construction setting". That is so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builder, project manager or construction manager, although having to exercise reasonable care in discharging their obligations to an owner of a project, have an inherent self-interest in maximizing their profit and economic return on a project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claimants cited </w:t>
      </w:r>
      <w:r>
        <w:rPr>
          <w:rFonts w:ascii="arial" w:eastAsia="arial" w:hAnsi="arial" w:cs="arial"/>
          <w:i/>
          <w:color w:val="000000"/>
          <w:sz w:val="20"/>
          <w:lang w:val="en-US" w:eastAsia="en-US" w:bidi="ar-SA"/>
        </w:rPr>
        <w:t>Ho v. Yip</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[1995] B.C.J. No. 1253</w:t>
        </w:r>
      </w:hyperlink>
      <w:r>
        <w:rPr>
          <w:rFonts w:ascii="arial" w:eastAsia="arial" w:hAnsi="arial" w:cs="arial"/>
          <w:color w:val="000000"/>
          <w:sz w:val="20"/>
          <w:lang w:val="en-US" w:eastAsia="en-US" w:bidi="ar-SA"/>
        </w:rPr>
        <w:t xml:space="preserve"> (S.C.), in which a fiduciary relationship had been found to exist in a construction context. He distinguished that case on the basis that the plaintiffs were particularly vulnerable to the defendants and had much less control over the decisions made by the defendants than did the respondent in the matter before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arbitrator then considered the terms of the contract between the petitioners and the respondent, Chriscan. The arbitrator held that the contract was not one which required the special protection of a fiduciary obligation. He noted that the contract was not unlike "thousands of other construction contracts" entered into every day in this province. The relationship between the parties to such contracts is defined by the terms and conditions of the contract itself, which the parties are free to negotiate. The remedy in such situations is breach of contract and sometimes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Implicit in his conclusion is the finding that this situation is not one "truly in need of the special protection that equity affords"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arbitrator then noted four aspects of the contractual relationship between the parties that militated against a finding of particular vulnerability on the part of the petitioners. By the terms of the contract, the petitioners had the final say on the specifications for and budget of the construction project. They had the contractual right to identify deficiencies and require that they be corrected. Finally, they had the right to request that the respondent seek competitive bids from all suppliers and trades. The arbitrator concluded that these features: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demonstrate that the Claimants, in many respects, were not at the "mercy" of the Respondents but, rather, had ultimate control over most aspects of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arbitrator thus concluded that the petitioners and respondents were not in a fiduciary relationship. He then turned to the issue of his jurisdiction to decide the question. He began his analysis by noting the arbitration clause in the contract. That clause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event of any disagreement between the parties hereto as to the </w:t>
      </w:r>
      <w:r>
        <w:rPr>
          <w:rFonts w:ascii="arial" w:eastAsia="arial" w:hAnsi="arial" w:cs="arial"/>
          <w:color w:val="000000"/>
          <w:sz w:val="20"/>
          <w:u w:val="single"/>
          <w:lang w:val="en-US" w:eastAsia="en-US" w:bidi="ar-SA"/>
        </w:rPr>
        <w:t>interpretation of this Contract</w:t>
      </w:r>
      <w:r>
        <w:rPr>
          <w:rFonts w:ascii="arial" w:eastAsia="arial" w:hAnsi="arial" w:cs="arial"/>
          <w:color w:val="000000"/>
          <w:sz w:val="20"/>
          <w:lang w:val="en-US" w:eastAsia="en-US" w:bidi="ar-SA"/>
        </w:rPr>
        <w:t xml:space="preserve"> or the quality of material or construction arranged by the Project Manager, or any issue regarding possible deficiencies, such disputes shall be referred to a single arbitrator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 12 of the contract, pp.9-10 of the arbitrator's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arbitrator concluded that he had jurisdiction to decide the issue of whether the parties were in a fiduciary relationship for two reasons. First, he concluded that the determination required an interpretation of the parties' contract and thus fell squarely within the arbitration clause. Second, he concluded that the Court of Appeal had reached a similar conclusion when they addressed the appeal from the decision staying the action. At paragraph 28 of the Court of Appeal's decision (</w:t>
      </w:r>
      <w:hyperlink r:id="rId143" w:history="1">
        <w:r>
          <w:rPr>
            <w:rFonts w:ascii="arial" w:eastAsia="arial" w:hAnsi="arial" w:cs="arial"/>
            <w:i/>
            <w:color w:val="0077CC"/>
            <w:sz w:val="20"/>
            <w:u w:val="single"/>
            <w:shd w:val="clear" w:color="auto" w:fill="FFFFFF"/>
            <w:lang w:val="en-US" w:eastAsia="en-US" w:bidi="ar-SA"/>
          </w:rPr>
          <w:t>2011 BCCA 97</w:t>
        </w:r>
      </w:hyperlink>
      <w:r>
        <w:rPr>
          <w:rFonts w:ascii="arial" w:eastAsia="arial" w:hAnsi="arial" w:cs="arial"/>
          <w:color w:val="000000"/>
          <w:sz w:val="20"/>
          <w:lang w:val="en-US" w:eastAsia="en-US" w:bidi="ar-SA"/>
        </w:rPr>
        <w:t>), Levine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appellants' statement of claim makes it clear that their allegations that the respondents breached fiduciary duties and took secret profits turn on a finding that a fiduciary relationship existed between them. The source of their relationship is the contract. It is only by interpreting the contract, in its factual context, that the legal nature of their relationship and whether the appellants' allegations have any merit may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arbitrator further noted that at paragraph 31, Levine J.A. concluded that the disagreement between the parties is as to the interpretation of their contract. For both of these reasons, he concluded that he had the jurisdiction to determine the issue of whether the parties were in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arbitrator then turned to the question of whether to permit an amendment of the claimants' statement of claim. I will address his reasons for declining that amendment when dealing with that aspect of the petitioners' application for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errors of law asserted by the petitioners are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erred in law by failing to decide the issue before him, namely, whether the Arbitration Clause conferred jurisdiction over claims for breach of fiduciary duties, taking of secret profits and/or fraud.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erred in law in weighing evidence of fraud in the preliminary stages of proceeding refusing to allow the [petitioners] to amend their pleadings to allege fraud.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erred in law by refusing the [petitioners] to amend their pleadings to allege fraud.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erred in determining the taking of secret profits was not a fraudulent activity.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erred in law in determining that a key element of a fiduciary relationship - that the alleged fiduciary cannot act in their own interest but [must] have undivided loyalty to the beneficiary - cannot arise in a construction setting.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erred in law in stating and applying the test related to the extent to which an alleged fiduciary must forsake his interests in favour of the beneficiary.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erred in law in determining that a fiduciary duty cannot exist where the parties have entered into a contract.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erred in law in determining that the remedies for fraud and breach of fiduciary duty are the same as the remedy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Before turning to the specific errors alleged by the petitioners, three general observations are warranted. The first point arises from the arbitration process in general. As Dickson J. noted in </w:t>
      </w:r>
      <w:r>
        <w:rPr>
          <w:rFonts w:ascii="arial" w:eastAsia="arial" w:hAnsi="arial" w:cs="arial"/>
          <w:i/>
          <w:color w:val="000000"/>
          <w:sz w:val="20"/>
          <w:lang w:val="en-US" w:eastAsia="en-US" w:bidi="ar-SA"/>
        </w:rPr>
        <w:t>Arbutus Software Inc. v. ACL Services Ltd.</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2012 BCSC 1834</w:t>
        </w:r>
      </w:hyperlink>
      <w:r>
        <w:rPr>
          <w:rFonts w:ascii="arial" w:eastAsia="arial" w:hAnsi="arial" w:cs="arial"/>
          <w:color w:val="000000"/>
          <w:sz w:val="20"/>
          <w:lang w:val="en-US" w:eastAsia="en-US" w:bidi="ar-SA"/>
        </w:rPr>
        <w:t xml:space="preserve"> at para.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Public policy requires the court to give substantial deference to decisions made in commercial arbitration. The need for deference arises out of the two principal objectives of arbitration: early finality and a determination made outside the court system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Second, appeals are limited to questions of law. Questions of fact or questions of mixed fact and law cannot form the basis of an appeal. Finally, not all questions of law are matters on which leave should be granted. Rather, if a question of law is identified, then the court is obliged to consider the conditions precedent in s. 31(2) of the </w:t>
      </w:r>
      <w:r>
        <w:rPr>
          <w:rFonts w:ascii="arial" w:eastAsia="arial" w:hAnsi="arial" w:cs="arial"/>
          <w:i/>
          <w:color w:val="000000"/>
          <w:sz w:val="20"/>
          <w:lang w:val="en-US" w:eastAsia="en-US" w:bidi="ar-SA"/>
        </w:rPr>
        <w:t>Arbitration Act</w:t>
      </w:r>
      <w:r>
        <w:rPr>
          <w:rFonts w:ascii="arial" w:eastAsia="arial" w:hAnsi="arial" w:cs="arial"/>
          <w:color w:val="000000"/>
          <w:sz w:val="20"/>
          <w:lang w:val="en-US" w:eastAsia="en-US" w:bidi="ar-SA"/>
        </w:rPr>
        <w:t>. Even if one or another of those preconditions is satisfied, the court must then consider whether to exercise its residual discretion in favour of granting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petitioners rest their application on s. 31(2)(a)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BCIT (Student Association) v. BCIT</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2000 BCCA 496</w:t>
        </w:r>
      </w:hyperlink>
      <w:r>
        <w:rPr>
          <w:rFonts w:ascii="arial" w:eastAsia="arial" w:hAnsi="arial" w:cs="arial"/>
          <w:color w:val="000000"/>
          <w:sz w:val="20"/>
          <w:lang w:val="en-US" w:eastAsia="en-US" w:bidi="ar-SA"/>
        </w:rPr>
        <w:t xml:space="preserve">, Saunders J.A. explained the approach to be taken in the application of that subparagraph. It has three requirements. The first is that the result of the arbitration must justify the intervention of the court in the sense that it is sufficiently important either in terms of principal or money to the parties that the expense and time a court proceeding is warranted (para. 27). Second, the error of law must have been material to the decision in the sense that "were [it] decided differently, the arbitrator would have been led to a different result" (para. 28). Finally, the subparagraph requires a limited consideration of the merits of the appeal. It is for the appellant to establish that the questions of law raise something more than "an arguable point". Again as Saunders J.A. described it at para. 30 of </w:t>
      </w:r>
      <w:r>
        <w:rPr>
          <w:rFonts w:ascii="arial" w:eastAsia="arial" w:hAnsi="arial" w:cs="arial"/>
          <w:i/>
          <w:color w:val="000000"/>
          <w:sz w:val="20"/>
          <w:lang w:val="en-US" w:eastAsia="en-US" w:bidi="ar-SA"/>
        </w:rPr>
        <w:t>BCIT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 The merits of the appeal, while not requiring that the award is obviously wrong or the decision is patently unreasonable, must have sufficient substance to warrant the appeal proceeding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these general observations in mind, I turn to the specific errors alleged by the petitioners. These alleged errors can be conveniently grouped into three broad categories: the first consists of the assertion that the arbitrator failed to decide the issue that was before him (question (a)); the second involves questions relating to whether the parties were in a fiduciary relationship and in particular questions (e), (f), (g) and (h); and third, questions relating to the arbitrator's decision to refuse the amendment to the statement of claim and in particular questions (b), (c) and (d).</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Failure to decide the issue before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noted above, the arbitrator first considered whether the parties were in a fiduciary relationship and then considered whether he had jurisdiction to decide that issue. The petitioners characterize the arbitrator's approach as an error in "legal methodology with respect to the sequence of judicial decision making". It is in that way that the petitioners argue that the arbitrator did not decide the issue that was before him. In support, the petitioners cite </w:t>
      </w:r>
      <w:r>
        <w:rPr>
          <w:rFonts w:ascii="arial" w:eastAsia="arial" w:hAnsi="arial" w:cs="arial"/>
          <w:i/>
          <w:color w:val="000000"/>
          <w:sz w:val="20"/>
          <w:lang w:val="en-US" w:eastAsia="en-US" w:bidi="ar-SA"/>
        </w:rPr>
        <w:t>London (City) Board of Education v. F.W.T.A.O.</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(1984), 16 L.A.C. (3d) 366</w:t>
        </w:r>
      </w:hyperlink>
      <w:r>
        <w:rPr>
          <w:rFonts w:ascii="arial" w:eastAsia="arial" w:hAnsi="arial" w:cs="arial"/>
          <w:color w:val="000000"/>
          <w:sz w:val="20"/>
          <w:lang w:val="en-US" w:eastAsia="en-US" w:bidi="ar-SA"/>
        </w:rPr>
        <w:t>, a decision of an Ontario labour arbitrator. The arbitrator in that case noted that it was the "general practice" of labour arbitrators in Ontario to determine jurisdictional issues before hearing the merits of an appeal. While such an approach may make sense in many cases, resulting in, among other things, an efficient use of both time and expense, the failure to approach a dispute in that fashion is not necessarily an error, never mind a material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Whether the arbitrator had jurisdiction in the matter at hand turned on whether the disagreement between the parties amounted to or arose from an "interpretation of [the] contract". That question could not be answered, it seems to me, without addressing the merits of the contention that the parties were in a fiduciary relationship. It was only by addressing the merits, and more specifically the legal analysis to be applied in determining that question, that the issue of whether it involved an interpretation of the parties' contract could be answered. In short, in my view, it made sense to address the merits in this case before dealing with the question of jurisdiction. Moreover, even if the sequence followed by the arbitrator could be characterized as an error in law, I am not satisfied that it was an error that was material to the decision. As Saunders J.A. in </w:t>
      </w:r>
      <w:r>
        <w:rPr>
          <w:rFonts w:ascii="arial" w:eastAsia="arial" w:hAnsi="arial" w:cs="arial"/>
          <w:i/>
          <w:color w:val="000000"/>
          <w:sz w:val="20"/>
          <w:lang w:val="en-US" w:eastAsia="en-US" w:bidi="ar-SA"/>
        </w:rPr>
        <w:t>BCIT</w:t>
      </w:r>
      <w:r>
        <w:rPr>
          <w:rFonts w:ascii="arial" w:eastAsia="arial" w:hAnsi="arial" w:cs="arial"/>
          <w:color w:val="000000"/>
          <w:sz w:val="20"/>
          <w:lang w:val="en-US" w:eastAsia="en-US" w:bidi="ar-SA"/>
        </w:rPr>
        <w:t>, a point of law is material if it can be said that were it decided differently, the end result would have been different (para. 28). I am not persuaded that the arbitrator would have reached a different conclusion had he approached the matter by dealing first with the issue of jurisdiction. Indeed, for the reasons noted above, dealing with that question would have inexorably led him into virtually the same analysis he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Leave to appeal on this issue is accordingly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Questions relating to whether the parties were in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first question in this category is whether the arbitrator erred in law "[i]n determining that a key element of a fiduciary relationship - that the alleged fiduciary cannot act in their own interest but have undivided loyalty to the beneficiary - cannot arise in a 'construction setting'". The petitioners argue that this conclusion is wrong for two reasons. First, it is said that he refused to apply "existing legal precedent, and in particular this court's decision in </w:t>
      </w:r>
      <w:r>
        <w:rPr>
          <w:rFonts w:ascii="arial" w:eastAsia="arial" w:hAnsi="arial" w:cs="arial"/>
          <w:i/>
          <w:color w:val="000000"/>
          <w:sz w:val="20"/>
          <w:lang w:val="en-US" w:eastAsia="en-US" w:bidi="ar-SA"/>
        </w:rPr>
        <w:t>Ho v. Yip</w:t>
      </w:r>
      <w:r>
        <w:rPr>
          <w:rFonts w:ascii="arial" w:eastAsia="arial" w:hAnsi="arial" w:cs="arial"/>
          <w:color w:val="000000"/>
          <w:sz w:val="20"/>
          <w:lang w:val="en-US" w:eastAsia="en-US" w:bidi="ar-SA"/>
        </w:rPr>
        <w:t>". Second, it is said that the determination of whether a fiduciary relationship exists turns on the nature of the relationship and not the category or character of the parties to it. By concluding that parties to construction contracts invariably have at least an element of self-interest, the arbitrator erroneously focussed on the character of the parties and not the nature of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respondents argue that while the arbitrator did refer to whether a fiduciary relationship can arise in a construction setting, viewed in the context of his overall analysis, it is clear that he made his determination based on the actual relationship between these parties. The defendant in </w:t>
      </w:r>
      <w:r>
        <w:rPr>
          <w:rFonts w:ascii="arial" w:eastAsia="arial" w:hAnsi="arial" w:cs="arial"/>
          <w:i/>
          <w:color w:val="000000"/>
          <w:sz w:val="20"/>
          <w:lang w:val="en-US" w:eastAsia="en-US" w:bidi="ar-SA"/>
        </w:rPr>
        <w:t>Ho v. Yip</w:t>
      </w:r>
      <w:r>
        <w:rPr>
          <w:rFonts w:ascii="arial" w:eastAsia="arial" w:hAnsi="arial" w:cs="arial"/>
          <w:color w:val="000000"/>
          <w:sz w:val="20"/>
          <w:lang w:val="en-US" w:eastAsia="en-US" w:bidi="ar-SA"/>
        </w:rPr>
        <w:t xml:space="preserve"> entered into an oral contract with the plaintiff to act as the project manager for renovations necessary to a home the plaintiff was contemplating purchasing. The defendant encouraged the plaintiff to retain a general contractor that the defendant knew was financially unstable. The defendant also knew that the contractor originally suggested a price much higher than that finally agreed on because the contractor felt the job could not be done for the reduced amount. Finally, and most egregiously, the defendant accepted a secret commission from the contractor in exchange for encouraging the plaintiff to enter into the contract. Paris J. concluded that the defendant was in a fiduciary relationship. In the course of coming to that conclusion, he noted the three characteristics that were identified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(1994), 117 D.L.R. (4th) 161</w:t>
        </w:r>
      </w:hyperlink>
      <w:r>
        <w:rPr>
          <w:rFonts w:ascii="arial" w:eastAsia="arial" w:hAnsi="arial" w:cs="arial"/>
          <w:color w:val="000000"/>
          <w:sz w:val="20"/>
          <w:lang w:val="en-US" w:eastAsia="en-US" w:bidi="ar-SA"/>
        </w:rPr>
        <w:t xml:space="preserve"> (S.C.C.) at p. 176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(1) scope for the exercise of some discretion or power; (2) that power or discretion can be exercised unilaterally so as to effect the beneficiary's legal or practical interests; and, (3) a peculiar vulnerability to the exercise of that discretion or power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Paris J. emphasized the latter characteristic, namely, a peculiar vulnerability that the plaintiff Ho had in relation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arbitrator acknowledged that a fiduciary relationship was found to exist in a construction setting in </w:t>
      </w:r>
      <w:r>
        <w:rPr>
          <w:rFonts w:ascii="arial" w:eastAsia="arial" w:hAnsi="arial" w:cs="arial"/>
          <w:i/>
          <w:color w:val="000000"/>
          <w:sz w:val="20"/>
          <w:lang w:val="en-US" w:eastAsia="en-US" w:bidi="ar-SA"/>
        </w:rPr>
        <w:t>Ho v. Yip</w:t>
      </w:r>
      <w:r>
        <w:rPr>
          <w:rFonts w:ascii="arial" w:eastAsia="arial" w:hAnsi="arial" w:cs="arial"/>
          <w:color w:val="000000"/>
          <w:sz w:val="20"/>
          <w:lang w:val="en-US" w:eastAsia="en-US" w:bidi="ar-SA"/>
        </w:rPr>
        <w:t xml:space="preserve">. He noted that the plaintiff in </w:t>
      </w:r>
      <w:r>
        <w:rPr>
          <w:rFonts w:ascii="arial" w:eastAsia="arial" w:hAnsi="arial" w:cs="arial"/>
          <w:i/>
          <w:color w:val="000000"/>
          <w:sz w:val="20"/>
          <w:lang w:val="en-US" w:eastAsia="en-US" w:bidi="ar-SA"/>
        </w:rPr>
        <w:t>Ho</w:t>
      </w:r>
      <w:r>
        <w:rPr>
          <w:rFonts w:ascii="arial" w:eastAsia="arial" w:hAnsi="arial" w:cs="arial"/>
          <w:color w:val="000000"/>
          <w:sz w:val="20"/>
          <w:lang w:val="en-US" w:eastAsia="en-US" w:bidi="ar-SA"/>
        </w:rPr>
        <w:t xml:space="preserve"> relied entirely on the defendant to manage the renovations and that the plaintiff had "little control" over the choices made by the defendant on the plaintiff's behalf. There was, the arbitrator concluded, compelling evidence that the plaintiff was at the mercy of the defendants. It was this peculiar vulnerability which distinguished that case from the matter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Later in his decision, the arbitrator noted four provisions in the contract between the petitioners and the respondents that militated against a finding of a fiduciary relationship. These provisions demonstrated that the petitioners were not particularly vulnerable. They was a term that afforded to the petitioners the right to both complete and approve in writing the specifications and budget for the project; terms that delegated to a public regulatory authority (as opposed to the respondents) the determination of when the project would be completed; a term that afforded to the petitioners the ability to identify deficiencies and require that they be corrected; and a term that the petitioners could compel the respondents to obtain competitive bids from any suppliers and trades the owner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Although vulnerability on the part of the beneficiary in a fiduciary relationship is not essential to a finding of such a relationship, it is important. Further, it is a matter of degree. As noted in </w:t>
      </w:r>
      <w:r>
        <w:rPr>
          <w:rFonts w:ascii="arial" w:eastAsia="arial" w:hAnsi="arial" w:cs="arial"/>
          <w:i/>
          <w:color w:val="000000"/>
          <w:sz w:val="20"/>
          <w:lang w:val="en-US" w:eastAsia="en-US" w:bidi="ar-SA"/>
        </w:rPr>
        <w:t>Lac Minerals Ltd.</w:t>
      </w:r>
      <w:r>
        <w:rPr>
          <w:rFonts w:ascii="arial" w:eastAsia="arial" w:hAnsi="arial" w:cs="arial"/>
          <w:color w:val="000000"/>
          <w:sz w:val="20"/>
          <w:lang w:val="en-US" w:eastAsia="en-US" w:bidi="ar-SA"/>
        </w:rPr>
        <w:t xml:space="preserve"> (quoting from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the question is whether a beneficiary is "</w:t>
      </w:r>
      <w:r>
        <w:rPr>
          <w:rFonts w:ascii="arial" w:eastAsia="arial" w:hAnsi="arial" w:cs="arial"/>
          <w:color w:val="000000"/>
          <w:sz w:val="20"/>
          <w:u w:val="single"/>
          <w:lang w:val="en-US" w:eastAsia="en-US" w:bidi="ar-SA"/>
        </w:rPr>
        <w:t>peculiarly</w:t>
      </w:r>
      <w:r>
        <w:rPr>
          <w:rFonts w:ascii="arial" w:eastAsia="arial" w:hAnsi="arial" w:cs="arial"/>
          <w:color w:val="000000"/>
          <w:sz w:val="20"/>
          <w:lang w:val="en-US" w:eastAsia="en-US" w:bidi="ar-SA"/>
        </w:rPr>
        <w:t xml:space="preserve"> vulnerable" or "at the mercy of the fiduciary" (para 32). The arbitrator pointed out significant differences in the relationship between the parties in the matter at hand and the parties in </w:t>
      </w:r>
      <w:r>
        <w:rPr>
          <w:rFonts w:ascii="arial" w:eastAsia="arial" w:hAnsi="arial" w:cs="arial"/>
          <w:i/>
          <w:color w:val="000000"/>
          <w:sz w:val="20"/>
          <w:lang w:val="en-US" w:eastAsia="en-US" w:bidi="ar-SA"/>
        </w:rPr>
        <w:t>Ho v. Yip</w:t>
      </w:r>
      <w:r>
        <w:rPr>
          <w:rFonts w:ascii="arial" w:eastAsia="arial" w:hAnsi="arial" w:cs="arial"/>
          <w:color w:val="000000"/>
          <w:sz w:val="20"/>
          <w:lang w:val="en-US" w:eastAsia="en-US" w:bidi="ar-SA"/>
        </w:rPr>
        <w:t>, touching on the question the degree of vulnerability. That analysis, in my view, is supportable both on the facts and as a matter of logic. Thus, it cannot be said that the arbitrator refused to apply "existing legal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other component of the petitioners' argument on this issue is the assertion that the arbitrator erred by concluding that because these parties contracted with one another in a construction setting, they could not be in a fiduciary relationship. I do not read his decision that way. Rather, I take the arbitrator to have rested his conclusion on two general propositions: first, he noted that the petitioners' claims could all be satisfactorily addressed as breaches of contract or perhaps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as such, the situation was not one "truly in need of the special protection that equity affords" (</w:t>
      </w:r>
      <w:r>
        <w:rPr>
          <w:rFonts w:ascii="arial" w:eastAsia="arial" w:hAnsi="arial" w:cs="arial"/>
          <w:i/>
          <w:color w:val="000000"/>
          <w:sz w:val="20"/>
          <w:lang w:val="en-US" w:eastAsia="en-US" w:bidi="ar-SA"/>
        </w:rPr>
        <w:t>Lac Minerals Ltd.</w:t>
      </w:r>
      <w:r>
        <w:rPr>
          <w:rFonts w:ascii="arial" w:eastAsia="arial" w:hAnsi="arial" w:cs="arial"/>
          <w:color w:val="000000"/>
          <w:sz w:val="20"/>
          <w:lang w:val="en-US" w:eastAsia="en-US" w:bidi="ar-SA"/>
        </w:rPr>
        <w:t xml:space="preserve"> at para. 29). Second, he concluded that the petitioners were not peculiarly vulnerable to the respondent, Chriscan. These two conclusions are at the core of his decision. While he did say that there is an element of self-interest in contracts such as the one between the petitioners and the respondent, Chriscan, and that to the extent that is so, it militates against a finding of a fiduciary relationship in the construction setting, he did not exclude parties to a construction contract from the reach of the equitable notion of fiduciary relationship; rather, he concluded that these parties were not in need of the assistance of equity both because the petitioners were not particularly peculiarly vulnerable and because both parties had their remedies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not persuaded that these questions give rise to an arguable point of law and thus deny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next error to which the petitioners point is related to the issue noted above. It is said to lie in the manner in which the arbitrator dealt with the undertaking in fiduciary relationships, by which the fiduciary is obliged to act in the best interest of the beneficiary. McLachlin C.J. discussed this issue in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The arbitrator quoted from paras. 30 and 31 of her judgment. At para. 31,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 The party asserting the duty must be able to point to a forsaking by the alleged fiduciary of the interests of all others in favour of those of the beneficiary, in relation to the specific legal interest at 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arbitrator emphasized the phrase "a forsaking by the alleged fiduciary of the interests of all others in favour of those of the beneficiary", but he did not emphasize the last phrase in the sentence. It is the petitioners' position that in failing to do so and in the manner in which he dealt with this issue in his decision, he erred. They argue that the fact that the respondents, or project managers more generally, have an inherent self-interest in "maximizing their profit and economic return on the project" does not, by itself, disqualify the relationship from being a fiduciary one. What is important, the petitioners argue, is that when the fiduciary is exercising powers that affect the "vital practical interests" of the beneficiary, the fiduciary must do so only in accordance with the interests of the beneficiary. In that sense, the fiduciary must forsake his or her own interests and, indeed, all other interests. Viewed from this perspective, the petitioners argue, the fact that the fiduciary may have an inherent profit motive in the relationship does not disqualify the relationship from being fiduciary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this argument raises a question of law in the sense that it is neither a question of fact nor a question of mixed fact and law, and in the sense that the petitioners have established something more than an arguable point. It is not, however, a matter that is material to the arbitrator's decision because had he concluded otherwise, he still would have determined that the relationship between these parties was not fiduciary in nature. That is so because he rested his decision on the proposition that the relationship did not require the "special protection of a fiduciary obligation" (p. 8). Whether there was a duty of undivided loyalty or an obligation to forsake all interests did not, in my view, play a significant role in that conclusion. The conclusion rested on the arbitrator's assessment of the degree of vulnerability of the petitioners and the adequacy of the remedies available absent recourse to the equitable construct of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next alleged error of law in this category is said to be that the arbitrator erred in determining that a fiduciary duty could not exist if the parties have entered into a contract. The petitioners point out that the existence of a contract does not preclude a finding of fiduciary obligations on the part of the parties to it. That point was made by La Forest J.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at p. 174, where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 I note that the existence of a contract does not necessarily preclude the existence of fiduciary obligations between the parties. On the contrary, the legal incidents of many contractual agreements are such as to give rise to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petitioners argue that: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arbitrator held that a contract will not give rise to a fiduciary duty because the parties are free to negotiate the terms of the contract at the outset of the relationship and would have a remedy for breach of contract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do not read the arbitrator's decision that way. What he determined was that the specific contract between the petitioners and the respondents did not create a relationship that required "the special protection of a fiduciary obligation". Put another way, he did not conclude that parties to any contract can never be in a fiduciary relationship; rather, he concluded that the parties to this contract were not in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would not grant leave on this question because I do not read the arbitrator's decision as containing the error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final error to which the petitioners point in this category is that the arbitrator erred in law when he concluded that the remedies for fraud and breach of fiduciary duty were the same as the remedies available for breach of contract. The petitioners argue that the remedies for these two causes of action are distinct in two respects: first, punitive damages are generally not available for breach of contract but are available for a breach of a fiduciary duty or the tort of fraud; second, a judgment based on the finding of fraud or breach of fiduciary duty will survive bankruptcy, whereas a judgment for damages arising from breach of contract will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arbitrator touched on this issue at two points in his decision. First, at page 81, he discussed the general nature of the petitioners' claim. To reiterate, that claim is that the respondent, Chriscan, contracted with a company controlled by the respondent, Mr. Suchocki, and presumably in doing so did not secure the most reasonable or advantageous contract for the petitioners. The arbitrator held that if the petitioners were able to prove this assertion, it would amount to a breach of contract, and the measure of damages would be the same as the measure of compensation due for a breach fiduciary duty. He returned to the issue where at page 11 of his decision, he observed that "[o]nce again, if a finding of misrepresentation ... the remedy would be practically the same ...". This comment was made by the arbitrator when dealing with whether to grant the amendments and not with the question of whether the relationship between the parties was fiduciary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respondents make two points in relation to this allegation. First, they argue that whether the remedies for these two causes of action are co-extensive or not would not have changed the arbitrator's conclusion. In that sense, even if the arbitrator's decision can be described as being incorrect on this point, the point was not material to the result. Further, and in relation to the assertion that punitive damages are at least theoretically available in cases involving a breach of fiduciary duty, the petitioners have not sought punitive damages in their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not persuaded that this amounts to an error of law on which leave should be granted. The issue that the arbitrator was asked to decide was whether the relationship between these parties, arising as it did out of their contract, was a fiduciary relationship. The answer to that question does not change because, for example, a judgment for breach of contract does not survive bankruptcy, whereas a judgment arising out of a breach of a fiduciary duty does. Nor, it seems to me, would the answer change depending on the availability of punitive damages. The error is therefore not material to the decision.</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decision to refuse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noted above, there were two matters raised by the petitioners' application to the arbitrator. The second of those was an application to amend their statement of claim. The amendments the claimants wished to make involved the addition of four paragraphs, specifically:</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Claimants relied on the advice of the Respondents and were induce by them to hire PC Contracting and other contractors and suppliers with undisclosed relationships to the Respondents.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aforementioned nondisclosures and representation were false and misleading because, to the extent that any contractors and suppliers with undisclosed relationships to the Respondents were hired in relation to constructing the Premises, the Respondents failed to obtain competitive bids with respect to its construction.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aforementioned nondisclosures and representation were made deliberately or recklessly in order to induce the Claimants to hire certain contractors and suppliers from which the Respondents would make secret profits.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aforementioned nondisclosures and representation, the Claimants have suffered loss and damage, including but not limited to:</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the Respondents' secret profits from PC Contracting and other contractors and suppliers;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particulars of loss and damage as the Claimants may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arbitrator noted that the petitioners wished to make these amendments in order to advance a claim of fraud against the respondents. Further, he observed that the amendments could be viewed as a claim for misrepresentation. In either case, he concluded that if the underlying allegations were proven, the remedy would be the same as the remedy for breach of contract, which was the focus of the extant statement of claim. As a result,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these circumstances, it is my view that there is no need to bring into this dispute at this stage an allegation of fraud which is no more than a dressed up edition of the breach of contract claim. It is not an amendment which is needed to determine the real issues between the parties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Section 22 of the </w:t>
      </w:r>
      <w:r>
        <w:rPr>
          <w:rFonts w:ascii="arial" w:eastAsia="arial" w:hAnsi="arial" w:cs="arial"/>
          <w:i/>
          <w:color w:val="000000"/>
          <w:sz w:val="20"/>
          <w:lang w:val="en-US" w:eastAsia="en-US" w:bidi="ar-SA"/>
        </w:rPr>
        <w:t>Arbitration Act</w:t>
      </w:r>
      <w:r>
        <w:rPr>
          <w:rFonts w:ascii="arial" w:eastAsia="arial" w:hAnsi="arial" w:cs="arial"/>
          <w:color w:val="000000"/>
          <w:sz w:val="20"/>
          <w:lang w:val="en-US" w:eastAsia="en-US" w:bidi="ar-SA"/>
        </w:rPr>
        <w:t xml:space="preserve"> provides that in the absence of an agreement to the contrary, the rules of the British Columbia International Commercial Arbitration Centre for the conduct of domestic commercial arbitrations apply to arbitrations. Rule 22 of the Domestic Commercial Arbitration</w:t>
      </w:r>
      <w:r>
        <w:rPr>
          <w:rFonts w:ascii="arial" w:eastAsia="arial" w:hAnsi="arial" w:cs="arial"/>
          <w:i/>
          <w:color w:val="000000"/>
          <w:sz w:val="20"/>
          <w:lang w:val="en-US" w:eastAsia="en-US" w:bidi="ar-SA"/>
        </w:rPr>
        <w:t xml:space="preserve"> Rules of Procedure</w:t>
      </w:r>
      <w:r>
        <w:rPr>
          <w:rFonts w:ascii="arial" w:eastAsia="arial" w:hAnsi="arial" w:cs="arial"/>
          <w:color w:val="000000"/>
          <w:sz w:val="20"/>
          <w:lang w:val="en-US" w:eastAsia="en-US" w:bidi="ar-SA"/>
        </w:rPr>
        <w:t xml:space="preserve"> deals with amendments to claims.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 Amendment of or Supplement to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arbitration tribunal may allow a party to amend or supplement its claim or counterclaim or defense during the course of the arbitration, unless the arbitration tribunal considers the delay in amending or supplementing the claim to be prejudicial to another party or considers that the amendment or supplement goes beyond the terms of the arbitration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arbitrator in this case exercised the discretion he had to determine whether the delay that might be occasioned by the proposed amendment would be prejudicial. He concluded that it was. Moreover, both parties relied on </w:t>
      </w:r>
      <w:r>
        <w:rPr>
          <w:rFonts w:ascii="arial" w:eastAsia="arial" w:hAnsi="arial" w:cs="arial"/>
          <w:i/>
          <w:color w:val="000000"/>
          <w:sz w:val="20"/>
          <w:lang w:val="en-US" w:eastAsia="en-US" w:bidi="ar-SA"/>
        </w:rPr>
        <w:t>Virk v. Brar</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2011 BCSC 301</w:t>
        </w:r>
      </w:hyperlink>
      <w:r>
        <w:rPr>
          <w:rFonts w:ascii="arial" w:eastAsia="arial" w:hAnsi="arial" w:cs="arial"/>
          <w:color w:val="000000"/>
          <w:sz w:val="20"/>
          <w:lang w:val="en-US" w:eastAsia="en-US" w:bidi="ar-SA"/>
        </w:rPr>
        <w:t>. In that case, Adair J. noted at paras. 5 and 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 basic principles governing the granting of amendments to pleadings are not in dispute. Such amendments should be permitted as are necessary to determine the real question or questions in issue between the parties: see </w:t>
      </w:r>
      <w:r>
        <w:rPr>
          <w:rFonts w:ascii="arial" w:eastAsia="arial" w:hAnsi="arial" w:cs="arial"/>
          <w:i/>
          <w:color w:val="000000"/>
          <w:sz w:val="20"/>
          <w:lang w:val="en-US" w:eastAsia="en-US" w:bidi="ar-SA"/>
        </w:rPr>
        <w:t>Victoria Grey Metro Trust Company v. Fort Gary Trust Company</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(S.C.), at p.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court will not allow useless amendments, and an application to amend is considered on the same basis as an application to strike a pleading under Rule 9-5: see </w:t>
      </w:r>
      <w:r>
        <w:rPr>
          <w:rFonts w:ascii="arial" w:eastAsia="arial" w:hAnsi="arial" w:cs="arial"/>
          <w:i/>
          <w:color w:val="000000"/>
          <w:sz w:val="20"/>
          <w:lang w:val="en-US" w:eastAsia="en-US" w:bidi="ar-SA"/>
        </w:rPr>
        <w:t>Victoria Grey</w:t>
      </w:r>
      <w:r>
        <w:rPr>
          <w:rFonts w:ascii="arial" w:eastAsia="arial" w:hAnsi="arial" w:cs="arial"/>
          <w:color w:val="000000"/>
          <w:sz w:val="20"/>
          <w:lang w:val="en-US" w:eastAsia="en-US" w:bidi="ar-SA"/>
        </w:rPr>
        <w:t xml:space="preserve">, at pp. 46-47; </w:t>
      </w:r>
      <w:r>
        <w:rPr>
          <w:rFonts w:ascii="arial" w:eastAsia="arial" w:hAnsi="arial" w:cs="arial"/>
          <w:i/>
          <w:color w:val="000000"/>
          <w:sz w:val="20"/>
          <w:lang w:val="en-US" w:eastAsia="en-US" w:bidi="ar-SA"/>
        </w:rPr>
        <w:t>Shaw Cablesystems Ltd. v. Concord Pacific Group Inc.</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2009 BCSC 203</w:t>
        </w:r>
      </w:hyperlink>
      <w:r>
        <w:rPr>
          <w:rFonts w:ascii="arial" w:eastAsia="arial" w:hAnsi="arial" w:cs="arial"/>
          <w:color w:val="000000"/>
          <w:sz w:val="20"/>
          <w:lang w:val="en-US" w:eastAsia="en-US" w:bidi="ar-SA"/>
        </w:rPr>
        <w:t xml:space="preserve"> at para. 8. The court will not give its sanction to amendments which violate the rules that govern pleadings. These include the requirements relating to conciseness and the pleading of material facts (Rule 3-1(2)(a)); that a pleading must not contain the evidence by which the facts alleged in it are to be proved (Rule 3-7(1)); that a party must not plead an allegation of fact inconsistent with the party's previous pleading, although a party is permitted to plead in the alternative (Rule 3-7(6) and (7)); the requirement to provide particulars (Rule 3-7(18)); and the prohibition against pleadings which disclose no reasonable claim or are otherwise scandalous, frivolous or vexatious or embarrassing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arbitrator concluded that the proposed amendments were not necessary "to determine the real issues between the parties" (arbitrator's decision at p. 11). It cannot be said, in my view, that his decision to refuse the amendments was an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note that the arbitrator added, after reaching his decision not to permit the amendments, a postscript to the following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might also add that it is a serious matter to allege fraud, even civil fraud, without some substantive evidence that there has been fraud in fact. Here, there is no more than the bare allegation of fraud based on the speculative belief that there "may" not "must" have been a kick back received by the Respondents from PC Contracting. That is not sufficient to support even the pleading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petitioners argue that this observation amounts to a consideration of the evidence or lack of evidence said to support a proposed amendment. To the extent this is so, the arbitrator erred in law because, as was pointed out by Huddart J.A. in </w:t>
      </w:r>
      <w:r>
        <w:rPr>
          <w:rFonts w:ascii="arial" w:eastAsia="arial" w:hAnsi="arial" w:cs="arial"/>
          <w:i/>
          <w:color w:val="000000"/>
          <w:sz w:val="20"/>
          <w:lang w:val="en-US" w:eastAsia="en-US" w:bidi="ar-SA"/>
        </w:rPr>
        <w:t>Canada (Attorney General) v. Ellis-Don Ltd.</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2000 BCCA 111</w:t>
        </w:r>
      </w:hyperlink>
      <w:r>
        <w:rPr>
          <w:rFonts w:ascii="arial" w:eastAsia="arial" w:hAnsi="arial" w:cs="arial"/>
          <w:color w:val="000000"/>
          <w:sz w:val="20"/>
          <w:lang w:val="en-US" w:eastAsia="en-US" w:bidi="ar-SA"/>
        </w:rPr>
        <w:t xml:space="preserve"> at para. 7, in determining whether to allow an amendment, the facts pleaded are to be taken as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I agree that the arbitrator erred in considering or weighing whether there was evidence to support the alleged amendments, I do not agree that this error amounts to an error of law in the sense that phrase is understood in this context. More specifically, this error was not material to his decision. He decided the issue on the basis of the considerations that were to guide his discretion under Rule 22. There is no basis to conclude that the exercise of his discretion would have been any different had he not included the evidentiary postscript.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second error to which the petitioners point in relation to the refusal by the arbitrator to permit the amendments is similar to the first one. The petitioners argue that: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did not apply the correct legal test in determining whether to allow the amendment to the pleadings to allege fraud, which is that such amendments be allowed provided the applicant is not acting in bad faith and no prejudice would result to the other side which would [sic] not be compensable in costs. This was a failure to apply correct legal test and thus erred [sic]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do not agree that the "correct legal test" to be applied in determining whether to allow an amendment involves a presumption that amendments are permissible provided they are not sought in bad faith and that no prejudice would result. I take the rule to be as the petitioners set out at paragraph 33 of their argument that amendments can properly be refused if they give rise to prejudice or they would be "useless". As Rowles J.A. pointed out in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(1996), 21 B.C.L.R. (3d) 145</w:t>
        </w:r>
      </w:hyperlink>
      <w:r>
        <w:rPr>
          <w:rFonts w:ascii="arial" w:eastAsia="arial" w:hAnsi="arial" w:cs="arial"/>
          <w:color w:val="000000"/>
          <w:sz w:val="20"/>
          <w:lang w:val="en-US" w:eastAsia="en-US" w:bidi="ar-SA"/>
        </w:rPr>
        <w:t xml:space="preserve"> (C.A.) at para. 34, "the rationale for allowing amendments is to enable the real issues to be determined". Amendments which do not advance or serve that rationale can properly be refused. The arbitrator explained why he was of the view that the amendments sought were not necessary to determine the real issues between the parties. It cannot be said that there is something more than an arguable point to the effect that he erred in law in so concluding. Accordingly, I would not grant leave on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final alleged error to which the petitioners point relates to the manner in which the arbitrator characterized the petitioners' claims. At page 8,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alleged self-dealing, in my view, boils down to no more than a claim for improper performance by the Respondents in arranging trade contracts for the construction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petitioners argue that implicit in this conclusion is a determination that the allegations did not, as a matter of law, amount to fraud. They point out that the taking of secret profits is or can be an act of fraud as was noted by Sullivan J.A. in </w:t>
      </w:r>
      <w:r>
        <w:rPr>
          <w:rFonts w:ascii="arial" w:eastAsia="arial" w:hAnsi="arial" w:cs="arial"/>
          <w:i/>
          <w:color w:val="000000"/>
          <w:sz w:val="20"/>
          <w:lang w:val="en-US" w:eastAsia="en-US" w:bidi="ar-SA"/>
        </w:rPr>
        <w:t>Vertlieb Anderson v. Nelford</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(1992), 67 B.C.L.R. (2d) 365</w:t>
        </w:r>
      </w:hyperlink>
      <w:r>
        <w:rPr>
          <w:rFonts w:ascii="arial" w:eastAsia="arial" w:hAnsi="arial" w:cs="arial"/>
          <w:color w:val="000000"/>
          <w:sz w:val="20"/>
          <w:lang w:val="en-US" w:eastAsia="en-US" w:bidi="ar-SA"/>
        </w:rPr>
        <w:t xml:space="preserve"> (C.A.)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to this proposition, I note two matters. First, the impugned observation was made in the context of his consideration of whether the relationship between the parties required the assistance of equity by the imposition of fiduciary obligations. He did not deny the amendments on the basis that the allegations did not amount to allegations of fraud. Second, for the reasons already noted, the arbitrator, in the exercise of his discretion, concluded that the proposed amendments were not necessary to permit the resolution of the issues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summary, even if the arbitrator erred in the manner in which he characterized what he referred to as "self-dealing", that characterization was not material to his decision on whether to permit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am not persuaded that the petitioners have raised questions that meet the requirements of s. 31(2)(a) of the </w:t>
      </w:r>
      <w:r>
        <w:rPr>
          <w:rFonts w:ascii="arial" w:eastAsia="arial" w:hAnsi="arial" w:cs="arial"/>
          <w:i/>
          <w:color w:val="000000"/>
          <w:sz w:val="20"/>
          <w:lang w:val="en-US" w:eastAsia="en-US" w:bidi="ar-SA"/>
        </w:rPr>
        <w:t>Arbitration Act</w:t>
      </w:r>
      <w:r>
        <w:rPr>
          <w:rFonts w:ascii="arial" w:eastAsia="arial" w:hAnsi="arial" w:cs="arial"/>
          <w:color w:val="000000"/>
          <w:sz w:val="20"/>
          <w:lang w:val="en-US" w:eastAsia="en-US" w:bidi="ar-SA"/>
        </w:rPr>
        <w:t>, and thus I am unable to grant leave to appeal. The petition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respondents are entitled to their costs at Scale B of 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Thomson v. A.R. Thomson Group, [2018] B.C.J. No. 357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23-24,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S158569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322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Lisa Thomson, Plaintiff, and A.R. Thomson Group,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8"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8" w:name="Keywords_8"/>
      <w:bookmarkEnd w:id="58"/>
      <w:r>
        <w:rPr>
          <w:rFonts w:ascii="arial" w:eastAsia="arial" w:hAnsi="arial" w:cs="arial"/>
          <w:b/>
          <w:color w:val="000000"/>
          <w:sz w:val="20"/>
          <w:lang w:val="en-US" w:eastAsia="en-US" w:bidi="ar-SA"/>
        </w:rPr>
        <w:t>Civil Litigation — Civil procedure — Pleadings — Amendment of — Statement of claim — To raise additional issues — Striking out pleadings or allegations — Grounds — False, frivolous, vexatious or abuse of process — Appeals — From Master's decisions — Appeal by plaintiff from Master's dismissal of application to amend statement of claim and add defendant allowed in part — Plaintiff was joint owner with spouse of corporation that held partnership interest in partnership — Plaintiff and spouse separated — Partnership bought out interest of corporation — Plaintiff commenced action for new partnership interest — Plaintiff sought to amend claim but most amendments were refused by master as abuse of process — Master's determination was correct — Plaintiff deposed to facts in earlier action and family law proceeding that were inconsistent with claims in action — Housekeeping amendments were allowed — Limitation Act, s. 3(5).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9" w:name="Case Summary_7"/>
            <w:bookmarkEnd w:id="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Lisa Thomson from parts of a master's decision dismissing her application to amend her notice of civil claim and add Al Thomson as a defendant. A.R. Thomson Group (Group) was a B.C. partnership engaged in the business of manufacturing and distributing industrial seals, gaskets and related products. The partners of Group were companies owned by Thomson, her parents and four siblings. Until May 2013, Thomson and her former spouse, Gordon Taylor, jointly owned LLT Holdings Inc. (LLT), which owned 550934 B.C. Ltd. (934). Until April 2010, 934 owned a 15 per cent partnership interest in Group. Thomson and Taylor separated in 2005. At that time, Taylor was a vice-president of Group. He resigned that position in 2007 and started a competing business. The other directors passed a special resolution forcing 934 to withdraw from Group. 934 was paid approximately $1.8 million for its partnership interest. Taylor commenced an action in the name of 934 and LLT against Group, a related partnership and Thomson, claiming 934 had been wrongfully forced to withdraw from Group and that the payment made was not fair. The Taylor action was settled and Taylor became the sole director and shareholder of LLT and the sole director of 934. Thomson commenced an action claiming that there was a binding agreement that Group would sell her a replacement partnership interest. Thomson brought an application to add 934 and LLT as plaintiffs, Al Thomson as a defendant, and leave to amend the notice of civil claim. The master declined to add Al Thomson as a defendant because of a limitations issue. The master found most the proposed amendments were an abuse of process because they reflected positions inconsistent with earlier proceedings. The addition of 934 and LLT as plaintiffs was allowed. The appeal challenged the master's refusal to add Al Thomson as a defendant and the finding that most of the amendments were an abuse of process.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0" w:name="Holdings of Court_6"/>
            <w:bookmarkEnd w:id="60"/>
            <w:r>
              <w:rPr>
                <w:rFonts w:ascii="arial" w:eastAsia="arial" w:hAnsi="arial" w:cs="arial"/>
                <w:color w:val="000000"/>
                <w:sz w:val="20"/>
                <w:lang w:val="en-US" w:eastAsia="en-US" w:bidi="ar-SA"/>
              </w:rPr>
              <w:t>HELD: Appeal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master correctly found that the proposed amendments were, in the main, an abuse of process. The affidavits and pleadings filed by Thomson in the Taylor action and in her family law proceeding, showed she deposed to facts that were entirely inconsistent with her claims regarding the alleged reinstatement agreement and 934 receiving less than the fair market value for its partnership interest following its withdrawal from Group. She explicitly said in the family law proceeding that there was no agreement to reinstate her to Group. Certain amendments that were in the nature of housekeeping were allowed.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1" w:name="Legislation Cited_6"/>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9"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161" w:history="1">
        <w:r>
          <w:rPr>
            <w:rFonts w:ascii="arial" w:eastAsia="arial" w:hAnsi="arial" w:cs="arial"/>
            <w:i/>
            <w:color w:val="0077CC"/>
            <w:sz w:val="20"/>
            <w:u w:val="single"/>
            <w:shd w:val="clear" w:color="auto" w:fill="FFFFFF"/>
            <w:lang w:val="en-US" w:eastAsia="en-US" w:bidi="ar-SA"/>
          </w:rPr>
          <w:t>S.B.C. 2012, c. 13, s. 3</w:t>
        </w:r>
      </w:hyperlink>
      <w:r>
        <w:rPr>
          <w:rFonts w:ascii="arial" w:eastAsia="arial" w:hAnsi="arial" w:cs="arial"/>
          <w:color w:val="000000"/>
          <w:sz w:val="20"/>
          <w:lang w:val="en-US" w:eastAsia="en-US" w:bidi="ar-SA"/>
        </w:rPr>
        <w:t>(5)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Civil Procedure, Rule 9-5(1)</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an order of a Master of the Supreme Court of British Columbia, dated August 11, 2017 (</w:t>
            </w:r>
            <w:r>
              <w:rPr>
                <w:rFonts w:ascii="arial" w:eastAsia="arial" w:hAnsi="arial" w:cs="arial"/>
                <w:i/>
                <w:color w:val="000000"/>
                <w:sz w:val="20"/>
                <w:lang w:val="en-US" w:eastAsia="en-US" w:bidi="ar-SA"/>
              </w:rPr>
              <w:t>Thomson v. A.R. Thomson Group</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2017 BCSC 1414</w:t>
              </w:r>
            </w:hyperlink>
            <w:r>
              <w:rPr>
                <w:rFonts w:ascii="arial" w:eastAsia="arial" w:hAnsi="arial" w:cs="arial"/>
                <w:color w:val="000000"/>
                <w:sz w:val="20"/>
                <w:lang w:val="en-US" w:eastAsia="en-US" w:bidi="ar-SA"/>
              </w:rPr>
              <w:t xml:space="preserve">, Vancouver Registry No. S158569).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2" w:name="Counsel_8"/>
      <w:bookmarkEnd w:id="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D.H. Coles.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R.B. Fraser, A.J. Piercy.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3" w:name="Judgment_8"/>
      <w:bookmarkEnd w:id="63"/>
      <w:r>
        <w:pict>
          <v:line id="_x0000_s1071"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4" w:name="M.L. FLEMING J."/>
            <w:bookmarkEnd w:id="64"/>
            <w:r>
              <w:rPr>
                <w:rFonts w:ascii="arial" w:eastAsia="arial" w:hAnsi="arial" w:cs="arial"/>
                <w:b/>
                <w:color w:val="000000"/>
                <w:sz w:val="30"/>
                <w:lang w:val="en-US" w:eastAsia="en-US" w:bidi="ar-SA"/>
              </w:rPr>
              <w:t>M.L. FLEMING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Lisa Thomson appeals parts of a master's decision dismissing her application to amend her notice of civil claim and add Al Thomson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A.R. Thomson Group ("ARTG") is a BC partnership engaged in the business of manufacturing and distributing industrial seals, gaskets and related products, which was started by A.R. Thomson Ltd. ("ART"). The appellant's parents, Al and Pat Thomson, own ART. ARTG was formed in 1997, and is governed by a written partnership agreement ("Partnership Agreement"). The partners of ARTG are companies owned by companies owned by the plaintiff, her parents, and four siblings. For example, Al and Pat Thomson own Murrayville Holdings Ltd., which owns ART, which owns an interest in ARTG.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Under the Partnership Agreement: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"partner" includes the named corporate partners and any other person admitted as a partner pursuant to the terms of the agreement;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admission of a new partner requires the approval of the existing partners by way of special resolution, as does the making of an agreement by ARTG outside the ordinary course of business;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ART is the managing partner;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partner agrees to provide management services to the partnership through their respective principals;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 Thomson is the principal of ART and Ms. Thomson is the principal of 550934 B.C. Ltd. ("934");</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934's obligation is to provide management services described as assisting the managing partner;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partners agree their principals will not compete with the business of ARTG while a partner or for two years after ceasing to be a partner;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a partner is in default of the Partnership Agreement, and the default is not properly cured after notice is given, the other partners may, by special resolution, require the defaulting partner to withdraw from the partnership;</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withdrawal is deemed to occur 60 days after the special resolution is passed, and the withdrawn partner ceases to be a partner and has no further interest in the partnership;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partnership pays a former partner in full satisfaction of its partnership interest an amount determined by a formula that includes as a variable the fair value of the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Until May 2013, Ms. Thomson and her former spouse, Gordon Taylor, jointly owned LLT Holdings Inc. ("LLT"), an Alberta company, which owned 934. Until April 2010, 934 owned a 15% partnership interest in ARTG, equal to the interest of the other corporate partners owned by the companies owned by each of the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Thomson and Mr. Taylor separated in 2005. At that time, he was the vice president of ARTG and responsible for operating a portion of the business in Alberta. In 2007, he resigned from his position with ARTG and, according to the appellant, "launched a separate business in the same industry". The appellant, her brother James Thomson, and Mr. Taylor were directors of 934, and she and Mr. Taylor were the directors of LLT.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Pursuant to the Partnership Agreement, the other partners gave notice that 934 was in default based on Mr. Taylor's other business. In February 2010, they passed a special resolution forcing 934 to withdraw from ARTG, which was deemed to occur 60 days later. 934 was paid approximately $1.8 million for its partnership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January 2010, Mr. Taylor commenced an action in the name of 934 and LLT against ARTG, a related partnership and the appellant, claiming 934 had been wrongfully forced to withdraw from ARTG, that the payment provided was not fair market value, and money belonging to 934 had been improperly paid to the appellant ("Taylor Action"). Not having the consent of the other directors of 934 and LLT - Ms. Thomson and James Thomson - Mr. Taylor was required to seek leave to commence a derivative proceeding, which both of them opposed. In September 2012, Mr. Taylor was granted leave to bring some of the claims advanced in the Taylor Action. In or about May 2013, the Taylor Action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Subsequently, Ms. Thomson became the sole director and shareholder of LLT and the sole director of 934.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the Taylor Action was underway, the appellant and Mr. Taylor were also involved in a family law action ("Family Law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appellant commenced this action on October 16, 2015. At the heart of her claim is the allegation that in November 2009, immediately after 934 was notified of the other partners' intention to force it to withdraw from ARTG, she and Al Thomson, on behalf of ARTG, entered into a binding agreement that ARTG would sell her a replacement partnership interest, through 934 or another corporate vessel, for the amount paid to terminate 934's interest, following Mr. Taylor's final removal "from the ownership of ARTG" ("Reinstatement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notice of civil claim also pleads: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urging of Mr. Thomson and relying on the Reinstatement Agreement, the appellant took no steps to oppose the termination of 934, she did not seek indemnification from Mr. Taylor for the losses 934 suffered as a result, and she assisted ARTG during the Taylor Action, supporting its position;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 934 received from ARTG was significantly less than the fair market value of its partnership stake;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Reinstatement Agreement was confirmed repeatedly by the "principals" of ARTG during particular meetings, discussions, and correspondence;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ARTG never proposed precise terms for reinstating the partnership interest, and communications between the appellant and her family members broke around April 2015;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ARTG then denied entering into any binding agreement or any obligation to reinstate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its response to civil claim, ARTG alleged that 934 was paid for its partnership interest based on the formula set out in the Partnership Agreement. In addition to denying the existence of the Reinstatement Agreement, ARTG pleaded in the alternative that no binding agreement could have been reached to restore the appellant to the partnership absent a special resolution based on the terms of the Partnership Agreement, which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ARTG also alleged that although it operated as a family business managed by Mr. Thomson and supported by the other siblings, the appellant never provided any services and did not have a right to be a partner. During the course of the Taylor Action, Mr. and Mrs. Thomson and the four siblings were willing to consider the appellant becoming a partner once again after the lawsuit ended, but the basis on which this might occur was never settled. In particular, there were issues with the size of the interest she might acquire, the amount of capital required, how to address the fact she did not provide any services to the partnership, and whether she would have the right to vote on partnership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January 30, 2017, the appellant brought an application seeking to add 934 and LLT as plaintiffs, Al Thomson as a defendant, as well as, leave to amend the notice of civil claim. The proposed amendments fundamentally changed the nature of the Reinstatement Agreement to allege it had been agreed 934's interest would continue to exist, rather than be terminated, and held on trust by ARTG for one or more of the appellant, 934, or LLT ("Reconstituted Reinstatement Agreement"). Other proposed amendments involved claims of breach of express trust, resulting trust, constructive trust, breach of fiduciary duty by ARTG and Mr. Thomson, unjust enrichment, and an alternative claim of negligent and fraudulent misrepresentation, against Mr. Thomson, all with respect to the Reinstatement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ARTG opposed the application on multiple grounds, including the amendments failed to disclose a reasonable claim or plead required elements of the cause(s) of action, they were unclear and confusing, and significantly, they constituted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Regarding the issue of an abuse of process, ARTG argued both the notice of civil claim as originally pleaded and the proposed amendments directly contradicted the appellant's positions set out in affidavits and pleadings filed in the Taylor Action and the Family Law Proceeding. In the Taylor Action, Ms. Thomson asserted the Partnership Agreement was binding on 934, Mr. Taylor's competing business was a breach of the Partnership Agreement that caused 934 financial harm and properly resulted in 934 being withdrawn from the partnership, 934 was dealt with in a fair manner and paid all that it was entitled to under the Partnership Agreement, and her financial interest in 934 and incentive to maximize its value, were the same as those of Mr. Taylor. In 2011, in the Family Law Proceeding, the appellant swore and filed an affidavit in which she deposed she was </w:t>
      </w:r>
      <w:r>
        <w:rPr>
          <w:rFonts w:ascii="arial" w:eastAsia="arial" w:hAnsi="arial" w:cs="arial"/>
          <w:i/>
          <w:color w:val="000000"/>
          <w:sz w:val="20"/>
          <w:lang w:val="en-US" w:eastAsia="en-US" w:bidi="ar-SA"/>
        </w:rPr>
        <w:t>going to seek approval from ARTG</w:t>
      </w:r>
      <w:r>
        <w:rPr>
          <w:rFonts w:ascii="arial" w:eastAsia="arial" w:hAnsi="arial" w:cs="arial"/>
          <w:color w:val="000000"/>
          <w:sz w:val="20"/>
          <w:lang w:val="en-US" w:eastAsia="en-US" w:bidi="ar-SA"/>
        </w:rPr>
        <w:t xml:space="preserve"> to buy back into the family business, meaning there was at that point no binding agreement to reinstate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ARTG also argued issue estoppel with respect to any allegation 934 was not compensated fairly, given Mr. Taylor made the same claim in the Taylor Action, which was concluded by way of a settlement and consent dismissal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ARTG's many arguments regarding the deficiencies in the proposed amendments were, in summary: the appellant had not pleaded any material facts to explain how 934's partnership interest could continue to exist and be held in trust following the forced withdrawal of its interest pursuant to the Partnership Agreement; the trust claim failed to disclose a recognizable claim and failed to plead the three requirements of an express trust; various amendments failed to acknowledge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(1843), 67 E.R. 189, and the Salmon principle, by treating LLT, 934, and the appellant as a single legal entity and seeking to pierce the corporate veil, without alleging the required factual foundation and engaging in a "bizarre reversal" of the concept only permissible where a company is being used by an individual to commit fraud; and failing to plead that she had the authority to make the Reinstatement Agreement on behalf of 934 and LLT.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ARTG argued this same issue plagued the proposed claims that ARTG and Mr. Thomson owed a fiduciary duty to the appellant in relation to the Reinstatement Agreement. ARTG took the position the proposed breach of fiduciary duty claims were also inconsistent with the existing claims because the appellant had failed to plead them in the alternative to the claim the Reinstatement Agreement was legally enforceable, in addition to failing to plead facts that would establish Mr. Thomson had discretionary authority over the appellant's interests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Reinstatement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Regarding the proposed amendments directed at Mr. Thomson alone, ARTG complained the appellant had pled no facts in support of the claim he fraudulently or negligently misrepresented his authority to enter into the Reinstatement Agreement. ARTG also complained the appellant had failed to allege material facts for any of the required elements of a pleading of negligent misrepresentation, and the claim of fraud was not supported by particulars, as required by Rule 3-7(18), such as an allegation Mr. Thomson actually told the appellant he had the requisite authority to enter into the Reinstatement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Finally, ARTG raised a limitation issue with respect to the application to add Mr. Thomson as a party. ARTG argued the six-year limitation period that applied to the negligent misrepresentation and fraud claims pursuant to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meant the claims were statute barred as of November 2016, because, as a director and principal of a partner, the appellant knew the limits on Mr. Thomson's authority to act on behalf of the partnership when the Reinstatement Agreement was allegedly made. The Partnership Agreement, which she discussed in an affidavit sworn in the Taylor Action on November 9, 2010, required the passing of a special resolution before adding a partner or making an agreement that falls outside of the ordinary course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appellant did not adduce any evidence in response to ARTG's evidence of the positions she took in the Taylor Action and the Family Law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hearing before the Master took place over two days, on April 11, 2017 and July 6, 2017. His reasons for judgment, issued on August 11, 2017, are indexed at </w:t>
      </w:r>
      <w:hyperlink r:id="rId162" w:history="1">
        <w:r>
          <w:rPr>
            <w:rFonts w:ascii="arial" w:eastAsia="arial" w:hAnsi="arial" w:cs="arial"/>
            <w:i/>
            <w:color w:val="0077CC"/>
            <w:sz w:val="20"/>
            <w:u w:val="single"/>
            <w:shd w:val="clear" w:color="auto" w:fill="FFFFFF"/>
            <w:lang w:val="en-US" w:eastAsia="en-US" w:bidi="ar-SA"/>
          </w:rPr>
          <w:t>2017 BCSC 1414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discussing the background and the positions taken by the parties in some detail,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 agree with practically all of Mr. Fraser's submissions and conclude therefore that the application must be dismissed. Firstly, I agree that there is a live argument that Ms. Thomson's proposed claims against Mr. Thomson in person are barred by limitations and that rather than inferentially ignore that issue by permitting the amendments the plaintiff, should it choose, ought to commence separate proceedings wherein the issue can be properly joined. As I said above, much was made by both parties of the terms and application of the partnership agreement and whether or not Ms. Thomson would have known of them or been bound by them. That, it seems to me, is the nub of the limitations argument and should be properly and directly joined, if she wishes, in a separate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 also agree that the proposed amendments are, in the main, an abuse of process. The evidence (primarily established by the exhibits to Ms. Alexander's Affidavit #3) is that 934 (and Ms. Thomson, thereby, to the extent of her interest in 934) was fully and properly compensated for its removal from ARTG. For Ms. Thomson or 934 to plead to the contrary is to abuse the process. Tied to this is Mr. Fraser's argument respecting the fundamentals of a trust; since 934's interest has been fully compensated, it is difficult, if not impossible, to understand how a </w:t>
      </w:r>
      <w:r>
        <w:rPr>
          <w:rFonts w:ascii="arial" w:eastAsia="arial" w:hAnsi="arial" w:cs="arial"/>
          <w:i/>
          <w:color w:val="000000"/>
          <w:sz w:val="20"/>
          <w:lang w:val="en-US" w:eastAsia="en-US" w:bidi="ar-SA"/>
        </w:rPr>
        <w:t>corpus</w:t>
      </w:r>
      <w:r>
        <w:rPr>
          <w:rFonts w:ascii="arial" w:eastAsia="arial" w:hAnsi="arial" w:cs="arial"/>
          <w:color w:val="000000"/>
          <w:sz w:val="20"/>
          <w:lang w:val="en-US" w:eastAsia="en-US" w:bidi="ar-SA"/>
        </w:rPr>
        <w:t xml:space="preserve"> of a trust exists.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 am less concerned by the internal inconsistencies (para. 16 above) than I am by the essential deficiencies in the proposed amendments. I agree with Mr. Fraser that they lack essential and required factual bases, particularly where allegations of fraud (i.e. fraudulent misrepresentation) are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 was referred at length to the transcript of Mr. Thomson's examination for discovery, but it seems to me that that evidence only establishes what the defendant has already acknowledged, i.e., that there was always some contemplation, perhaps even an intention, of Ms. Thomson or her company re-entering ARTG but that, as the defendant alleges, in its view, at least, important elements of that had never been established or agreed-to.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addition of plaintiffs seems to me to be more in the nature of housekeeping and was not seriously opposed by the defendant or Mr. Thomson. The balance of the application, however, seeking to add Mr. Thomson and to amend the NOCC (other than to properly involve the new plaintiffs in respect of the existing claim) is dismissed with costs to the defendant and to Mr. Thomson.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Following the decision, the appellant commenced a separate action against Mr. Thomson.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August 25, 2017, she filed a notice of appeal setting out nine grounds of appeal. The first two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learned Master erred in law or was otherwise clearly wrong in refusing to admit the proposed amendments related to Al Thomson personally on the basis of a potential limitation period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learned Master erred in law or was otherwise clearly wrong in deciding that the proposed amendments were "in the main"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remaining grounds assert the Master erred in law or was clearly wrong in dismissing various categories of amendments including those related to "misrepresentation, "ratification", "breach of fiduciary duty", "agency", "partnership"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and "miscellaneous".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her statement of argument, filed September 1, 2017, Ms. Thomson clarified she was not appealing the Master's decision to refuse the "breach of trust" or "unjust enrichment"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August 30, 2017, the Master decided a separate application brought by ARTG, and granted orders allowing the issue of liability to be heard first, striking the estoppel portions of the notice of civil claim, and permitting ARTG to further amend its amended response to civil claim to add an alternative pleading alleging the appellant's claims are an abuse of process. The appellant did not appeal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Not long before the appeal, Ms. Thomson delivered to the respondent the proposed amended notice of civil claim absent the refused proposed amendments she was not appealing and the estoppel provisions, but adding a claim for damages against Mr. Thomson for fraud and misrepresentation ("PANCC").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outset of the hearing, ARTG argued the appeal was brought improperly because the PANCC was not the same as the proposed pleading before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Certainly, the application materials demonstrate ARTG focused on the Reconstituted Reinstatement Agreement with respect to the abuse of process argument made before the Master. In my view, subsequently abandoning those amendments did not render an appeal with respect to the remaining amendments and the addition of Mr. Thomson "wholly misconceived". Instead, hearing an appeal based on the PANCC is comparable to allowing a new issue on appeal, to the extent the Master's decision regarding an abuse of process was made in relation to the Reconstituted Reinstatement Agreement and a broader constellation of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Although as a general rule, appeal courts are reluctant to entertain a new issue on appeal, the issue may be considered where the relevant evidence is found in the record and there is no prejudice to the respondent (see for example: </w:t>
      </w:r>
      <w:r>
        <w:rPr>
          <w:rFonts w:ascii="arial" w:eastAsia="arial" w:hAnsi="arial" w:cs="arial"/>
          <w:i/>
          <w:color w:val="000000"/>
          <w:sz w:val="20"/>
          <w:lang w:val="en-US" w:eastAsia="en-US" w:bidi="ar-SA"/>
        </w:rPr>
        <w:t>Devine v. Devine</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2012 BCCA 509</w:t>
        </w:r>
      </w:hyperlink>
      <w:r>
        <w:rPr>
          <w:rFonts w:ascii="arial" w:eastAsia="arial" w:hAnsi="arial" w:cs="arial"/>
          <w:color w:val="000000"/>
          <w:sz w:val="20"/>
          <w:lang w:val="en-US" w:eastAsia="en-US" w:bidi="ar-SA"/>
        </w:rPr>
        <w:t xml:space="preserve">, at para. 45, and </w:t>
      </w:r>
      <w:r>
        <w:rPr>
          <w:rFonts w:ascii="arial" w:eastAsia="arial" w:hAnsi="arial" w:cs="arial"/>
          <w:i/>
          <w:color w:val="000000"/>
          <w:sz w:val="20"/>
          <w:lang w:val="en-US" w:eastAsia="en-US" w:bidi="ar-SA"/>
        </w:rPr>
        <w:t>Suen v. Suen</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2013 BCCA 313</w:t>
        </w:r>
      </w:hyperlink>
      <w:r>
        <w:rPr>
          <w:rFonts w:ascii="arial" w:eastAsia="arial" w:hAnsi="arial" w:cs="arial"/>
          <w:color w:val="000000"/>
          <w:sz w:val="20"/>
          <w:lang w:val="en-US" w:eastAsia="en-US" w:bidi="ar-SA"/>
        </w:rPr>
        <w:t>, at para. 67). I am satisfied those circumstances exist here. Although the respondent was not provided with the PANCC until shortly before the appeal was heard, the appellant's statement of argument filed months earlier outlined the proposed amendments that were subject to appeal. No concern was raised about the state of the record, which, in any event, allows me to make a fresh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agree with the respondent, however, that I should not consider any truly new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leading authority on the standard of review regarding an appeal from a master's decision remains </w:t>
      </w:r>
      <w:r>
        <w:rPr>
          <w:rFonts w:ascii="arial" w:eastAsia="arial" w:hAnsi="arial" w:cs="arial"/>
          <w:i/>
          <w:color w:val="000000"/>
          <w:sz w:val="20"/>
          <w:lang w:val="en-US" w:eastAsia="en-US" w:bidi="ar-SA"/>
        </w:rPr>
        <w:t>Abermin Corp v. Granges Exploration Ltd</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Abermin</w:t>
      </w:r>
      <w:r>
        <w:rPr>
          <w:rFonts w:ascii="arial" w:eastAsia="arial" w:hAnsi="arial" w:cs="arial"/>
          <w:color w:val="000000"/>
          <w:sz w:val="20"/>
          <w:lang w:val="en-US" w:eastAsia="en-US" w:bidi="ar-SA"/>
        </w:rPr>
        <w:t xml:space="preserve"> provides that a review of a purely interlocutory decision is a true appeal, and the master's decision is not to be interfered with unless it is clearly wrong. Where the decision raises questions vital to the final issue in the case, or results in a final order within the master's jurisdiction, the standard of correctness applies, and the appeal proceeds on a re-hearing based on the record before the master. The same is true for questions of law (see: </w:t>
      </w:r>
      <w:r>
        <w:rPr>
          <w:rFonts w:ascii="arial" w:eastAsia="arial" w:hAnsi="arial" w:cs="arial"/>
          <w:i/>
          <w:color w:val="000000"/>
          <w:sz w:val="20"/>
          <w:lang w:val="en-US" w:eastAsia="en-US" w:bidi="ar-SA"/>
        </w:rPr>
        <w:t>Ralph's Auto Supply (B.C.) Ltd. v. Ken Ransford Holding Ltd.</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2011 BCSC 999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parties disagree about the applicable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the notice of appeal alleges errors of law, the appellant argued the "re-hearing" standard applies for other reasons, namely because the proposed amendments are vital to the final issues in the case and the order is final in so far as the Master's decision disposed of her right to pursue various claims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support of her position, Ms. Thomson relied on </w:t>
      </w:r>
      <w:r>
        <w:rPr>
          <w:rFonts w:ascii="arial" w:eastAsia="arial" w:hAnsi="arial" w:cs="arial"/>
          <w:i/>
          <w:color w:val="000000"/>
          <w:sz w:val="20"/>
          <w:lang w:val="en-US" w:eastAsia="en-US" w:bidi="ar-SA"/>
        </w:rPr>
        <w:t>Bell v. River Rock Lodge Corp.</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2011 BCSC 9</w:t>
        </w:r>
      </w:hyperlink>
      <w:r>
        <w:rPr>
          <w:rFonts w:ascii="arial" w:eastAsia="arial" w:hAnsi="arial" w:cs="arial"/>
          <w:color w:val="000000"/>
          <w:sz w:val="20"/>
          <w:lang w:val="en-US" w:eastAsia="en-US" w:bidi="ar-SA"/>
        </w:rPr>
        <w:t>, where Justice Pearlman concluded a master's refusal to add a defendant raised a question vital to the final issue in the case. The person to be added was an officer, director, and shareholder of one of the corporate defendants. What made the question of adding him vital was that another court had placed the corporate defendant in receivership and stayed all proceedings against it. The receiver then consented to lift the stay on the condition the plaintiffs would apply to amend their pleadings to limit the claims against the corporate defendant. Consequently, the plaintiffs were no longer maintaining causes of action against the corporate defendant, and intended to assert them against the proposed personal defendant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Clearly, the circumstances in </w:t>
      </w:r>
      <w:r>
        <w:rPr>
          <w:rFonts w:ascii="arial" w:eastAsia="arial" w:hAnsi="arial" w:cs="arial"/>
          <w:i/>
          <w:color w:val="000000"/>
          <w:sz w:val="20"/>
          <w:lang w:val="en-US" w:eastAsia="en-US" w:bidi="ar-SA"/>
        </w:rPr>
        <w:t>Bell</w:t>
      </w:r>
      <w:r>
        <w:rPr>
          <w:rFonts w:ascii="arial" w:eastAsia="arial" w:hAnsi="arial" w:cs="arial"/>
          <w:color w:val="000000"/>
          <w:sz w:val="20"/>
          <w:lang w:val="en-US" w:eastAsia="en-US" w:bidi="ar-SA"/>
        </w:rPr>
        <w:t xml:space="preserve"> are distinguishable from those regarding the appellant's application to add Mr. Thomson. Significantly, Pearlman J. also held the master's decision dismissing an application to amend pleadings was purely interlocutory and subject to the clearly wrong standard, consistent with the weight of the authorities provided to me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Although in general, the clearly wrong standard applies to decisions regarding pleading amendments and the addition of a party, decisions regarding an abuse of process appear to be reviewable on a correctness standard. Very recently, in </w:t>
      </w:r>
      <w:r>
        <w:rPr>
          <w:rFonts w:ascii="arial" w:eastAsia="arial" w:hAnsi="arial" w:cs="arial"/>
          <w:i/>
          <w:color w:val="000000"/>
          <w:sz w:val="20"/>
          <w:lang w:val="en-US" w:eastAsia="en-US" w:bidi="ar-SA"/>
        </w:rPr>
        <w:t>Glover v. Leakey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2018 BCCA 56</w:t>
        </w:r>
      </w:hyperlink>
      <w:r>
        <w:rPr>
          <w:rFonts w:ascii="arial" w:eastAsia="arial" w:hAnsi="arial" w:cs="arial"/>
          <w:color w:val="000000"/>
          <w:sz w:val="20"/>
          <w:lang w:val="en-US" w:eastAsia="en-US" w:bidi="ar-SA"/>
        </w:rPr>
        <w:t>, the Court of Appeal concluded the question of whether inconsistent pleadings "without more" amount to an abuse of process, is a question of law. Similarly, to the extent the PANCC raises circumstances comparable to a new issue on appeal, the re-hearing standard must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For the reasons that follow, I am dismissing the appeal, except as it relates to particular unopposed, miscellaneous amendments, in light of the Master's decision regarding an abuse of process applying the standard of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Applications for leave to amend pleadings are determined on the same basis as applications to strike existing pleadings under Rule 9-5(1), which reads in part: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Generally, the court takes a generous approach to allowing amendments. In the absence of actual prejudice, amendments will be permitted, as necessary, to determine the real issues between the parties. Applications to amend pleadings and to add a party are determined on the assumption the facts alleged in the pleadings can be established. Evidence may be adduced and considered, however, on the issue of prejudice or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It must be plain and obvious before a pleading will be struck for disclosing no reasonable claim or an abuse of process: </w:t>
      </w:r>
      <w:r>
        <w:rPr>
          <w:rFonts w:ascii="arial" w:eastAsia="arial" w:hAnsi="arial" w:cs="arial"/>
          <w:i/>
          <w:color w:val="000000"/>
          <w:sz w:val="20"/>
          <w:lang w:val="en-US" w:eastAsia="en-US" w:bidi="ar-SA"/>
        </w:rPr>
        <w:t>Glover v. Leakey</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2016 BCSC 1624</w:t>
        </w:r>
      </w:hyperlink>
      <w:r>
        <w:rPr>
          <w:rFonts w:ascii="arial" w:eastAsia="arial" w:hAnsi="arial" w:cs="arial"/>
          <w:color w:val="000000"/>
          <w:sz w:val="20"/>
          <w:lang w:val="en-US" w:eastAsia="en-US" w:bidi="ar-SA"/>
        </w:rPr>
        <w:t>, at para. 64. The same test applies on an application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will not, however, sanction amendments that violate the rules governing pleadings, including the requirements related to material facts and particulars.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addition to the power provided by Rule 9-5(1)(d), the court has inherent jurisdiction to prevent an abuse of process: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35. Abuse of process is a broad and flexible doctrine invoked in circumstances where permitting the litigation to proceed would violate principles of judicial economy, consistency, finality, and the integrity of the administration of justice (see also: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There is no question that taking inconsistent positions in different proceedings, or pursuing inconsistent claims, can constitute an abuse of process, and has led the courts to dismiss applications to add parties and amend pleadings: </w:t>
      </w:r>
      <w:r>
        <w:rPr>
          <w:rFonts w:ascii="arial" w:eastAsia="arial" w:hAnsi="arial" w:cs="arial"/>
          <w:i/>
          <w:color w:val="000000"/>
          <w:sz w:val="20"/>
          <w:lang w:val="en-US" w:eastAsia="en-US" w:bidi="ar-SA"/>
        </w:rPr>
        <w:t>Glover, First Majestic Silver Corp. v. Davila Santos</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2012 BCCA 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Pepper's Produce Ltd. v. Medallion Realty Ltd.</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2012 BCCA 247</w:t>
        </w:r>
      </w:hyperlink>
      <w:r>
        <w:rPr>
          <w:rFonts w:ascii="arial" w:eastAsia="arial" w:hAnsi="arial" w:cs="arial"/>
          <w:color w:val="000000"/>
          <w:sz w:val="20"/>
          <w:lang w:val="en-US" w:eastAsia="en-US" w:bidi="ar-SA"/>
        </w:rPr>
        <w:t xml:space="preserve">. Whether taking contrary positions on the same issues in separate proceedings, i.e. inconsistent pleadings, constitutes an abuse of process depends on the context and circumstances of each case: </w:t>
      </w:r>
      <w:r>
        <w:rPr>
          <w:rFonts w:ascii="arial" w:eastAsia="arial" w:hAnsi="arial" w:cs="arial"/>
          <w:i/>
          <w:color w:val="000000"/>
          <w:sz w:val="20"/>
          <w:lang w:val="en-US" w:eastAsia="en-US" w:bidi="ar-SA"/>
        </w:rPr>
        <w:t>Mystar Holdings Ltd. v. 247037 Alberta Ltd.</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2009 ABQB 480</w:t>
        </w:r>
      </w:hyperlink>
      <w:r>
        <w:rPr>
          <w:rFonts w:ascii="arial" w:eastAsia="arial" w:hAnsi="arial" w:cs="arial"/>
          <w:color w:val="000000"/>
          <w:sz w:val="20"/>
          <w:lang w:val="en-US" w:eastAsia="en-US" w:bidi="ar-SA"/>
        </w:rPr>
        <w:t xml:space="preserve">, at para. 53; </w:t>
      </w:r>
      <w:r>
        <w:rPr>
          <w:rFonts w:ascii="arial" w:eastAsia="arial" w:hAnsi="arial" w:cs="arial"/>
          <w:i/>
          <w:color w:val="000000"/>
          <w:sz w:val="20"/>
          <w:lang w:val="en-US" w:eastAsia="en-US" w:bidi="ar-SA"/>
        </w:rPr>
        <w:t>Stewart v. Clark</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2013 BCCA 359</w:t>
        </w:r>
      </w:hyperlink>
      <w:r>
        <w:rPr>
          <w:rFonts w:ascii="arial" w:eastAsia="arial" w:hAnsi="arial" w:cs="arial"/>
          <w:color w:val="000000"/>
          <w:sz w:val="20"/>
          <w:lang w:val="en-US" w:eastAsia="en-US" w:bidi="ar-SA"/>
        </w:rPr>
        <w:t>,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Pepper's Produce</w:t>
      </w:r>
      <w:r>
        <w:rPr>
          <w:rFonts w:ascii="arial" w:eastAsia="arial" w:hAnsi="arial" w:cs="arial"/>
          <w:color w:val="000000"/>
          <w:sz w:val="20"/>
          <w:lang w:val="en-US" w:eastAsia="en-US" w:bidi="ar-SA"/>
        </w:rPr>
        <w:t xml:space="preserve"> upheld a chambers decision denying the plaintiff's application to add an employee and a director of a company as defendants in an action related to the sale and purchase of the company, based on an abuse of process. The chambers judge had concluded the amended claim disclosed no reasonable claim and all of the claims against the company had been settled. On appeal, it was argued the plaintiff's application had constituted an abuse of process. The Court of Appeal agreed. Describing the positions taken by the plaintiff in the Supreme Court and a small claims action as diametrically opposed, Justice Levine concluded at para. 28, "These proceedings cannot, as a matter of protecting the integrity of the court's process, stand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Somewhat similar to the circumstances in this case, the plaintiff's representative in </w:t>
      </w:r>
      <w:r>
        <w:rPr>
          <w:rFonts w:ascii="arial" w:eastAsia="arial" w:hAnsi="arial" w:cs="arial"/>
          <w:i/>
          <w:color w:val="000000"/>
          <w:sz w:val="20"/>
          <w:lang w:val="en-US" w:eastAsia="en-US" w:bidi="ar-SA"/>
        </w:rPr>
        <w:t>Pepper's Produce</w:t>
      </w:r>
      <w:r>
        <w:rPr>
          <w:rFonts w:ascii="arial" w:eastAsia="arial" w:hAnsi="arial" w:cs="arial"/>
          <w:color w:val="000000"/>
          <w:sz w:val="20"/>
          <w:lang w:val="en-US" w:eastAsia="en-US" w:bidi="ar-SA"/>
        </w:rPr>
        <w:t xml:space="preserve"> had sworn an affidavit filed in a small claims action brought by the same proposed defendants, that they were not parties to the contract and he had never met or entered into a contract with either of them. The small claims action was dismissed at a pre-trial settlement conference. The plaintiff commenced the Supreme Court action naming the company, another director, and the realtors as defendants, which resulted in a settlement and a consent dismissal order as against the company and the director. The plaintiff then filed an amended statement of claim deleting the company and the director as defendants and describing another corporate entity as the seller before applying to add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Pepper's Produce</w:t>
      </w:r>
      <w:r>
        <w:rPr>
          <w:rFonts w:ascii="arial" w:eastAsia="arial" w:hAnsi="arial" w:cs="arial"/>
          <w:color w:val="000000"/>
          <w:sz w:val="20"/>
          <w:lang w:val="en-US" w:eastAsia="en-US" w:bidi="ar-SA"/>
        </w:rPr>
        <w:t xml:space="preserve"> discussed </w:t>
      </w:r>
      <w:r>
        <w:rPr>
          <w:rFonts w:ascii="arial" w:eastAsia="arial" w:hAnsi="arial" w:cs="arial"/>
          <w:i/>
          <w:color w:val="000000"/>
          <w:sz w:val="20"/>
          <w:lang w:val="en-US" w:eastAsia="en-US" w:bidi="ar-SA"/>
        </w:rPr>
        <w:t>Vanmills Establishment v. Coles</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(1992), 8 C.P.C. (3d) 178</w:t>
        </w:r>
      </w:hyperlink>
      <w:r>
        <w:rPr>
          <w:rFonts w:ascii="arial" w:eastAsia="arial" w:hAnsi="arial" w:cs="arial"/>
          <w:color w:val="000000"/>
          <w:sz w:val="20"/>
          <w:lang w:val="en-US" w:eastAsia="en-US" w:bidi="ar-SA"/>
        </w:rPr>
        <w:t xml:space="preserve"> (B.C.S.C.), where the plaintiff's claim was found to be an abuse of process because he was advancing inconsistent rights. In another action, the plaintiff had sued a former trustee in bankruptcy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alleging he had suffered damage and loss arising from the sale of particular shares, including his legal and beneficial interest. In the instant action commenced against the owner of the shares, the plaintiff alleged he retained a beneficial interest. The court granted the defendant's application to strike the claim, describing the plaintiff's allegations in the actions as diametrically opposed.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Thomson argues, on the one hand, the positions she has taken in the different proceedings are not inconsistent, and on the other, even a "serious evidentiary inconsistency" will not be "tantamount" to an abuse of process, given an abuse of process can only be found when a party takes positions that are diametrically opposed or irreconcilably inconsistent. Ultimately, she asserts the evidence before the Master was insufficient to support the conclusion the proposed amendments were an abuse of process, and he embarked on an impermissible weighing of that evidence. Ms. Thomson's submissions are simply incorrect to the extent they suggest the analysis necessary to properly determine an abuse of process can only occur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Thomson suggests the Master erred by conflating the Reinstatement Agreement and the special resolution passed to withdraw 934 from ARTG, which does not really bear on the remaining amendment but, in any event, I do not agree. It is not possible to reconcile 934 being compensated for its withdrawal from ARTG, which means ceasing to be a partner and having no further interest in the partnership under the Partnership Agreement, and that same interest being held in trust for 934. Ms. Thomson's pleadings, which the Master was required to assume are true, refer to a partnership agreement. The terms of the Partnership Agreement were in evidence and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While discussing the parties' positions, at para. 14, the Master appeared to </w:t>
      </w:r>
      <w:r>
        <w:rPr>
          <w:rFonts w:ascii="arial" w:eastAsia="arial" w:hAnsi="arial" w:cs="arial"/>
          <w:i/>
          <w:color w:val="000000"/>
          <w:sz w:val="20"/>
          <w:lang w:val="en-US" w:eastAsia="en-US" w:bidi="ar-SA"/>
        </w:rPr>
        <w:t>find</w:t>
      </w:r>
      <w:r>
        <w:rPr>
          <w:rFonts w:ascii="arial" w:eastAsia="arial" w:hAnsi="arial" w:cs="arial"/>
          <w:color w:val="000000"/>
          <w:sz w:val="20"/>
          <w:lang w:val="en-US" w:eastAsia="en-US" w:bidi="ar-SA"/>
        </w:rPr>
        <w:t xml:space="preserve"> the positions taken by Ms. Thomson in other litigation to be "totally inconsistent" with her having reached an agreement with the ARTG. If he was instead describing the respondent's position on the application, it is apparent he was alive to the strict test for an abuse of process. In his reasons regarding an abuse of process, at para. 25, the Master cited </w:t>
      </w:r>
      <w:r>
        <w:rPr>
          <w:rFonts w:ascii="arial" w:eastAsia="arial" w:hAnsi="arial" w:cs="arial"/>
          <w:i/>
          <w:color w:val="000000"/>
          <w:sz w:val="20"/>
          <w:lang w:val="en-US" w:eastAsia="en-US" w:bidi="ar-SA"/>
        </w:rPr>
        <w:t>Vanmills</w:t>
      </w:r>
      <w:r>
        <w:rPr>
          <w:rFonts w:ascii="arial" w:eastAsia="arial" w:hAnsi="arial" w:cs="arial"/>
          <w:color w:val="000000"/>
          <w:sz w:val="20"/>
          <w:lang w:val="en-US" w:eastAsia="en-US" w:bidi="ar-SA"/>
        </w:rPr>
        <w:t>, referred to parts of the evidence, that is, 934 and thereby Ms. Thomson, was fully compensated for its removal from ARTG, and her "entirely contrary" pleading, along with "the fundamentals of a trust" argued by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Having considered the Master's reasons in light of the record, in my view, he was correct in deciding the proposed amendments "were in the main" an abuse of process. As I have indicated, affidavits and pleadings filed by Ms. Thomson in the Taylor Action and the Family Law Proceeding, show she deposed to facts that are entirely inconsistent with her claims regarding the Reinstatement Agreement, as well as the Reconstituted Reinstatement Agreement, and 934 receiving less than the fair market value for its partnership interest following its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Most significantly, given what remains at issue, Ms. Thomson deposed in an affidavit sworn on February 10, 2011, and filed in the Family Law Proceeding:</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withdrawal of our holding company from the [ARTG] triggered a lump sum pay out, over a 5 year period, to our holding company. </w:t>
      </w:r>
      <w:r>
        <w:rPr>
          <w:rFonts w:ascii="arial" w:eastAsia="arial" w:hAnsi="arial" w:cs="arial"/>
          <w:color w:val="000000"/>
          <w:sz w:val="20"/>
          <w:u w:val="single"/>
          <w:lang w:val="en-US" w:eastAsia="en-US" w:bidi="ar-SA"/>
        </w:rPr>
        <w:t>It is my intention that once Gordon's civil suit against me has concluded I will seek approval from the [ARTG] to buy back into my family's business. Should the [ARTG] agree to my request</w:t>
      </w:r>
      <w:r>
        <w:rPr>
          <w:rFonts w:ascii="arial" w:eastAsia="arial" w:hAnsi="arial" w:cs="arial"/>
          <w:color w:val="000000"/>
          <w:sz w:val="20"/>
          <w:lang w:val="en-US" w:eastAsia="en-US" w:bidi="ar-SA"/>
        </w:rPr>
        <w:t>, my entire share equaling roughly $900,000 would be earmarked solely for that purpose.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other words, she took the position in the Family Law Proceeding that there was no agreement to reinstate her (or a corporate entity) to the ARTG as of February 10, 2011. In the absence of any explanation from the appellant, this is irreconcilable with her pleading and proposed amended pleading in this action regarding the November 2009 Reinstatement Agreement and the Reconstituted Reinstatement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Although the Master was not being asked to strike the original pleading regarding the Reinstatement Agreement or ARTG paying significantly less than fair market value for 934's partnership interest as an abuse of process, and Ms. Thomson did not appeal the decision regarding the trust related amendments, I interpret the ambit of his conclusion on this issue as broad. He not only described the proposed amendments as "in the main" an abuse of process, he also wrote that he agreed with "practically all" of ARTG's submissions. Critically, it is clear to me the Reinstatement Agreement is integral to most of the proposed amendments that remain at issue. Either the existence of the Reinstatement Agreement or Ms. Thomson's induced belief in its existence with respect to her proposed claim of negligent and fraudulent misrepresentation is central to those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Consequently, they too fall within the scope of the Master's abuse of process finding. To clarify, I am referring to the proposed amendments set out at paras. 19 through 21, which include claims related to Mr. Thomson's authority to enter into the Reinstatement Agreement on behalf of ARTG, and alternative claims of negligent or fraudulent misrepresentation of his authority to enter into the Reinstatement Agreement, paras. 40 through 42 related to "Breach of Reinstatement Agreement", para. 4 under the heading "Law of Contract", para. 15 regarding rectification of the Reinstatement Agreement on p. 18, and paras. 16 and 17 on pp. 18 and 19 and para. 33 in relation to the claim of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event I am wrong in concluding these proposed amendments are captured by the Master's finding and/or conclusion, applying the re-hearing standard, I am satisfied it is plain and obvious they constitute an abuse of process for the same reason, in so far as the Reinstatement Agreement is integral to them, and therefore, they involve the appellant taking irreconcilable or diametrically opposed positions in different proceedings. Allowing the proposed amendments would violate the principles of judicial economy, consistency and the integrity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are no other proposed amendments that turn on whether or not Mr. Thomson was added as a defendant or arguments about deficiencies in the pleadings apart from the proposed amendment at para. 11, which is: "Each of Lisa Thomson's siblings and parents treat their respective Partner Company as their alter ego", which I accept was captured by the order dismissing the proposed amendments, although not specifically addressed in the reasons. I conclude the Master was not clearly wrong to disallow it. The amendment asserts a legal conclusion unsupported by the necessary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What is left are a number of proposed "miscellaneous" amendments. At least some of these the Master, in fact, allowed. At para. 28, he permitted the addition of plaintiffs in respect of the existing claims, finding those amendments were more in the nature of housekeeping and were not seriously opposed by the respondent or Mr. Thomson. Those amendments include paras. 2 through 4, 17, and 21. Most of the others involve minor corrections to the use of language or factual allegations that were also not opposed by the respondent, as well as an alternative claim for damages for breach of contract. I am satisfied the Master did not conclude these particular amendments should be denied, although the entered order indicates otherwise. In all likelihood they were obscured by the number and complexity of the issues raised regarding the other proposed amendments and therefore, simply overlooked. On this basis, I allow the appeal with respect to the amendments proposed to paras. 6, 7, 8, 10(g), 13, 16, 17 (re "on behalf of ARTG"), 18 (although not "return" in 18(a)), 21, 23 (re "interest"), 31, and 43 at Part 1, at Part 2, paras. 1(a), 1(b), 2(a), 8, 9, 10, 11, 12, 13, and 14, and at Part 3, paras. 8 and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event the parties are not able to agree about costs, they are at liberty to apply for a costs order by scheduling a hearing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Todoruk v. Trapp, [2005] B.C.J. No. 2617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December 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M001014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2617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1702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M.V.R. (5th) 246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145 A.C.W.S. (3d) 403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2899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Jackie Todoruk, plaintiff, and Courtenay Donald Trapp,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3"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5" w:name="Keywords_9"/>
      <w:bookmarkEnd w:id="65"/>
      <w:r>
        <w:rPr>
          <w:rFonts w:ascii="arial" w:eastAsia="arial" w:hAnsi="arial" w:cs="arial"/>
          <w:b/>
          <w:color w:val="000000"/>
          <w:sz w:val="20"/>
          <w:lang w:val="en-US" w:eastAsia="en-US" w:bidi="ar-SA"/>
        </w:rPr>
        <w:t>Civil procedure — Discovery — Production and inspection of documents — Privileged documents — Solicitor-client privilege — Solicitor-client privilege did not apply to communications regarding fraud perpetrated by plaintiff — Communications ordered disclosed to defendant in motor vehicle action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6" w:name="Case Summary_8"/>
            <w:bookmarkEnd w:id="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Todoruk and Trapp involved in motor vehicle accident in December 1999 -- Todoruk commenced action against Trapp -- Trapp granted leave to amend statement of defence in 2001, alleging fraud in relation to Todoruk's claim for reimbursement of child care expenses -- Todoruk's child care was paid for by Ministry of Social Services and Housing, but Todoruk submitted receipts to insurance adjuster through Hammerberg, former solicitor -- Todoruk charged with providing false information to Insurance Corporation -- Todoruk acquitted, acknowledged she was required to reimburse Ministry for amount received from Insurance Corporation for child care expenses -- Trapp applied for disclosure of communications between Todoruk and Hammerberg, and for order requiring Todoruk to reattend discovery to answer questions concerning receipts submitted to Hammerberg -- Todoruk claimed letters from Insurance Corporation to Hammerberg privileged -- Letters bore words without prejudice -- Without prejudice wording not determinative -- Letters written with intention they would not be disclosed to court -- Trapp met burden of demonstrating fraud charge had merit -- Exception to rule regarding privilege existed where fraud demonstrated -- Letters might provide evidence Trapp caused to send funds in payment of claims wrongly put forward by Todoruk -- Claim of privilege not allowed -- No claim of privilege could be made regarding receipts themselves -- Communications regarding receipts between Todoruk and Hammerberg not privileged, as Todoruk used Hammerberg as conduit for fraud -- Trapp's application allowed.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7" w:name="Legislation Cited_7"/>
      <w:bookmarkEnd w:id="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4"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182" w:history="1">
        <w:r>
          <w:rPr>
            <w:rFonts w:ascii="arial" w:eastAsia="arial" w:hAnsi="arial" w:cs="arial"/>
            <w:i/>
            <w:color w:val="0077CC"/>
            <w:sz w:val="20"/>
            <w:u w:val="single"/>
            <w:shd w:val="clear" w:color="auto" w:fill="FFFFFF"/>
            <w:lang w:val="en-US" w:eastAsia="en-US" w:bidi="ar-SA"/>
          </w:rPr>
          <w:t>R.S.B.C. 1996, c. 231, s. 42.1</w:t>
        </w:r>
      </w:hyperlink>
      <w:r>
        <w:rPr>
          <w:rFonts w:ascii="arial" w:eastAsia="arial" w:hAnsi="arial" w:cs="arial"/>
          <w:color w:val="000000"/>
          <w:sz w:val="20"/>
          <w:lang w:val="en-US" w:eastAsia="en-US" w:bidi="ar-SA"/>
        </w:rPr>
        <w:t>.2(a)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8" w:name="Counsel_9"/>
      <w:bookmarkEnd w:id="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5"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P. Boles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 Pettit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9"/>
      <w:bookmarkEnd w:id="69"/>
      <w:r>
        <w:pict>
          <v:line id="_x0000_s1076"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C.L. SMITH J. (orally)"/>
            <w:bookmarkEnd w:id="70"/>
            <w:r>
              <w:rPr>
                <w:rFonts w:ascii="arial" w:eastAsia="arial" w:hAnsi="arial" w:cs="arial"/>
                <w:b/>
                <w:color w:val="000000"/>
                <w:sz w:val="30"/>
                <w:lang w:val="en-US" w:eastAsia="en-US" w:bidi="ar-SA"/>
              </w:rPr>
              <w:t>C.L. SMITH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The defendant in this motor vehicle action seeks an order requiring disclosure of certain communications between the plaintiff and her former counsel, Mr. Hammerberg. He also seeks an order with respect to the plaintiff's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[2] The motor vehicle accident occurred on December 22, 1999. The plaintiff commenced an action for damages against the defendant in March 2000. In June 2001, the defendant obtained leave to amend his statement of defence to allege fraud in relation to the plaintiff's claims for reimbursement of certain expenses that she said she had incurred for child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The trial was originally scheduled for July 2001, but was adjourned once by consent and a second time in March 2003 upon the plaintiff's application, which was opposed. The trial is now set for this coming April for three weeks before a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The defendant provided evidence on this application that the plaintiff at the time of the accident was attending Capilano College and was receiving subsidized child care from the Ministry of Social Services and Housing. The child care was provided by Sherry Yarrow who was paid directly by the Ministry at a rate of $350 per month. Nevertheless, the plaintiff submitted receipts to the adjuster through her counsel, Mr. Hammerberg, for child care expenses. She wrote up the receipts herself and did not advise Ms. Yarrow or the Ministry that she was doing so. She received reimbursement from the defendant's insurer, the Insurance Corporation of British Columbia, for the child care expenses that she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[5] The plaintiff was charged with providing the Insurance Corporation of British Columbia with false information pursuant to s. 42.1.2(a)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After a trial in provincial court she was acquitted on May 29, 2002. At her examination for discovery in this action Ms. Todoruk testified that she had been asked to send in all receipts regarding the car accident. She swore that she created those receipts herself because "they don't give receipts out till the end of the year and my lawyer said to send them all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She testified at the criminal trial that she understood that she would be required to reimburse the Ministry for the amount that she had received from the Insurance Corporation for child care expenses when she obtained her settlement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The plaintiff did not provide any evidence on this application. There is no evidence in the material before me that the plaintiff advised the Ministry that she was submitting the receipts to the Insurance Corporation and there is no evidence that she advised the Insurance Corporation that she was not herself paying for the child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The orders sought by the defendant are: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all communications between the plaintiff and her initial counsel regarding all receipts and all claims for expenses and alleged expenses incurred as a result of the December 21, 1999 motor vehicle accident during the period December 21, 1999 to June 30, 2000 including all receipts relating to child care provided by Sherry Yarrow or the Bethel Baptist Preschool are not privileged.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plaintiff re-attend at discovery to answer questions concerning all discussions, dealings, transactions and communications between her and Mr. Hammerberg or other members of his firm regarding the receipts.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plaintiff produce to counsel for the defendant all documents relating to her communications with Mr. Hammerberg or other members of his firm regarding the receipts and all documents relating to the receipts.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Ms. Boles, counsel for the plaintiff, takes objection to certain of the documents upon which the defendant seeks to rely in this application, namely, letters dated February 26, 2000, March 23, 2000, April 4, 2000, May 23, 2000 and July 24, 2000. Those are all letters from the Insurance Corporation of British Columbia to Hammerberg &amp; Company bearing the heading "without prejudice". Ms. Boles argued that those letters are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Counsel agreed that I would give my ruling on this objection at the same time as my ruling on the application. Ms. Boles also took objection to portions of the affidavit of Tom McKinney sworn September 10, 2003. I have not taken those portions of the material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Counsel for the defendant said that he was taken by surprise by this objection and accordingly counsel were permitted to provide further written submissions after the hearing. Mr. Pettit for the defendant provided submissions promptly and within the deadline. Ms. Boles for the plaintiff, although the deadline was December 15, 2004, did not provide any further submissions until February 2, 2005 and only after several reminders through the Registry. I note her apology for this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A further delay then ensued in connection with the Registry's attempts to bring counsel back before me. I am not aware where the difficulty lay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Ms. Boles' objection to the admissibility of these letters is, as I understand it, that they bear the words "without prejudice" and, in fact, were privileged communications that should not be disclosed. She submitted that there is no evidence to support the proposition that the letters were other than an honest attempt to resolve the claim. She points to the absence of an affidavit from the adjuster as to the adjuster's intention with respect to the disclosure of the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[15] Mr. Pettit, for the defence, argues that the letters do not qualify as settlement communications and that although they bear the phrase "without prejudice", that phrase is not decisive. He submitted that they do not have the appearance of communications originating in an expectation that they would not be used in evidence and their content does not suggest any overture of settlement. Instead, he argued, the letters are of a type that would ultimately be revealed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[16] Mr. Pettit submitted in the alternative that if the letters are privileged as being in furtherance of settlement, fraud is an exception to the rule governing settlement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[17] Ms. Boles took the position that an allegation of fraud is not enough and fraud has not been proved against her client; further, that fraud is not an action that can be advanced by a tortfeasor as a defence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Instead, it is a defence by an insurer to an application for benefits and the insurer is not a defendant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[18] Counsel for the defendant, on the other hand, argues that the insurer is the agent of the defendant and that fraud in claiming reimbursement for expenses to that agent is a matter the defendant can raise.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[19] Mr. Pettit submits that the letters provide evidence that the payments were an advance against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[20] The conditions for the existence of privilege over communications made in furtherance of settlement are set out in Sopinka, Lederman and Bryant, The Law of Evidence in Canada, 2nd ed. (Toronto: Butterworths, 1999) at p. 807:</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litigious dispute must be in existence or within contemplation;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communication must be made with the express or implied intention that it would not be disclosed to the court in the event negotiations failed;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communication must be to attempt to effect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[21] The use of the phrase "without prejudice" is not conclusive of the existence of privilege: see Farrell v. Tisdale </w:t>
      </w:r>
      <w:hyperlink r:id="rId183" w:history="1">
        <w:r>
          <w:rPr>
            <w:rFonts w:ascii="arial" w:eastAsia="arial" w:hAnsi="arial" w:cs="arial"/>
            <w:i/>
            <w:color w:val="0077CC"/>
            <w:sz w:val="20"/>
            <w:u w:val="single"/>
            <w:shd w:val="clear" w:color="auto" w:fill="FFFFFF"/>
            <w:lang w:val="en-US" w:eastAsia="en-US" w:bidi="ar-SA"/>
          </w:rPr>
          <w:t>(1987), 16 B.C.L.R. (2d) 230</w:t>
        </w:r>
      </w:hyperlink>
      <w:r>
        <w:rPr>
          <w:rFonts w:ascii="arial" w:eastAsia="arial" w:hAnsi="arial" w:cs="arial"/>
          <w:color w:val="000000"/>
          <w:sz w:val="20"/>
          <w:lang w:val="en-US" w:eastAsia="en-US" w:bidi="ar-SA"/>
        </w:rPr>
        <w:t xml:space="preserve"> (C.A.) at 239-240; Belanger v. Gilbert </w:t>
      </w:r>
      <w:hyperlink r:id="rId184" w:history="1">
        <w:r>
          <w:rPr>
            <w:rFonts w:ascii="arial" w:eastAsia="arial" w:hAnsi="arial" w:cs="arial"/>
            <w:i/>
            <w:color w:val="0077CC"/>
            <w:sz w:val="20"/>
            <w:u w:val="single"/>
            <w:shd w:val="clear" w:color="auto" w:fill="FFFFFF"/>
            <w:lang w:val="en-US" w:eastAsia="en-US" w:bidi="ar-SA"/>
          </w:rPr>
          <w:t>(1984), 58 B.C.L.R. 191</w:t>
        </w:r>
      </w:hyperlink>
      <w:r>
        <w:rPr>
          <w:rFonts w:ascii="arial" w:eastAsia="arial" w:hAnsi="arial" w:cs="arial"/>
          <w:color w:val="000000"/>
          <w:sz w:val="20"/>
          <w:lang w:val="en-US" w:eastAsia="en-US" w:bidi="ar-SA"/>
        </w:rPr>
        <w:t xml:space="preserve"> (C.A.) at 192 - 193.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[22] I find that these letters were written with the intention that they would not be disclosed to the Court in the event negotiations failed; in making advances against a claim for special damages, they could be seen to make an implicit concession of liability. They did not contain offers of settlement but arguably did form part of a series of communications with settlement as the long-term goal. The conditions for the existence of privilege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[23] An exception to the general rule that privilege protects documents and communications created for the purpose of achieving settlement exists where there is fraud: Middelkamp v. Fraser Valley Real Estate Board </w:t>
      </w:r>
      <w:hyperlink r:id="rId185" w:history="1">
        <w:r>
          <w:rPr>
            <w:rFonts w:ascii="arial" w:eastAsia="arial" w:hAnsi="arial" w:cs="arial"/>
            <w:i/>
            <w:color w:val="0077CC"/>
            <w:sz w:val="20"/>
            <w:u w:val="single"/>
            <w:shd w:val="clear" w:color="auto" w:fill="FFFFFF"/>
            <w:lang w:val="en-US" w:eastAsia="en-US" w:bidi="ar-SA"/>
          </w:rPr>
          <w:t>(1992), 71 B.C.L.R. (2d) 276</w:t>
        </w:r>
      </w:hyperlink>
      <w:r>
        <w:rPr>
          <w:rFonts w:ascii="arial" w:eastAsia="arial" w:hAnsi="arial" w:cs="arial"/>
          <w:color w:val="000000"/>
          <w:sz w:val="20"/>
          <w:lang w:val="en-US" w:eastAsia="en-US" w:bidi="ar-SA"/>
        </w:rPr>
        <w:t xml:space="preserve"> (C.A.) at para. 20 (per McEachern C.J.B.C.) and at para. 88 (per Locke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[24] When a party argues that a communication that would otherwise be privileged is not privileged due to fraud, that party must provide evidence that gives the assertion of fraud to some substance: Bulavant v. A.G. Victoria, [1901] A.C. 190 (H.L.), K-West Estates Ltd. v. Linemayr, McCandless and Zacharias; West Coast Savings Credit Union v. Linemayr et al. </w:t>
      </w:r>
      <w:hyperlink r:id="rId186" w:history="1">
        <w:r>
          <w:rPr>
            <w:rFonts w:ascii="arial" w:eastAsia="arial" w:hAnsi="arial" w:cs="arial"/>
            <w:i/>
            <w:color w:val="0077CC"/>
            <w:sz w:val="20"/>
            <w:u w:val="single"/>
            <w:shd w:val="clear" w:color="auto" w:fill="FFFFFF"/>
            <w:lang w:val="en-US" w:eastAsia="en-US" w:bidi="ar-SA"/>
          </w:rPr>
          <w:t>(1984), 54 B.C.L.R. 60</w:t>
        </w:r>
      </w:hyperlink>
      <w:r>
        <w:rPr>
          <w:rFonts w:ascii="arial" w:eastAsia="arial" w:hAnsi="arial" w:cs="arial"/>
          <w:color w:val="000000"/>
          <w:sz w:val="20"/>
          <w:lang w:val="en-US" w:eastAsia="en-US" w:bidi="ar-SA"/>
        </w:rPr>
        <w:t xml:space="preserve"> (S.C.); Goldman Sachs &amp; Co. v. Sessions, </w:t>
      </w:r>
      <w:hyperlink r:id="rId187" w:history="1">
        <w:r>
          <w:rPr>
            <w:rFonts w:ascii="arial" w:eastAsia="arial" w:hAnsi="arial" w:cs="arial"/>
            <w:i/>
            <w:color w:val="0077CC"/>
            <w:sz w:val="20"/>
            <w:u w:val="single"/>
            <w:shd w:val="clear" w:color="auto" w:fill="FFFFFF"/>
            <w:lang w:val="en-US" w:eastAsia="en-US" w:bidi="ar-SA"/>
          </w:rPr>
          <w:t>[1999] B.C.J. No. 2815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[25] The phrase used in the cases is that the evidence tendered "gives colour to the charge" or that there is a "prima facie case" of fraud: Dixon v. Canada (Deputy Attorney General), </w:t>
      </w:r>
      <w:hyperlink r:id="rId188" w:history="1">
        <w:r>
          <w:rPr>
            <w:rFonts w:ascii="arial" w:eastAsia="arial" w:hAnsi="arial" w:cs="arial"/>
            <w:i/>
            <w:color w:val="0077CC"/>
            <w:sz w:val="20"/>
            <w:u w:val="single"/>
            <w:shd w:val="clear" w:color="auto" w:fill="FFFFFF"/>
            <w:lang w:val="en-US" w:eastAsia="en-US" w:bidi="ar-SA"/>
          </w:rPr>
          <w:t>[1991] O.J. No. 1735</w:t>
        </w:r>
      </w:hyperlink>
      <w:r>
        <w:rPr>
          <w:rFonts w:ascii="arial" w:eastAsia="arial" w:hAnsi="arial" w:cs="arial"/>
          <w:color w:val="000000"/>
          <w:sz w:val="20"/>
          <w:lang w:val="en-US" w:eastAsia="en-US" w:bidi="ar-SA"/>
        </w:rPr>
        <w:t xml:space="preserve"> (O.H.C.J.).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[26] I find that the defendant has met that burden and that the evidence before me, which was uncontradicted, gives colour to the charge of fraud against the plaintiff. I find that the defendant can raise the issue in that the Insurance Corporation is the defendant's agent for dealing with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[27] Having reached that conclusion, I then consider the contents of the documents to determine whether the claim of privilege should be upheld. I find that it should not. The adjuster's letters are written in response to correspondence from the plaintiff's lawyer as to which no claim of privilege is made. The adjuster's letters show the adjuster accepting the representation that the plaintiff had incurred child care expenses as a result of the accident and sending cheques in payment of those expenses. An example of such a letter is that of February 26, 2000, from Stacey Rose, ICBC Capilano, to Hammerberg &amp; Company marked "without prejudice". It responded to a letter dated February 22, 2000 from Mr. Hammerberg which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write further to our letter dated February 7, 2000 wherein we enclosed various receipts for day care and housekeeping. We understand that these expenses have been approved and we would therefore appreciate receiving a cheque in the sum of $196 payable to our client Jackie Todoruk. As you are aware, Ms. Todoruk is experiencing financial difficulties as a result of these expenses and we would ask that you contact our office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[28] The letters may provide evidence that the defendant was caused to send funds in payment of claims wrongly put forward by the plaintiff. They are material to a defence raised in the pleadings. The plaintiff has herself put the contents of the letters in issue by arguing that the payments she received were not by way of an advance against special damages. I find that for all of those reasons the claim of privilege should not be allowed and I will receive the letters in evidence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[29] I turn to the defendant's application. The defendant seeks a declaration that communications between the plaintiff and her initial counsel regarding receipts and claims for expenses are not privileged, and seeks orders that she produce documents and answer questions at examination for discovery about those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[30] No claim of privilege can be made with respect to the receipts themselves, which the plaintiff provided in order that they be passed on to the adjuster. They were passed on to the adjuster. There was no intention that they would be confidential. What of the communications between solicitor and client regarding the provision of the receipts? Mr. Pettit relies on the line of cases that state that solicitor-client privilege does not protect communications between solicitor and client made in furtherance of unlawful conduct, which can include making fraudulent misrepresentations: see Descôteaux v. Mierzwinski, </w:t>
      </w:r>
      <w:hyperlink r:id="rId189" w:history="1">
        <w:r>
          <w:rPr>
            <w:rFonts w:ascii="arial" w:eastAsia="arial" w:hAnsi="arial" w:cs="arial"/>
            <w:i/>
            <w:color w:val="0077CC"/>
            <w:sz w:val="20"/>
            <w:u w:val="single"/>
            <w:shd w:val="clear" w:color="auto" w:fill="FFFFFF"/>
            <w:lang w:val="en-US" w:eastAsia="en-US" w:bidi="ar-SA"/>
          </w:rPr>
          <w:t>[1982] 1 S.C.R. 860</w:t>
        </w:r>
      </w:hyperlink>
      <w:r>
        <w:rPr>
          <w:rFonts w:ascii="arial" w:eastAsia="arial" w:hAnsi="arial" w:cs="arial"/>
          <w:color w:val="000000"/>
          <w:sz w:val="20"/>
          <w:lang w:val="en-US" w:eastAsia="en-US" w:bidi="ar-SA"/>
        </w:rPr>
        <w:t xml:space="preserve"> at 881: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Confidential communications ... lose that character if and to the extent that they were made for the purpose of obtaining legal advice to facilitate the commission of a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[31] Mr. Pettit argues that where a client uses her counsel as a conduit for the fraudulent misrepresentations, then the unlawful conduct exception applies and there is no privilege. His submission is that there is a prima facie case on the material before me that the exception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[32] Tortious conduct may be considered unlawful conduct for the purpose of this aspect of the law of solicitor/client privilege: R. v. Campbell, </w:t>
      </w:r>
      <w:hyperlink r:id="rId190" w:history="1">
        <w:r>
          <w:rPr>
            <w:rFonts w:ascii="arial" w:eastAsia="arial" w:hAnsi="arial" w:cs="arial"/>
            <w:i/>
            <w:color w:val="0077CC"/>
            <w:sz w:val="20"/>
            <w:u w:val="single"/>
            <w:shd w:val="clear" w:color="auto" w:fill="FFFFFF"/>
            <w:lang w:val="en-US" w:eastAsia="en-US" w:bidi="ar-SA"/>
          </w:rPr>
          <w:t>[1999] 1 S.C.R. 565</w:t>
        </w:r>
      </w:hyperlink>
      <w:r>
        <w:rPr>
          <w:rFonts w:ascii="arial" w:eastAsia="arial" w:hAnsi="arial" w:cs="arial"/>
          <w:color w:val="000000"/>
          <w:sz w:val="20"/>
          <w:lang w:val="en-US" w:eastAsia="en-US" w:bidi="ar-SA"/>
        </w:rPr>
        <w:t xml:space="preserve"> at paras. 58 - 59; Goldman Sachs,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[33] I find that the defendant has shown a prima facie case that the plaintiff may have been using her solicitor as a conduit for fraudulent representations. The evidence before me "gives colour to the charge", as I have already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[34] Solicitor-client privilege is of central importance to our legal system and it is to be set aside only when it is clearly necessary to do so and to the least extent possible. See Descôteaux at 875; R. v. Solosky, </w:t>
      </w:r>
      <w:hyperlink r:id="rId191" w:history="1">
        <w:r>
          <w:rPr>
            <w:rFonts w:ascii="arial" w:eastAsia="arial" w:hAnsi="arial" w:cs="arial"/>
            <w:i/>
            <w:color w:val="0077CC"/>
            <w:sz w:val="20"/>
            <w:u w:val="single"/>
            <w:shd w:val="clear" w:color="auto" w:fill="FFFFFF"/>
            <w:lang w:val="en-US" w:eastAsia="en-US" w:bidi="ar-SA"/>
          </w:rPr>
          <w:t>[1980] 1 S.C.R. 821</w:t>
        </w:r>
      </w:hyperlink>
      <w:r>
        <w:rPr>
          <w:rFonts w:ascii="arial" w:eastAsia="arial" w:hAnsi="arial" w:cs="arial"/>
          <w:color w:val="000000"/>
          <w:sz w:val="20"/>
          <w:lang w:val="en-US" w:eastAsia="en-US" w:bidi="ar-SA"/>
        </w:rPr>
        <w:t xml:space="preserve"> at 839.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[35] Accordingly, I will not make the declaration sought by the defendant but I will order that the plaintiff answer questions at the continued examination for discovery regarding communications between herself and her solicitor, his agents or members of his firm with respect only to the claims for child care expenses. I will also order that the plaintiff produce for inspection by the court all documents relating to those communications. Final decisions regarding the plaintiff's claim of privilege over the communications and admissibility of the evidence will be for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[36] It is unnecessary for me to decide whether the plaintiff waived solicitor-client privilege over the relevant communications between herself and her lawyer through raising her solicitor's instructions to her in her responses at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[37] The defendant also seeks an order regarding the plaintiff's list of documents. The plaintiff's list of documents does not properly describe the items for which privilege is claimed and it should do so in conformity with Rule 26(2.1), following the principles set out in Jones v. Stephens </w:t>
      </w:r>
      <w:hyperlink r:id="rId192" w:history="1">
        <w:r>
          <w:rPr>
            <w:rFonts w:ascii="arial" w:eastAsia="arial" w:hAnsi="arial" w:cs="arial"/>
            <w:i/>
            <w:color w:val="0077CC"/>
            <w:sz w:val="20"/>
            <w:u w:val="single"/>
            <w:shd w:val="clear" w:color="auto" w:fill="FFFFFF"/>
            <w:lang w:val="en-US" w:eastAsia="en-US" w:bidi="ar-SA"/>
          </w:rPr>
          <w:t>(1992), 66 B.C.L.R. (2d) 31</w:t>
        </w:r>
      </w:hyperlink>
      <w:r>
        <w:rPr>
          <w:rFonts w:ascii="arial" w:eastAsia="arial" w:hAnsi="arial" w:cs="arial"/>
          <w:color w:val="000000"/>
          <w:sz w:val="20"/>
          <w:lang w:val="en-US" w:eastAsia="en-US" w:bidi="ar-SA"/>
        </w:rPr>
        <w:t xml:space="preserve"> (S.C.). I will make an order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 THE COURT: And so my order with respect to the discovery is clear, she will answer questions with respect to child care expenses. Only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Towriss v. Westminster Savings and Credit Union, [2005] B.C.J. No. 1087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20 - 21 and February 15 - 16,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S011735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1087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695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263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Paul Towriss, plaintiff, and Westminster Savings and Credit Union, Gary J. Thomas, Michael G. Oliver, Oliver, Drabik, Carruthers &amp; Chalcraft, Kenneth Rogers Appraisals Ltd. and Kenneth Rogers, defendants, and Westminster Savings and Credit Union, Gary J. Thomas, Kenneth Rogers Appraisals Ltd. and Kenneth Rogers,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1" w:name="Keywords_10"/>
      <w:bookmarkEnd w:id="71"/>
      <w:r>
        <w:rPr>
          <w:rFonts w:ascii="arial" w:eastAsia="arial" w:hAnsi="arial" w:cs="arial"/>
          <w:b/>
          <w:color w:val="000000"/>
          <w:sz w:val="20"/>
          <w:lang w:val="en-US" w:eastAsia="en-US" w:bidi="ar-SA"/>
        </w:rPr>
        <w:t>Civil evidence — Documentary evidence — Affidavits — Striking out — Civil procedure — Discovery — Collateral use of discovery information — Production and inspection of documents — Relevancy contested — Judgments and orders — Summary judgments — To dismiss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2" w:name="Case Summary_9"/>
            <w:bookmarkEnd w:id="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Oliver for summary dismissal of the action. Oliver also sought to strike out several paragraphs from the affidavit of the plaintiff Towriss on the ground that use was made of discovery evidence from other proceedings in breach of the implied undertaking rule. Towriss sought an order for production of all documents in relation to the real estate transactions in which Oliver had acted. The production was sought on the basis of the pleading of a scheme. Oliver was a solicitor who had acted for the vendor in a real estate investment transaction. Towriss was the purchaser in the transaction. Oliver had drawn up the documentation. The investment resulted in a substantial loss to Towriss. Towriss claimed damages against Oliver for breach of fiduciary duty. He claimed that the documents drawn up by Oliver did not reflect the transaction as understood by Towriss. Towriss had not sought independent legal advice before signing the documentation.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3" w:name="Holdings of Court_7"/>
            <w:bookmarkEnd w:id="73"/>
            <w:r>
              <w:rPr>
                <w:rFonts w:ascii="arial" w:eastAsia="arial" w:hAnsi="arial" w:cs="arial"/>
                <w:color w:val="000000"/>
                <w:sz w:val="20"/>
                <w:lang w:val="en-US" w:eastAsia="en-US" w:bidi="ar-SA"/>
              </w:rPr>
              <w:t>HELD: Application by Oliver for summary dismissal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by Towriss for production of documents dismissed. The impugned paragraphs of the Towriss affidavit were struck out as the implied undertaking rule was breached. The matter was not suitable for summary determination. The issues of duty of care, breach and causation were interwoven and were best determined at a full trial. As there were several defendants in this action, determination of liability of only one defendant created the possibility of prejudice to Towriss. The issues could not be determined on the basis of the affidavit evidence. Towriss was not entitled to production of the documents sought. There was no nexus or connection between the allegations in the statement of claim and these documents. As a scheme was not a cause of action, pleading a scheme was not a sufficient basis to establish relevance.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4" w:name="Legislation Cited_8"/>
      <w:bookmarkEnd w:id="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9"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27, Rule 28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5" w:name="Counsel_10"/>
      <w:bookmarkEnd w:id="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0"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Wesley Mussio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Michael G. Oliver, Oliver, Drabik, Carruthers &amp; Chalcraft: Jack M. Webster and P.M.J. Arvisais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Gary J. Thomas: L.J. O'Sullivan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Westminster Savings and Credit Union: David A. Goult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6" w:name="Judgment_10"/>
      <w:bookmarkEnd w:id="76"/>
      <w:r>
        <w:pict>
          <v:line id="_x0000_s1081"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7" w:name="ROSS J."/>
            <w:bookmarkEnd w:id="77"/>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brought by the defendants Michael G. Oliver and Oliver, Drabik, Carruthers &amp; Chalcraft (the "Oliver Defendants"), pursuant to Rule 18A, for summary dismissal of the action. In addition, the Oliver Defendants seek to strike several paragraphs from the Affidavit #2 of the plaintiff, Paul Towriss, on the basis that use is made of discovery evidence from other proceedings in breach of the implied undertaking concerning the use of such evidence. The Oliver Defendants also seek an order that Mr. Towriss disclose to counsel for the Oliver Defendants, the identity of the person who provided him with the transcript evidence and documents disclosed pursuant to Rules 27 and 28 in Giles et al v. Westminster Savings and Credit Union et al., </w:t>
      </w:r>
      <w:hyperlink r:id="rId200" w:history="1">
        <w:r>
          <w:rPr>
            <w:rFonts w:ascii="arial" w:eastAsia="arial" w:hAnsi="arial" w:cs="arial"/>
            <w:i/>
            <w:color w:val="0077CC"/>
            <w:sz w:val="20"/>
            <w:u w:val="single"/>
            <w:shd w:val="clear" w:color="auto" w:fill="FFFFFF"/>
            <w:lang w:val="en-US" w:eastAsia="en-US" w:bidi="ar-SA"/>
          </w:rPr>
          <w:t>[2002] B.C.J. No. 2567</w:t>
        </w:r>
      </w:hyperlink>
      <w:r>
        <w:rPr>
          <w:rFonts w:ascii="arial" w:eastAsia="arial" w:hAnsi="arial" w:cs="arial"/>
          <w:color w:val="000000"/>
          <w:sz w:val="20"/>
          <w:lang w:val="en-US" w:eastAsia="en-US" w:bidi="ar-SA"/>
        </w:rPr>
        <w:t>, BCSC Action No. S004562. Mr. Towriss has applied for an order for production of documents in various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background to the litigation is that Mr. Towriss entered into a transaction with Taylor Ventures Ltd. ("TVL"), financed by the Westminster Savings and Credit Union ("WSCU"). The investment resulted in a substantial loss to Mr. Towriss. Mr. Towriss commenced proceedings against a number of defendants: WSCU and Gary Thomas, who was employed as the Commercial Loans Manager of WSCU at the relevant time, Kenneth Rogers Appraisals Ltd. and Kenneth Rogers, who had provided an appraisal of the investment properties and Mr. Oliver, a solicitor, and his firm, who had acted as the solicitor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Amended Statement of Claim pleads that:</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scheme arose whereby Taylor Ventures Ltd. and Ralph Taylor would use investors of Taylor Ventures Ltd, such as the Plaintiff, to circumvent the lending policy or guidelines of its primary lender, WSCU. In particular, Taylor Ventures Ltd and Ralph Taylor would arrange for an investor, such as the Plaintiff, to acquire property in exchange for a mortgage in the name of the investor. That way, Taylor Ventures Ltd. was able to secure funding beyond the funding limits set by WSCU through their policies and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Towriss advances claims against the defendants other than the Oliver Defendants in fraud and conspiracy. He advances claims against the Oliver Defendants and Mr. Thomas in breach of fiduciary duty, against the Oliver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against Mr. Thomas in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takes the position that this matter is not suitable for summary determination, or in the alternative, seeks judgment in his favour. The Oliver Defendants take the position that the matter is suitable for summary determination, but that if the matter is not resolved in their favour, it should be referred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reasons that follow, I have concluded that the matter is not suitable for summary disposition pursuant to Rule 18A and have referred it to the trial list. I have dismissed the application for production of documents by the Oliver Defendants. I have dismissed the application for production of documents by WSCU with limited leave to reapply.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RE MR. TOWRISS'S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Towriss deposes in his Affidavit #2, incorrectly as it turns out, that he is one of the plaintiffs in Giles v. Westminster Savings and Credit Union et al Action No. S004562. He then makes reference to a review that he conducted of the evidence given (by Gary Thomas and Barry Forbes) in Examination for Discovery in that proceeding and summarizes portions of that evidence. The Oliver Defendants seek to strike these paragraphs on the basis that there is no evidence that Mr. Towriss obtained either leave of the court or the consent of the persons examined for such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am satisfied that the implied undertaking applies to Examinations for Discovery as well as to discovery of documents, see Edgeworth Construction Ltd. v. Thurber Consultants Ltd., </w:t>
      </w:r>
      <w:hyperlink r:id="rId201" w:history="1">
        <w:r>
          <w:rPr>
            <w:rFonts w:ascii="arial" w:eastAsia="arial" w:hAnsi="arial" w:cs="arial"/>
            <w:i/>
            <w:color w:val="0077CC"/>
            <w:sz w:val="20"/>
            <w:u w:val="single"/>
            <w:shd w:val="clear" w:color="auto" w:fill="FFFFFF"/>
            <w:lang w:val="en-US" w:eastAsia="en-US" w:bidi="ar-SA"/>
          </w:rPr>
          <w:t>[1996] 5 W.W.R. 730</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27 C.L.R. (2d) 38</w:t>
        </w:r>
      </w:hyperlink>
      <w:r>
        <w:rPr>
          <w:rFonts w:ascii="arial" w:eastAsia="arial" w:hAnsi="arial" w:cs="arial"/>
          <w:color w:val="000000"/>
          <w:sz w:val="20"/>
          <w:lang w:val="en-US" w:eastAsia="en-US" w:bidi="ar-SA"/>
        </w:rPr>
        <w:t xml:space="preserve"> (B.C.S.C.) aff'd </w:t>
      </w:r>
      <w:hyperlink r:id="rId202" w:history="1">
        <w:r>
          <w:rPr>
            <w:rFonts w:ascii="arial" w:eastAsia="arial" w:hAnsi="arial" w:cs="arial"/>
            <w:i/>
            <w:color w:val="0077CC"/>
            <w:sz w:val="20"/>
            <w:u w:val="single"/>
            <w:shd w:val="clear" w:color="auto" w:fill="FFFFFF"/>
            <w:lang w:val="en-US" w:eastAsia="en-US" w:bidi="ar-SA"/>
          </w:rPr>
          <w:t>(2000), 190 D.L.R. (4th) 89</w:t>
        </w:r>
      </w:hyperlink>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2000 BCCA 453</w:t>
        </w:r>
      </w:hyperlink>
      <w:r>
        <w:rPr>
          <w:rFonts w:ascii="arial" w:eastAsia="arial" w:hAnsi="arial" w:cs="arial"/>
          <w:color w:val="000000"/>
          <w:sz w:val="20"/>
          <w:lang w:val="en-US" w:eastAsia="en-US" w:bidi="ar-SA"/>
        </w:rPr>
        <w:t>. Mr. Towriss has obtained neither leave of the court nor the consent of the persons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submits on behalf of Mr. Towriss that he obtained access to the evidence in the course of preparation to testify as a witness in the Giles proceeding. In counsel's submission, the undertaking does not apply to Mr. Towriss because he is neither a party nor counsel and he is therefore free to make this use of the evidence in the absence of leave or consent. In addition, he submits that he would have been granted leave of the court had he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implied undertaking is described by Williams C.J.S.C. in Discovery Enterprises Inc. v. Ebco Industries Ltd. </w:t>
      </w:r>
      <w:hyperlink r:id="rId203" w:history="1">
        <w:r>
          <w:rPr>
            <w:rFonts w:ascii="arial" w:eastAsia="arial" w:hAnsi="arial" w:cs="arial"/>
            <w:i/>
            <w:color w:val="0077CC"/>
            <w:sz w:val="20"/>
            <w:u w:val="single"/>
            <w:shd w:val="clear" w:color="auto" w:fill="FFFFFF"/>
            <w:lang w:val="en-US" w:eastAsia="en-US" w:bidi="ar-SA"/>
          </w:rPr>
          <w:t>(1997), 42 B.C.L.R. (3d) 192</w:t>
        </w:r>
      </w:hyperlink>
      <w:r>
        <w:rPr>
          <w:rFonts w:ascii="arial" w:eastAsia="arial" w:hAnsi="arial" w:cs="arial"/>
          <w:color w:val="000000"/>
          <w:sz w:val="20"/>
          <w:lang w:val="en-US" w:eastAsia="en-US" w:bidi="ar-SA"/>
        </w:rPr>
        <w:t xml:space="preserve"> at para. 20, </w:t>
      </w:r>
      <w:hyperlink r:id="rId203" w:history="1">
        <w:r>
          <w:rPr>
            <w:rFonts w:ascii="arial" w:eastAsia="arial" w:hAnsi="arial" w:cs="arial"/>
            <w:i/>
            <w:color w:val="0077CC"/>
            <w:sz w:val="20"/>
            <w:u w:val="single"/>
            <w:shd w:val="clear" w:color="auto" w:fill="FFFFFF"/>
            <w:lang w:val="en-US" w:eastAsia="en-US" w:bidi="ar-SA"/>
          </w:rPr>
          <w:t>15 C.P.C. (4th) 285</w:t>
        </w:r>
      </w:hyperlink>
      <w:r>
        <w:rPr>
          <w:rFonts w:ascii="arial" w:eastAsia="arial" w:hAnsi="arial" w:cs="arial"/>
          <w:color w:val="000000"/>
          <w:sz w:val="20"/>
          <w:lang w:val="en-US" w:eastAsia="en-US" w:bidi="ar-SA"/>
        </w:rPr>
        <w:t xml:space="preserve"> (S.C.) [Discovery], as a "solemn and serious personal, though implied, obligation to the Court, not the disclosing litigant." The undertaking binds the party and counsel. The party subject to the undertaking is able to make limited disclosure of the documents, but only for purposes in the litigation in which they were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courts have been vigilant to prevent techniques to circumvent the undertaking, see for example, Discovery. In my view, what plaintiff's counsel proposes in this case is just such an effort to evade and circumvent the undertaking. In the absence of an order or consent, in order to be in compliance with the undertaking, Mr. Towriss could not have been given access to the documents for purposes of use in this litigation, but only for use in the Giles litigation. Accordingly, the use in this proceeding is an impermissible collateral use. Paragraphs 7 &amp; 8 of Mr. Towriss's Affidavit #2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provided an explanation in the course of submissions as to how Mr. Towriss became aware of the transcripts and documents. In my view, the paragraphs having been struck, there is no necessity in the circumstances to make the further order sought by the Oliver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Towriss was one of many investors in TVL. Mr. Ralph Taylor was the sole shareholder of TVL, and apparently, its directing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Towriss made his first investment in TVL in 1993. By late 1996, Mr. Towriss had investments in TVL that had an aggregate value of approximately $500,000. This amount was unsecured. Mr. Towriss became aware at about this time that Mr. Taylor was building an ice rink in Langley. It was his understanding that the ice rink project was being funded on its own and not through TVL.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Towriss deposed that in October 1996, Mr. Taylor made a proposal to him. He proposed that title to certain real estate lots in a subdivision called Long Lake Heights in Nanaimo, British Columbia would be transferred into Mr. Towriss's name for a total purchase price of $920,000. The defendant, WSCU, would provide financing toward the purchase price for $600,000, secured by a mortgage. The balance of the purchase price represented a notional credit, security for Mr. Towriss's TVL investments. The difference between the loan from WSCU and the value of the lots would secure Mr. Towriss's investments in TVL.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addition, Mr. Taylor would pay all the mortgage payments, strata fees and other expenses in relation to the Long Lake Heights Project. Mr. Taylor would be able to sell the lots from time to time and pay Mr. Towriss $1,000 for each lot sold. Mr. Towriss deposed that Mr. Taylor told him that the lots had been appraised at $920,000. Mr. Towriss deposed that Mr. Taylor told him that he could not obtain further financing from WSCU himself because the lending policies of WSCU limited the amount of borrowing by a company and related individuals and Mr. Taylor and TVL were at or near the borrowing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Towriss deposed that he then met with the defendant Gary Thomas, who was the Commercial Loans Manager of WSCU. They reviewed the proposed transaction and Mr. Thomas confirmed that the WSCU could only lend a certain amount to an individual and related corporations and that Mr. Taylor and TVL had reached that limit. He also indicated that the Credit Union had an appraisal confirming the $920,000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Towriss met with the defendant Michael Oliver, a solicitor with the firm Oliver, Drabik, Carruthers &amp; Chalcraft, in October 1996. He understood that Mr. Oliver had acted for TVL. Mr. Towriss described it as a meeting that he attended primarily to sign documents. Mr. Oliver provided him with a letter dated October 30, 1996 that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having advised you that we are lawyers for Taylor Ventures Ltd., the owner and Vendor of the above lots to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further confirm having advised you that you seek independent advice with respect to the completion and registration of the Transfers and the financing in favour of Westminster Savings Credit Union.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further confirm having advised you that our account in connection with this matter will be borne entirely by Taylor Ventures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Towriss signed the letter as "acknowledged". Mr. Towriss, however, elected not to obtain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documents that were prepared and executed did not reflect the transaction as Mr. Towriss described in his evidence. The documents reflected a purchase and sale with a mortgage providing partial payment of the purchase price. There was no documentation reflecting the arrangement that TVL would pay the mortgage and other expenses and would be entitled to sell the property upon payment to Mr. Towriss of $1,000 per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Towriss never discussed his understanding of the transaction, or the difference between the transaction as understood by Mr. Towriss, and the transaction reflected in the documents executed by the parties with Mr. Oliver.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Oliver's evidence given on Examination for Discovery was that he was performing legal services for TVL that resulted in Mr. Towriss becoming the owner of the real estate. It was his evidence that in so doing he carried out the functions that a lawyer would do for a purchaser of property in the sense of registering the property, getting a certificate of G.S.T., registrations and other related documents, such as reporting. Mr. Oliver did not provide Mr. Towriss with a Vendor's or Purchaser's Statement of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transaction closed, TVL made the payments on the mortgage and discharged other liabilities as they became due consistent with Mr. Towriss' understanding of the agreement he had reached with Mr. Taylor. In January 1998, however, a receiver was appointed of TVL and shortly thereafter Mr. Towriss was advised by WSCU that he would need to start making the mortgage payments. Mr. Towriss made efforts to sell the lots. However, it took a long time to sell the properties and the proceeds of sale were not sufficient to discharge the mortgage. Mr. Towriss then commenced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pleadings in the Amended Statement of Claim in relation to the Oliver defendants are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Oliver, Oliver Drabik and Thomas, or one of them, had a fiduciary duty to the Plaintiff to ensure that the transaction did not result in Paul Towriss being defrauded out of monies.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Oliver, Oliver Drabik and Thomas, or one of them, were aware of the fiduciary duties owed by Taylor Ventures Ltd. and Ralph Taylor to Paul Towriss and assisted Taylor Ventures Ltd. and Ralph Taylor in their breach of fiduciary duty.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affecting the transfer of the lots as outlined herein, the Defendant, Oliver and/or Oliver Drabik, acted for and owed a duty of care to Paul Towriss. The Defendant, Oliver and/or Oliver Drabik, owed a duty of care to Paul Towriss to advise him that Paul Towriss financial [sic] obligations would actually substantially increase and that his investment in Taylor Ventures Ltd. would be lost if he participated in this Scheme and hence, the Defendant, Oliver and/or Oliver Drabik, ought to have prevented the Scheme from proceeding.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Oliver and/or Oliver Drabik, breached their duty of care to the Plaintiff and were negligent in acting contrary to the interests of the Paul Towriss.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said negligent conduct, negligent misrepresentation, fraudulent misrepresentation and/or breach of fiduciary duty, Paul Towriss has suffered pecuniary damages including but not limited to the obligations of the said WSCU mortgage (mortgage account no. 27763), including principle and interest charges which obligations far exceed the fair market value of the twenty-three lots.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further result of said negligent conduct, negligent misrepresentation, fraudulent misrepresentation and/or breach of fiduciary duty, Paul Towriss has suffered pecuniary damages associated with the day to day maintenance of the said twenty-three lots particulars of which include strata fees, development cost charges, real estate commission to sell the lots, taxes and such other expenses as counsel may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Oliver Defendants submit that on Mr. Towriss's own evidence on Examination for Discovery, the claims were doomed to failure. They emphasize that Mr. Towriss knew the nature of the arrangement he was entering into and knew that if the lots were worth less than the amount of the mortgage his personal covenant would result in exposure. They submit that he placed no reliance upon the Oliver Defendants in relation to the issue of the value of the lots. They submit that Mr. Towriss understood that Mr. Oliver was acting only for TVL and not for him, and that he did not rely upon Mr. Oliver for advice of any sort. In the circumstances, they submit, there can be no finding of breach of fiduciary duty, or that Mr. Oliver assumed and breached a duty of care to Mr. Towriss. In addition, they submit that the cause of the loss was the decline in the value of the lots and unrelated to any acts or omissions of Mr. Oliver.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response, Counsel submitted on behalf of Mr. Towriss that Mr. Towriss believed that Mr. Oliver was acting for him and that in the circumstances, Mr. Towriss was a client or near client, and Mr. Oliver owed him a duty of care. This duty included a duty of full disclosure. Counsel submits that there were a number of matters known to Mr. Oliver that should have been disclosed to Mr. Towriss that, had they been disclosed, would have made a difference to his decision to proceed with the transaction. One such matter was the fact that, contrary to what Mr. Taylor had represented, there was a prior mortgage on the Langley Ice Rink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APPROPRIATENESS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concluded that this case is not appropriate for summary adjudication based upon the following considerations: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at bar, the issues of duty of care, breach and causation are interwoven. In my view, they are best determined in the context of the full factual matrix; see Prevost (Committee of) v. Vetter </w:t>
      </w:r>
      <w:r>
        <w:rPr>
          <w:rFonts w:ascii="arial" w:eastAsia="arial" w:hAnsi="arial" w:cs="arial"/>
          <w:i/>
          <w:color w:val="000000"/>
          <w:sz w:val="20"/>
          <w:lang w:val="en-US" w:eastAsia="en-US" w:bidi="ar-SA"/>
        </w:rPr>
        <w:t>(2002), 210 D.L.R. (4th) 649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and Parsons v. Finch </w:t>
      </w:r>
      <w:hyperlink r:id="rId204" w:history="1">
        <w:r>
          <w:rPr>
            <w:rFonts w:ascii="arial" w:eastAsia="arial" w:hAnsi="arial" w:cs="arial"/>
            <w:i/>
            <w:color w:val="0077CC"/>
            <w:sz w:val="20"/>
            <w:u w:val="single"/>
            <w:shd w:val="clear" w:color="auto" w:fill="FFFFFF"/>
            <w:lang w:val="en-US" w:eastAsia="en-US" w:bidi="ar-SA"/>
          </w:rPr>
          <w:t>(2003), 185 B.C.A.C. 146</w:t>
        </w:r>
      </w:hyperlink>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2003 BCCA 409</w:t>
        </w:r>
      </w:hyperlink>
      <w:r>
        <w:rPr>
          <w:rFonts w:ascii="arial" w:eastAsia="arial" w:hAnsi="arial" w:cs="arial"/>
          <w:color w:val="000000"/>
          <w:sz w:val="20"/>
          <w:lang w:val="en-US" w:eastAsia="en-US" w:bidi="ar-SA"/>
        </w:rPr>
        <w: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multiple defendants and overlapping claims. To determine the liability of only one of the defendants creates the possibility of a prejudice to the plaintiff, see Thomson v. Kootenay Lake (District) Hospital &amp; Health Services Society </w:t>
      </w:r>
      <w:hyperlink r:id="rId205" w:history="1">
        <w:r>
          <w:rPr>
            <w:rFonts w:ascii="arial" w:eastAsia="arial" w:hAnsi="arial" w:cs="arial"/>
            <w:i/>
            <w:color w:val="0077CC"/>
            <w:sz w:val="20"/>
            <w:u w:val="single"/>
            <w:shd w:val="clear" w:color="auto" w:fill="FFFFFF"/>
            <w:lang w:val="en-US" w:eastAsia="en-US" w:bidi="ar-SA"/>
          </w:rPr>
          <w:t>(1985), 68 B.C.L.R. 142</w:t>
        </w:r>
      </w:hyperlink>
      <w:r>
        <w:rPr>
          <w:rFonts w:ascii="arial" w:eastAsia="arial" w:hAnsi="arial" w:cs="arial"/>
          <w:color w:val="000000"/>
          <w:sz w:val="20"/>
          <w:lang w:val="en-US" w:eastAsia="en-US" w:bidi="ar-SA"/>
        </w:rPr>
        <w:t>, 7 C.P.C. (2d) 212;</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complexity of the litigation in terms of the number of parties and interrelated nature of the claims, there is every possibility of making findings in the 18A that could embarrass or create unanticipated consequences in the subsequent trial; see Privest Properties Ltd. v. Foundation Co. of Canada, </w:t>
      </w:r>
      <w:hyperlink r:id="rId206" w:history="1">
        <w:r>
          <w:rPr>
            <w:rFonts w:ascii="arial" w:eastAsia="arial" w:hAnsi="arial" w:cs="arial"/>
            <w:i/>
            <w:color w:val="0077CC"/>
            <w:sz w:val="20"/>
            <w:u w:val="single"/>
            <w:shd w:val="clear" w:color="auto" w:fill="FFFFFF"/>
            <w:lang w:val="en-US" w:eastAsia="en-US" w:bidi="ar-SA"/>
          </w:rPr>
          <w:t>[1990] B.C.J. No. 1349</w:t>
        </w:r>
      </w:hyperlink>
      <w:r>
        <w:rPr>
          <w:rFonts w:ascii="arial" w:eastAsia="arial" w:hAnsi="arial" w:cs="arial"/>
          <w:color w:val="000000"/>
          <w:sz w:val="20"/>
          <w:lang w:val="en-US" w:eastAsia="en-US" w:bidi="ar-SA"/>
        </w:rPr>
        <w:t>;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Oliver Defendants objected to the admissibility of the expert reports of Mark Standerwick dated July 16, 2004 and August 26, 2004. In my view, the objections were well founded and the reports are inadmissible. The reports do not contain a statement of the standards of the profession that relate to the issues in dispute. Rather, the reports offer opinions as to how the law should apply to various versions of the facts postulated by the expert. In so doing the expert has become an advocate and usurped the function of the court in a manner that the courts have repeatedly found to be unacceptable; see Surrey Credit Union v. Willson </w:t>
      </w:r>
      <w:hyperlink r:id="rId207" w:history="1">
        <w:r>
          <w:rPr>
            <w:rFonts w:ascii="arial" w:eastAsia="arial" w:hAnsi="arial" w:cs="arial"/>
            <w:i/>
            <w:color w:val="0077CC"/>
            <w:sz w:val="20"/>
            <w:u w:val="single"/>
            <w:shd w:val="clear" w:color="auto" w:fill="FFFFFF"/>
            <w:lang w:val="en-US" w:eastAsia="en-US" w:bidi="ar-SA"/>
          </w:rPr>
          <w:t>(1990), 45 B.C.L.R. (2d) 310</w:t>
        </w:r>
      </w:hyperlink>
      <w:r>
        <w:rPr>
          <w:rFonts w:ascii="arial" w:eastAsia="arial" w:hAnsi="arial" w:cs="arial"/>
          <w:color w:val="000000"/>
          <w:sz w:val="20"/>
          <w:lang w:val="en-US" w:eastAsia="en-US" w:bidi="ar-SA"/>
        </w:rPr>
        <w:t xml:space="preserve"> (B.C.S.C.), Yewdale v. Insurance Corporation of British Columbia </w:t>
      </w:r>
      <w:hyperlink r:id="rId208" w:history="1">
        <w:r>
          <w:rPr>
            <w:rFonts w:ascii="arial" w:eastAsia="arial" w:hAnsi="arial" w:cs="arial"/>
            <w:i/>
            <w:color w:val="0077CC"/>
            <w:sz w:val="20"/>
            <w:u w:val="single"/>
            <w:shd w:val="clear" w:color="auto" w:fill="FFFFFF"/>
            <w:lang w:val="en-US" w:eastAsia="en-US" w:bidi="ar-SA"/>
          </w:rPr>
          <w:t>(1995), 3 B.C.L.R. (3d) 240</w:t>
        </w:r>
      </w:hyperlink>
      <w:r>
        <w:rPr>
          <w:rFonts w:ascii="arial" w:eastAsia="arial" w:hAnsi="arial" w:cs="arial"/>
          <w:color w:val="000000"/>
          <w:sz w:val="20"/>
          <w:lang w:val="en-US" w:eastAsia="en-US" w:bidi="ar-SA"/>
        </w:rPr>
        <w:t xml:space="preserve"> (B.C.S.C.). However, the exclusion of the reports leaves the court without expert guidance with respect to the relevant professional standards.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Roy v. Canada (Attorney General), </w:t>
      </w:r>
      <w:hyperlink r:id="rId209" w:history="1">
        <w:r>
          <w:rPr>
            <w:rFonts w:ascii="arial" w:eastAsia="arial" w:hAnsi="arial" w:cs="arial"/>
            <w:i/>
            <w:color w:val="0077CC"/>
            <w:sz w:val="20"/>
            <w:u w:val="single"/>
            <w:shd w:val="clear" w:color="auto" w:fill="FFFFFF"/>
            <w:lang w:val="en-US" w:eastAsia="en-US" w:bidi="ar-SA"/>
          </w:rPr>
          <w:t>[2005] B.C.J. No. 293</w:t>
        </w:r>
      </w:hyperlink>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Southin J.A. stated at para. 36: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as here, at issue is the standard of a competent member of a trade or profession (and the occupation of peace officer falls within that rubric), evidence of those carrying on that occupation is necessary unless, in the words which McPherson C.J.M., in Anderson v. Chasney, </w:t>
      </w:r>
      <w:hyperlink r:id="rId210" w:history="1">
        <w:r>
          <w:rPr>
            <w:rFonts w:ascii="arial" w:eastAsia="arial" w:hAnsi="arial" w:cs="arial"/>
            <w:i/>
            <w:color w:val="0077CC"/>
            <w:sz w:val="20"/>
            <w:u w:val="single"/>
            <w:shd w:val="clear" w:color="auto" w:fill="FFFFFF"/>
            <w:lang w:val="en-US" w:eastAsia="en-US" w:bidi="ar-SA"/>
          </w:rPr>
          <w:t>[1949] 2 W.W.R. 337</w:t>
        </w:r>
      </w:hyperlink>
      <w:r>
        <w:rPr>
          <w:rFonts w:ascii="arial" w:eastAsia="arial" w:hAnsi="arial" w:cs="arial"/>
          <w:color w:val="000000"/>
          <w:sz w:val="20"/>
          <w:lang w:val="en-US" w:eastAsia="en-US" w:bidi="ar-SA"/>
        </w:rPr>
        <w:t xml:space="preserve"> (Man. C.A.) at 341, adopted from the American case of Mehigan v. Sheeham, 51 Atlantic Rep. 2nd series, 632, the matter is one of "non-technical matters or those of which an ordinary person may be expected to have knowledge."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Oliver Defendants rely in support of their position on the application upon evidence given by Mr. Towriss on Examination for Discovery. The plaintiff's counsel in turn relies upon passages to a different effect in Mr. Towriss's Affidavit. While it is clear that in an appropriate case facts can be found in summary trials even in the face of inconsistent evidence, in my view, this is not such a case. In my view, in this case, the facts in relation to issues such as reliance cannot be found on the basis of a review of isolated extracts from Examination for Discovery and paragraphs in affidavits. Moreover, because reliance is an element in negligent misrepresentation, there is substantial overlap with the claims against Mr. Thomas and WSCU.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Counsel for the Oliver Defendants placed considerable reliance upon Elms v. Laurentian Bank of Canada </w:t>
      </w:r>
      <w:hyperlink r:id="rId211" w:history="1">
        <w:r>
          <w:rPr>
            <w:rFonts w:ascii="arial" w:eastAsia="arial" w:hAnsi="arial" w:cs="arial"/>
            <w:i/>
            <w:color w:val="0077CC"/>
            <w:sz w:val="20"/>
            <w:u w:val="single"/>
            <w:shd w:val="clear" w:color="auto" w:fill="FFFFFF"/>
            <w:lang w:val="en-US" w:eastAsia="en-US" w:bidi="ar-SA"/>
          </w:rPr>
          <w:t>(2004), 35 B.C.L.R. (4th) 373</w:t>
        </w:r>
      </w:hyperlink>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2004 BCSC 1013</w:t>
        </w:r>
      </w:hyperlink>
      <w:r>
        <w:rPr>
          <w:rFonts w:ascii="arial" w:eastAsia="arial" w:hAnsi="arial" w:cs="arial"/>
          <w:color w:val="000000"/>
          <w:sz w:val="20"/>
          <w:lang w:val="en-US" w:eastAsia="en-US" w:bidi="ar-SA"/>
        </w:rPr>
        <w:t>, in which Mr. Justice Maczko, in an application brought pursuant to Rule 18A, dismissed the action against the Oliver Defendants. The litigation was a class action by a number of investors who had lost money in one of the TVL land developments.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are to my mind, however, a number of features that distinguish that decision from the circumstances in the case at bar. The action had been certified on the basis that the plaintiffs did not rely upon Mr. Oliver. In the case at bar, reliance is at issue, both with respect to the Oliver Defendants and Mr. Thomas and WSCU. Maczko J. concluded that the evidence on the 18A was sufficient to dispose of the issues and that there were no material conflicts in the evidence. In the case at bar, I have concluded that the full factual matrix is required for resolution of the issues, including any possible inconsistencies in Mr. Towriss's evidence which may give rise to issues of credibility. Finally, Maczko J. had the benefit of expert opinion with respect to the standard of care which is absent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One factor that I have not relied upon in reaching my conclusion is the plaintiff's position that it was inappropriate to proceed with the summary trial in advance of the resolution of the issue with respect to production of documents. The issue between the parties with respect to document production has been outstanding since 2001. The plaintiff first served the Notice of Motion seeking the documents on December 10, 2001. Since that time, the issue has remained alive. Plaintiff's counsel has chosen, for tactical reasons largely relating to the progress of other litigation, not to pursue resolution. In the meantime, the Oliver Defendants served materials for the 18A application on June 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By any standard, there has been more than ample time to resolve the issue concerning the adequacy of the defendants' document production in advance of this hearing. It has been stated in many previous decisions, but it bears repeating, that a party will not be permitted to frustrate an application for summary judgment by failing to take pre-trial procedures, see Anglo Cdn. Shipping Co. v. Pulp Paper &amp; Woodworkers of Canada Loc 8 </w:t>
      </w:r>
      <w:hyperlink r:id="rId212"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result, I have concluded that the matter is not suitable for summary disposition pursuant to Rule 18A. The matter is referred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DOCUMENTS MOTION - OLIVER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sought production of all documents in relation to transactions in which the Oliver Defendants had acted in regards to: "the transfer of properties owned by or in the control of TVL., Ralph Taylor, the Taylor family or related companies to nominee purchasers or the transfer of the said properties from the nominee purchaser to a third party." In the course of the hearing, the request was modified to: those documents relating to transactions, prior to October 1996, involving TVL, Ralph Taylor, the Taylor family or related companies involving WSCU financing, which are set out in a FICOM report in the possession of WSCU (the "Nominee Purchaser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production is sought on the basis of the pleading of a "scheme". Counsel submits that he has pled a scheme and requires the documents so that he can prove the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the problem with that submission is that a scheme is not a cause of action. Therefore, what must be addressed is the question of the relevance of such documents in relation to the matters at issue in the pleadings and specifically whether and how the "scheme" that is referred to in the pleading relates to the causes of action that have been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Similar fact evidence can be admissible in a civil proceeding under certain circumstances which were discussed in: MacDonald et al v. Canada Kelp Company Ltd. et al, </w:t>
      </w:r>
      <w:hyperlink r:id="rId213" w:history="1">
        <w:r>
          <w:rPr>
            <w:rFonts w:ascii="arial" w:eastAsia="arial" w:hAnsi="arial" w:cs="arial"/>
            <w:i/>
            <w:color w:val="0077CC"/>
            <w:sz w:val="20"/>
            <w:u w:val="single"/>
            <w:shd w:val="clear" w:color="auto" w:fill="FFFFFF"/>
            <w:lang w:val="en-US" w:eastAsia="en-US" w:bidi="ar-SA"/>
          </w:rPr>
          <w:t>[1973] 5 W.W.R. 689</w:t>
        </w:r>
      </w:hyperlink>
      <w:r>
        <w:rPr>
          <w:rFonts w:ascii="arial" w:eastAsia="arial" w:hAnsi="arial" w:cs="arial"/>
          <w:color w:val="000000"/>
          <w:sz w:val="20"/>
          <w:lang w:val="en-US" w:eastAsia="en-US" w:bidi="ar-SA"/>
        </w:rPr>
        <w:t xml:space="preserve"> at 699, </w:t>
      </w:r>
      <w:hyperlink r:id="rId213" w:history="1">
        <w:r>
          <w:rPr>
            <w:rFonts w:ascii="arial" w:eastAsia="arial" w:hAnsi="arial" w:cs="arial"/>
            <w:i/>
            <w:color w:val="0077CC"/>
            <w:sz w:val="20"/>
            <w:u w:val="single"/>
            <w:shd w:val="clear" w:color="auto" w:fill="FFFFFF"/>
            <w:lang w:val="en-US" w:eastAsia="en-US" w:bidi="ar-SA"/>
          </w:rPr>
          <w:t>39 D.L.R. (3d) 617</w:t>
        </w:r>
      </w:hyperlink>
      <w:r>
        <w:rPr>
          <w:rFonts w:ascii="arial" w:eastAsia="arial" w:hAnsi="arial" w:cs="arial"/>
          <w:color w:val="000000"/>
          <w:sz w:val="20"/>
          <w:lang w:val="en-US" w:eastAsia="en-US" w:bidi="ar-SA"/>
        </w:rPr>
        <w:t xml:space="preserve"> (B.C.C.A.), but subject to the requirements outlined by Mr. Justice Bull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there is a real and substantial nexus or connection between the act or allegation made, whether it be a crime or a fraud (but not, of course, limited to those), and facts relating to previous or subsequent transactions are sought to be given in evidence, then those facts have relevancy and are admissible not only to rebut a defence, such as lack of intent, accident, mens rea or the like, but to prove the fact of the act or allegations made.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Assistance is also to be had with respect to the concept of relevance in relation to similar fact evidence in the contest of a civil trial in Johnson v. Bugera </w:t>
      </w:r>
      <w:hyperlink r:id="rId214" w:history="1">
        <w:r>
          <w:rPr>
            <w:rFonts w:ascii="arial" w:eastAsia="arial" w:hAnsi="arial" w:cs="arial"/>
            <w:i/>
            <w:color w:val="0077CC"/>
            <w:sz w:val="20"/>
            <w:u w:val="single"/>
            <w:shd w:val="clear" w:color="auto" w:fill="FFFFFF"/>
            <w:lang w:val="en-US" w:eastAsia="en-US" w:bidi="ar-SA"/>
          </w:rPr>
          <w:t>(1999), 172 D.L.R. (4th) 535</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1999 BCCA 170</w:t>
        </w:r>
      </w:hyperlink>
      <w:r>
        <w:rPr>
          <w:rFonts w:ascii="arial" w:eastAsia="arial" w:hAnsi="arial" w:cs="arial"/>
          <w:color w:val="000000"/>
          <w:sz w:val="20"/>
          <w:lang w:val="en-US" w:eastAsia="en-US" w:bidi="ar-SA"/>
        </w:rPr>
        <w:t xml:space="preserve"> at para. 41 per Ryan 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 return to the proposition that evidence is adduced in a trial to prove a fact or facts in issue. In assessing the admissibility of evidence, lawyers and judges ask themselves the question, is this evidence probative of a fact in issue and hence relevant? Subject to other exclusionary rules like the hearsay rule, if those queries be answered in the affirmative, then the evidence is prima facie admissible at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requirement for a substantial nexus or connection is rooted at least in part in the need to keep the trial of the issue from being bogged down in the adjudication of collateral matters, see Christie v. Suburban Motors Ltd. </w:t>
      </w:r>
      <w:hyperlink r:id="rId215" w:history="1">
        <w:r>
          <w:rPr>
            <w:rFonts w:ascii="arial" w:eastAsia="arial" w:hAnsi="arial" w:cs="arial"/>
            <w:i/>
            <w:color w:val="0077CC"/>
            <w:sz w:val="20"/>
            <w:u w:val="single"/>
            <w:shd w:val="clear" w:color="auto" w:fill="FFFFFF"/>
            <w:lang w:val="en-US" w:eastAsia="en-US" w:bidi="ar-SA"/>
          </w:rPr>
          <w:t>(2000), 135 B.C.A.C. 14</w:t>
        </w:r>
      </w:hyperlink>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2000 BCCA 46</w:t>
        </w:r>
      </w:hyperlink>
      <w:r>
        <w:rPr>
          <w:rFonts w:ascii="arial" w:eastAsia="arial" w:hAnsi="arial" w:cs="arial"/>
          <w:color w:val="000000"/>
          <w:sz w:val="20"/>
          <w:lang w:val="en-US" w:eastAsia="en-US" w:bidi="ar-SA"/>
        </w:rPr>
        <w:t xml:space="preserve"> [Christie].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scheme described in the Amended Statement of Claim contains the following elements: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Real property registered in the name of Taylor Ventures Ltd. was transferred to a nominee purchaser. The Defendant, Oliver and/or Oliver, Drabik prepared the transfer documents and statements of adjustments for the transfers. The statements of adjustments indicated that the nominee purchaser paid a large deposit on account of the sale, which was false. At no time did the nominee purchasers pay the deposit indicated on the Statements of Adjustments. Taylor Ventures Ltd. and the Defendant, Oliver and/or Oliver, Drabik knew the Statements of Adjustments to be false;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transfers of the various properties, the Defendants, WSCU and Thomas, obtained appraisals of the properties from the Defendants, Rogers Appraisals and Rogers, which were and which they knew to be inflated. The Defendants, WSCU and Thomas, knew or ought to have known that the appraisals which were prepared by the Defendants, Rogers Appraisals and Rogers, in all cases grossly exceeded the purchase price paid for the properties by the Defendants, Taylor Ventures Ltd. and the fair market value of the said properties;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nominee purchaser would then obtain a mortgage on the real property through the Defendant, WSCU, in an amount that grossly exceeded the actual fair market value of the property;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mortgage proceeds were paid either directly to Taylor Ventures Ltd., or to the Defendant, Oliver, Drabik, in trust. Mortgage proceeds that were paid to the Defendant, Oliver Drabik, in trust, were then dispersed to Taylor Ventures Ltd. and/or Ralph Taylor. At no time did the nominee purchasers receive the mortgage proceeds;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WSCU and Thomas, knew that the mortgage proceeds were being paid to Taylor Ventures Ltd. and/or Ralph Taylor and not to the nominee purchasers;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Taylor Ventures Ltd., paid the mortgage payments to the Defendant, WSCU for the mortgages on the properties that had been transferred by Taylor Ventures Ltd., to the nominee purchasers until the time of its insolvency.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Plaintiff's counsel places considerable reliance upon the issue of Mr. Oliver's state of knowledge about the particulars of the transaction. He submits that if there were many more transactions like the transaction in the case at bar, it is more likely that Mr. Oliver knew about the structure, knew for example, that there was more to the transaction than was reflected in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To my mind, a very real difficulty in considering whether a nexus or connection such is to make the other transactions relevant is established in the case at bar, is that Mr. Towriss does not allege that he was unaware of the nature of the scheme. He pleads in para. 22 of the Amended Statement of Claim that he was aware, prior to entering the transaction, that he "was not buying the twenty three lots per say" [sic] and, that Mr. Taylor and TVL would pay all interest and carrying charges on the mortgage. An additional difficulty is that he does not allege that his loss resulted from the fact that the documents he executed were not consistent with the arrangement he understood that he had with Mr.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Another element of the alleged scheme is that the mortgage funds would be going to Mr. Taylor and TVL. However, again Mr. Towriss pleads that he was aware of that aspect of the transaction from the outset. In addition, it is hardly surprising that the mortgage proceeds would go to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Towriss pleads that the purpose of the scheme was to circumvent the lending policy of WSCU. However, he also pleads that he was fully aware that this was the purpose prior to entering into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Counsel submits that the Nominee Purchaser Transactions are relevant to establish Mr. Oliver's knowledge, and that if he knew about the structure of the transaction, he should have ensured that the documents reflected the transaction. That may be so, but the loss Mr. Towriss alleges is entirely unrelated to any difference between the documents executed and the agreement Mr. Towriss alleges with Mr. Taylor. TVL paid the costs associated with the mortgages and property, notwithstanding the absence of this obligation in the documents until it was placed in receivership.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far as I can see from either the pleadings or the submissions, Mr. Oliver's state of knowledge concerning the structure of the transaction is not germane to the determination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particulars of the acts that Mr. Towriss pleads in relation to all defendants are: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in relation to the fraud and conspiracy, that a grossly inflated appraisal for the property was prepared and referred to that the defendants except for the Oliver Defendants knew or ought to have known was grossly inflated. Thus the essence of the plea of fraud and conspiracy is, through the use of the inflated appraisal, Mr. Towriss was induced to enter into the transaction;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Oliver Defendants breached a duty of care and fiduciary duty to "ensure that the transaction did not result in Paul Towriss being defrauded out of monies", to advise Mr. Towriss that his financial obligations would substantially increase and his investment in TVL would be lost if he participated and to prevent the transaction from proceeding;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Thomas made negligent or false misstatements to Mr. Towriss about the financial situation of Mr. Taylor and TVL upon which Mr. Towriss relied to his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unable to see a nexus or connection between those allegations and the Nominee Purchaser Transactions. The plaintiff has not established that these documents could assist in advancing his case or in defeating his opponents. I have therefore concluded that the plaintiff has failed to establish that these are documents relating to any matter in question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seeks an order that the Oliver Defendants produce a copy of the B.C. Securities Commission file described as Oliver file B31583. Counsel submits that the relevance of this file is that it goes to Mr. Oliver's knowledge of TVL and how it worked. That may be so, however, I cannot see the relevance of how TVL conducted its business to matters at issue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result, the application for production of the documents by the Oliver Defendants is dismissed. Given my conclusion with respect to relevance, it is not necessary to deal with the submissions with respect to privilege and control of these documents except to add that neither TVL nor Mr. Taylor were served with notice of this application. Whatever the status of others might be, it is clear that Mr. Taylor and TVL were persons whose interests would be affected by the order sought and they should have been given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DOCUMENTS MOTION - WSCU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had sought and WSCU consented to production of the written lending policies of WSCU in place in October 1996 related to the lending limits of WSCU to related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seeks an order for production of documents in the possession of WSCU related to the Nominee Purchaser Transactions. For the reasons stated above, I have concluded that the fact that the plaintiff has "pleaded a scheme" is not a sufficient basis to establish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submits that the fact that this transaction is one of many is proof of fraud, evidence that the appraisal was inflated to the knowledge of Mr. Thomas. However, to my mind, that is so only if the other transactions were fraudulent, the other appraisals inflated and known to be so by Mr. Thomas. The fact that there were other such transactions is not in itself evidence of fraud. To embark in this proceeding upon an inquiry into the legitimacy of all other the Nominee Purchaser Transactions is to march into the bog of adjudication of collateral matters Newbury J.A. warns of in Christie.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Moreover, the question of whether the appraisal of these properties was overstated can only be answered by evidence in relation to the value of these properties. Appraisals of properties relating to other transactions will not be probative of the issue of the proper valuation of the properties at issue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result, the plaintiff has not established that these are documents relating to any matter at issue in the proceedings. The application for their production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seeks an order for production by WSCU of the banking statements of TVL for the period January 1, 1995 to January 30, 1998 and the unaudited financial statements of TVL for the years ending December 31, 1995 and 1996. In my view, such documents are relevant to the claim of negligent or fraudulent misrepresentation with respect to the banking statements. The plaintiff has not established the relevance of documents that came into existence after the alleged representations were made. Therefore, only documents from January 1, 1995 to October 31, 1996 are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However, neither TVL nor Mr. Taylor was named as a party to this action. Neither was served with the Notice of Motion seeking production of these documents. In my view, they ought to have been given notice and the opportunity to make submissions with respect to the production of these documents. In these circumstances, I decline to make the order for production. The plaintiff is at liberty to re-apply having given notice to TVL and Mr.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seeks production of the letter by which WSCU terminated Mr. Thomas's employment. WSCU advises that the letter is confidential, that it contains nothing about the issue of the appraisal in the Towriss transaction and is accordingly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for Mr. Towriss submits that the letter may contain evidence in relation to the loan being a means of circumventing the lending policies of WSCU. That may be so, but Mr. Towriss pleads that he was aware that the purpose of the transaction was to circumvent these policies before he entered into the transaction. Moreover, the loss he alleges is unrelated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addition, in Westminster Savings Credit Union v. 442391 B.C. Ltd. </w:t>
      </w:r>
      <w:hyperlink r:id="rId216" w:history="1">
        <w:r>
          <w:rPr>
            <w:rFonts w:ascii="arial" w:eastAsia="arial" w:hAnsi="arial" w:cs="arial"/>
            <w:i/>
            <w:color w:val="0077CC"/>
            <w:sz w:val="20"/>
            <w:u w:val="single"/>
            <w:shd w:val="clear" w:color="auto" w:fill="FFFFFF"/>
            <w:lang w:val="en-US" w:eastAsia="en-US" w:bidi="ar-SA"/>
          </w:rPr>
          <w:t>(2000), 32 R.P.R. (3d) 88</w:t>
        </w:r>
      </w:hyperlink>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2000 BCSC 633</w:t>
        </w:r>
      </w:hyperlink>
      <w:r>
        <w:rPr>
          <w:rFonts w:ascii="arial" w:eastAsia="arial" w:hAnsi="arial" w:cs="arial"/>
          <w:color w:val="000000"/>
          <w:sz w:val="20"/>
          <w:lang w:val="en-US" w:eastAsia="en-US" w:bidi="ar-SA"/>
        </w:rPr>
        <w:t xml:space="preserve"> Burnyeat J. considered and rejected similar arguments in relation to defences raised in a foreclosure action. For purposes of the application, Burnyeat J. assumed all of the facts alleged to constitute defences were true. Accordingly, even if the purpose of the transaction was to circumvent the lending limits at WSCU, that does not create a defence upon which Mr. Towriss can rely in seeking to have the mortgage declared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Accordingly, the plaintiff has not established that the document is relevant to any matter that is at issue in the proceedings. WSCU is not required to produce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Finally, the plaintiff seeks production of documents relating to the issue that there were other parties to whom WSCU made loans that were related or connected to TVL. For the reasons set out above, those documents are not relevant to any matter that is at issue in the proceedings and WSCU is not required to produce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Paragraphs 7 and 8 of the Affidavit of Paul Towriss #2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application for summary dismissal, pursuant to Rule 18A of the claim against the Oliver Defendants, is dismissed and the matter is referred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application for production of documents by the Oliver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application for production of documents by WSCU is dismissed with leave to re-apply with respect to the financial records pertaining to TVL and Mr. Taylor upon giving them notice of such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United States of America v. Cong, [2008] B.C.J. No. 895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F.W. 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4-5, 17, and April 24-25,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23926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895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630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77 W.C.B. (2d) 548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Extradition Act, S.C. 1999, c. 18, as amended Between The Attorney General of Canada on behalf of the United States of America, Applicant/Requesting State, and Huyen Thi Cong, Respondent/Person Sought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8" w:name="Keywords_11"/>
      <w:bookmarkEnd w:id="78"/>
      <w:r>
        <w:rPr>
          <w:rFonts w:ascii="arial" w:eastAsia="arial" w:hAnsi="arial" w:cs="arial"/>
          <w:b/>
          <w:color w:val="000000"/>
          <w:sz w:val="20"/>
          <w:lang w:val="en-US" w:eastAsia="en-US" w:bidi="ar-SA"/>
        </w:rPr>
        <w:t>Criminal law — Constitutional issues — Canadian Charter of Rights and Freedoms — Legal rights — Procedural rights — Right to retain and instruct counsel without delay — Application by US for respondent's committal for extradition for conspiracy to traffic in marihuana and possession of marihuana for purpose of trafficking — Respondent alleged identification evidence and evidence respecting alleged offences insufficient — Application allowed — Arresting officer breached respondent's rights under ss. 10(a)and 10(b) of Charter by erroneously advising respondent that her arrest was pursuant to Controlled Drugs and Substances Act rather than Extradition Act and by not ensuring respondent understood grounds for arrest — Officer also questioned respondent after she indicated desire to contact counsel — Respondent's statements after arrest excluded but remaining evidence sufficient to support committal — Canadian Charter of Rights and Freedoms, ss. 10(a, 10(b).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International law — Extradition and criminal mutual legal assistance — Application by US for respondent's committal for extradition for conspiracy to traffic in marihuana and possession of marihuana for purpose of trafficking — Respondent alleged identification evidence and evidence respecting alleged offences insufficient — Application allowed — Passport and driver's licence photo sufficient to establish respondent was Person Sought — Evidence in certified record sufficient to establish alleged offences.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9" w:name="Case Summary_10"/>
            <w:bookmarkEnd w:id="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US for the respondent's committal for the purpose of extradition for offences that corresponded in Canada to conspiracy to traffic in marihuana and possession of marihuana for the purpose of trafficking. The respondent argued there was insufficient evidence to establish that she was the Person Sought and that the evidence in the certified record was insufficient to justify committal on the alleged offense. The respondent was arrested in a Canadian airport pursuant to a Canada wide warrant under the Extradition Act. After confirming her identity, the arresting officer re-arrested the respondent and advised her of her Charter rights. He advised her the arrest was pursuant to the Controlled Drugs and Substances Act. The respondent, who spoke Vietnamese, indicated she did not know the reason for her arrest. After being advised of her right to counsel, the respondent indicated she wanted to contact counsel and gave the officer the name of a lawyer. The certified record alleged that the respondent was a customer of drug smugglers who transported the drugs for distribution to specified customers and that she used a named individual as her courier.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0" w:name="Holdings of Court_8"/>
            <w:bookmarkEnd w:id="8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police breached the respondent's s. 10(a) Charter rights by not advising her that she was being arrested pursuant to a warrant under the Extradition Act and by failing to ensure that she understood the reason for her arrest. The respondent was not given a reasonable opportunity to contact counsel. The officer questioned the respondent about her identity after the she indicated she wished to contact counsel. Once a person under arrest expressed the desire to speak to counsel the person must be afforded reasonable opportunity to do so and all questioning must cease. All statements made by the respondent after her arrest were excluded. The respondent's driver's licence photo and her passport were sufficient evidence to establish that she was the person sought for extradition. The hearsay evidence contained in the certified was admissible. There was sufficient evidence to justify committal on the basis of conspiracy to traffic marihuana. The evidence of the alleged courier that the respondent requested paperwork from him to show that he had been arrested and the marihuana was seized by police to show her associates that she was not responsible for the loss of the drugs was consistent with the respondent being the operating mind behind the conduct of the alleged couriers. All the evidence suggested that the respondent not only had knowledge and control of the drugs in question but she had constructive possession or joint possession at the relevant times. There was sufficient evidence to justify committal on the basis of possession for the purpose of trafficking.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1" w:name="Legislation Cited_9"/>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4"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10(a), s. 10(b)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Controlled Drugs and Substances Act, </w:t>
      </w:r>
      <w:hyperlink r:id="rId224" w:history="1">
        <w:r>
          <w:rPr>
            <w:rFonts w:ascii="arial" w:eastAsia="arial" w:hAnsi="arial" w:cs="arial"/>
            <w:i/>
            <w:color w:val="0077CC"/>
            <w:sz w:val="20"/>
            <w:u w:val="single"/>
            <w:shd w:val="clear" w:color="auto" w:fill="FFFFFF"/>
            <w:lang w:val="en-US" w:eastAsia="en-US" w:bidi="ar-SA"/>
          </w:rPr>
          <w:t>S.C. 1996, c. 19, s. 5</w:t>
        </w:r>
      </w:hyperlink>
      <w:r>
        <w:rPr>
          <w:rFonts w:ascii="arial" w:eastAsia="arial" w:hAnsi="arial" w:cs="arial"/>
          <w:color w:val="000000"/>
          <w:sz w:val="20"/>
          <w:lang w:val="en-US" w:eastAsia="en-US" w:bidi="ar-SA"/>
        </w:rPr>
        <w:t>(1),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s. 4(3)(b), s. 465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Extradition Act, </w:t>
      </w:r>
      <w:hyperlink r:id="rId225" w:history="1">
        <w:r>
          <w:rPr>
            <w:rFonts w:ascii="arial" w:eastAsia="arial" w:hAnsi="arial" w:cs="arial"/>
            <w:i/>
            <w:color w:val="0077CC"/>
            <w:sz w:val="20"/>
            <w:u w:val="single"/>
            <w:shd w:val="clear" w:color="auto" w:fill="FFFFFF"/>
            <w:lang w:val="en-US" w:eastAsia="en-US" w:bidi="ar-SA"/>
          </w:rPr>
          <w:t>S.C. 1999, c. 18, s. 29</w:t>
        </w:r>
      </w:hyperlink>
      <w:r>
        <w:rPr>
          <w:rFonts w:ascii="arial" w:eastAsia="arial" w:hAnsi="arial" w:cs="arial"/>
          <w:color w:val="000000"/>
          <w:sz w:val="20"/>
          <w:lang w:val="en-US" w:eastAsia="en-US" w:bidi="ar-SA"/>
        </w:rPr>
        <w:t>(1)(a), s. 32(1), s. 32(2), s. 37(a), s. 37(b)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2" w:name="Counsel_11"/>
      <w:bookmarkEnd w:id="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Applicant/Requesting State: Kerry L. Swift.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Respondent/Person Sought: Joseph M. Doyle.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3" w:name="Judgment_11"/>
      <w:bookmarkEnd w:id="83"/>
      <w:r>
        <w:pict>
          <v:line id="_x0000_s1086"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4" w:name="F.W. COLE J."/>
            <w:bookmarkEnd w:id="84"/>
            <w:r>
              <w:rPr>
                <w:rFonts w:ascii="arial" w:eastAsia="arial" w:hAnsi="arial" w:cs="arial"/>
                <w:b/>
                <w:color w:val="000000"/>
                <w:sz w:val="30"/>
                <w:lang w:val="en-US" w:eastAsia="en-US" w:bidi="ar-SA"/>
              </w:rPr>
              <w:t>F.W. 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United States of America ("USA") seeks to extradite a person named Huyen Thi Cong to the state of Oregon, in relation to alleged conduct, which corresponds to the following Canadian offences: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Conspiracy to traffic marihuana, a Schedule II listed substance, contrary to s. 5(1) of the </w:t>
      </w:r>
      <w:r>
        <w:rPr>
          <w:rFonts w:ascii="arial" w:eastAsia="arial" w:hAnsi="arial" w:cs="arial"/>
          <w:b/>
          <w:i/>
          <w:color w:val="000000"/>
          <w:sz w:val="20"/>
          <w:lang w:val="en-US" w:eastAsia="en-US" w:bidi="ar-SA"/>
        </w:rPr>
        <w:t>Controlled Drugs and Substances Act</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S.C. 1996, c. 19</w:t>
        </w:r>
      </w:hyperlink>
      <w:r>
        <w:rPr>
          <w:rFonts w:ascii="arial" w:eastAsia="arial" w:hAnsi="arial" w:cs="arial"/>
          <w:color w:val="000000"/>
          <w:sz w:val="20"/>
          <w:lang w:val="en-US" w:eastAsia="en-US" w:bidi="ar-SA"/>
        </w:rPr>
        <w:t xml:space="preserve"> and s. 465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Possession for the purposes of trafficking marihuana, a Schedule II listed substance, contrary to s. 5(2) of the </w:t>
      </w:r>
      <w:r>
        <w:rPr>
          <w:rFonts w:ascii="arial" w:eastAsia="arial" w:hAnsi="arial" w:cs="arial"/>
          <w:b/>
          <w:i/>
          <w:color w:val="000000"/>
          <w:sz w:val="20"/>
          <w:lang w:val="en-US" w:eastAsia="en-US" w:bidi="ar-SA"/>
        </w:rPr>
        <w:t>Controlled Drugs and Substances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USA seeks an order pursuant to s. 29 of the </w:t>
      </w:r>
      <w:r>
        <w:rPr>
          <w:rFonts w:ascii="arial" w:eastAsia="arial" w:hAnsi="arial" w:cs="arial"/>
          <w:b/>
          <w:i/>
          <w:color w:val="000000"/>
          <w:sz w:val="20"/>
          <w:lang w:val="en-US" w:eastAsia="en-US" w:bidi="ar-SA"/>
        </w:rPr>
        <w:t>Extradition Act</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S.C. 1999, c. 18</w:t>
        </w:r>
      </w:hyperlink>
      <w:r>
        <w:rPr>
          <w:rFonts w:ascii="arial" w:eastAsia="arial" w:hAnsi="arial" w:cs="arial"/>
          <w:color w:val="000000"/>
          <w:sz w:val="20"/>
          <w:lang w:val="en-US" w:eastAsia="en-US" w:bidi="ar-SA"/>
        </w:rPr>
        <w:t>, as amended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which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29.(1) A judge shall order the committal of the person into custody to await surrender if</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person sought for prosecution, there is evidence admissible under this Act of conduct that, had it occurred in Canada, would justify committal for trial in Canada on the offence set out in the authority to proceed and the judge is satisfied that the person is the person sought by the extradition partner;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Committal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applicant relies upon the following evidence (collectively the "Committal Evidence"):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authority to proceed ("ATP");</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certified record of the case for prosecution dated October 4, 2005 ("ROC");</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testimony of Constable S. Wirth of the Royal Canadian Mounted Police in relation to her arrest of Cong;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for Cong has raised two issues: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applicant has not proven that the respondent is the same person as the Person Sought;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in its entirety is not sufficient to justify a committal on the offence of conspiracy to traffic in marihuana or for the offence of possession for the purpose of trafficking.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There are two aspects to the issue of identification. The first aspect is that there must be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that the person before the court is the person who engaged in the alleged conduct that underlies the extradition request. This is known as "identification as part of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second aspect is that there must be evidence that the person before the courts is the person sought by the extradition partner? This is known as "identification of the person sought". The standard of proof in this regard is a balance of probabilities: </w:t>
      </w:r>
      <w:r>
        <w:rPr>
          <w:rFonts w:ascii="arial" w:eastAsia="arial" w:hAnsi="arial" w:cs="arial"/>
          <w:b/>
          <w:i/>
          <w:color w:val="000000"/>
          <w:sz w:val="20"/>
          <w:lang w:val="en-US" w:eastAsia="en-US" w:bidi="ar-SA"/>
        </w:rPr>
        <w:t>United States of America v. Wong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(1995), 98 C.C.C. (3d) 332</w:t>
      </w:r>
      <w:r>
        <w:rPr>
          <w:rFonts w:ascii="arial" w:eastAsia="arial" w:hAnsi="arial" w:cs="arial"/>
          <w:color w:val="000000"/>
          <w:sz w:val="20"/>
          <w:lang w:val="en-US" w:eastAsia="en-US" w:bidi="ar-SA"/>
        </w:rPr>
        <w:t xml:space="preserve"> (B.C.C.A.) at para. 69, leave to appeal to S.C.C. refused, </w:t>
      </w:r>
      <w:hyperlink r:id="rId228" w:history="1">
        <w:r>
          <w:rPr>
            <w:rFonts w:ascii="arial" w:eastAsia="arial" w:hAnsi="arial" w:cs="arial"/>
            <w:i/>
            <w:color w:val="0077CC"/>
            <w:sz w:val="20"/>
            <w:u w:val="single"/>
            <w:shd w:val="clear" w:color="auto" w:fill="FFFFFF"/>
            <w:lang w:val="en-US" w:eastAsia="en-US" w:bidi="ar-SA"/>
          </w:rPr>
          <w:t>[1995] S.C.C.A No. 286</w:t>
        </w:r>
      </w:hyperlink>
      <w:r>
        <w:rPr>
          <w:rFonts w:ascii="arial" w:eastAsia="arial" w:hAnsi="arial" w:cs="arial"/>
          <w:color w:val="000000"/>
          <w:sz w:val="20"/>
          <w:lang w:val="en-US" w:eastAsia="en-US" w:bidi="ar-SA"/>
        </w:rPr>
        <w:t>. It is with the second aspect of identification that the respondent takes issue. They claim that, on the admissible evidence, the USA has not proven on a balance of probabilities that the person arrested at the Vancouver Airport by Constable Wirth is the same person depicted in the photograph attached to the ROC.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Section 37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deals with evidence of identification:</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are evidence that the person before the court is the person referred to in the order of arrest, the document that records the conviction or any other document that is presented to support the request: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name of the person before the court is similar to the name that is in the documents submitted by the extradition partner;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physical characteristics of the person before the court are similar to those evidenced in a photograph, fingerprint or other description of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Wong</w:t>
      </w:r>
      <w:r>
        <w:rPr>
          <w:rFonts w:ascii="arial" w:eastAsia="arial" w:hAnsi="arial" w:cs="arial"/>
          <w:color w:val="000000"/>
          <w:sz w:val="20"/>
          <w:lang w:val="en-US" w:eastAsia="en-US" w:bidi="ar-SA"/>
        </w:rPr>
        <w:t>, the extradition judge had compared the person before the court with the photographs in evidence. The Court of Appeal stated, at para.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The learned judge's method of comparing the photographs in the evidence with the fugitive before him was in accordance with the method used in </w:t>
      </w:r>
      <w:r>
        <w:rPr>
          <w:rFonts w:ascii="arial" w:eastAsia="arial" w:hAnsi="arial" w:cs="arial"/>
          <w:b/>
          <w:i/>
          <w:color w:val="000000"/>
          <w:sz w:val="20"/>
          <w:lang w:val="en-US" w:eastAsia="en-US" w:bidi="ar-SA"/>
        </w:rPr>
        <w:t>Re United States of America and Peltier</w:t>
      </w:r>
      <w:r>
        <w:rPr>
          <w:rFonts w:ascii="arial" w:eastAsia="arial" w:hAnsi="arial" w:cs="arial"/>
          <w:color w:val="000000"/>
          <w:sz w:val="20"/>
          <w:lang w:val="en-US" w:eastAsia="en-US" w:bidi="ar-SA"/>
        </w:rPr>
        <w:t xml:space="preserve">, June 18, 1976, B.C.S.C, Vancouver 760176, at p. 37. In </w:t>
      </w:r>
      <w:r>
        <w:rPr>
          <w:rFonts w:ascii="arial" w:eastAsia="arial" w:hAnsi="arial" w:cs="arial"/>
          <w:b/>
          <w:i/>
          <w:color w:val="000000"/>
          <w:sz w:val="20"/>
          <w:lang w:val="en-US" w:eastAsia="en-US" w:bidi="ar-SA"/>
        </w:rPr>
        <w:t>Peltier</w:t>
      </w:r>
      <w:r>
        <w:rPr>
          <w:rFonts w:ascii="arial" w:eastAsia="arial" w:hAnsi="arial" w:cs="arial"/>
          <w:color w:val="000000"/>
          <w:sz w:val="20"/>
          <w:lang w:val="en-US" w:eastAsia="en-US" w:bidi="ar-SA"/>
        </w:rPr>
        <w:t xml:space="preserve">, Mr. Justice Schultz reviewed a large number of authorities on the sufficiency of identification and the method of identification and concluded by comparing Peltier with the photographs in evidence that Peltier was the person displayed in the photographs. Mr. Justice Schultz applied the decision of Pratte J.A. in </w:t>
      </w:r>
      <w:r>
        <w:rPr>
          <w:rFonts w:ascii="arial" w:eastAsia="arial" w:hAnsi="arial" w:cs="arial"/>
          <w:b/>
          <w:i/>
          <w:color w:val="000000"/>
          <w:sz w:val="20"/>
          <w:lang w:val="en-US" w:eastAsia="en-US" w:bidi="ar-SA"/>
        </w:rPr>
        <w:t>Jang v. U.S.A.</w:t>
      </w:r>
      <w:r>
        <w:rPr>
          <w:rFonts w:ascii="arial" w:eastAsia="arial" w:hAnsi="arial" w:cs="arial"/>
          <w:color w:val="000000"/>
          <w:sz w:val="20"/>
          <w:lang w:val="en-US" w:eastAsia="en-US" w:bidi="ar-SA"/>
        </w:rPr>
        <w:t xml:space="preserve">, May 7, 1975, F.C.A., and the decision of Ruttan J. in </w:t>
      </w:r>
      <w:r>
        <w:rPr>
          <w:rFonts w:ascii="arial" w:eastAsia="arial" w:hAnsi="arial" w:cs="arial"/>
          <w:b/>
          <w:i/>
          <w:color w:val="000000"/>
          <w:sz w:val="20"/>
          <w:lang w:val="en-US" w:eastAsia="en-US" w:bidi="ar-SA"/>
        </w:rPr>
        <w:t>Re Low</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[1976] 2 W.W.R. 560</w:t>
        </w:r>
      </w:hyperlink>
      <w:r>
        <w:rPr>
          <w:rFonts w:ascii="arial" w:eastAsia="arial" w:hAnsi="arial" w:cs="arial"/>
          <w:color w:val="000000"/>
          <w:sz w:val="20"/>
          <w:lang w:val="en-US" w:eastAsia="en-US" w:bidi="ar-SA"/>
        </w:rPr>
        <w:t xml:space="preserve"> (B.C.S.C.) at p. 566.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 similar decision was made by the Supreme Court of Canada in </w:t>
      </w:r>
      <w:r>
        <w:rPr>
          <w:rFonts w:ascii="arial" w:eastAsia="arial" w:hAnsi="arial" w:cs="arial"/>
          <w:b/>
          <w:i/>
          <w:color w:val="000000"/>
          <w:sz w:val="20"/>
          <w:lang w:val="en-US" w:eastAsia="en-US" w:bidi="ar-SA"/>
        </w:rPr>
        <w:t>R. v. Nikolovski,</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[1996] 3 S.C.R. 1197</w:t>
        </w:r>
      </w:hyperlink>
      <w:r>
        <w:rPr>
          <w:rFonts w:ascii="arial" w:eastAsia="arial" w:hAnsi="arial" w:cs="arial"/>
          <w:color w:val="000000"/>
          <w:sz w:val="20"/>
          <w:lang w:val="en-US" w:eastAsia="en-US" w:bidi="ar-SA"/>
        </w:rPr>
        <w:t>, where the trial judge had reviewed a video tape of a robbery and concluded: "... that the person who committed that robbery is Mr. Nikolovski, and I can't ignore that". The Supreme Court of Canada held,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So long as the videotape is of good quality and gives a clear picture of events and the perpetrator, it may provide the best evidence of the identity of the perpetrator. It is relevant and admissible evidence that can by itself be cogent and convincing evidence on the issue of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Cong has made two admissions regarding identification:</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issue that the person arrested by Constable Wirth is the person in court.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issue that the statement made by Cong to Constable Wirth (as discussed below) was voluntary in the legal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Constable Wirth's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of Constable Wirth was that, on March 25, 2007, she attended at the Canadian Custom Border Service Agency, at the Vancouver International Airport, to arrest an individual pursuant to a warrant. Once arrived, she was given a Canadian Passport, belonging to Huyen Thi Cong by Officer Pannu of the Canadian Border Services Agency, who was the arresting officer. Constable Wirth stated that she was told by Officer Pannu that the passport belonged to the individual they had in custody. At that time, Cong was in what Constable Wirth called the "Lawyer's Room", which I understand is an interview room. There, Cong was speaking with a Vietnamese interpreter and a lawyer named Roger Bachelor. Constable Wirth said she compared the photograph in the passport to the individual in the lawyer's room and was satisfied that she was dealing with the same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When Cong had finished speaking with Mr. Bachelor, she was released into the custody of Constable Wirth, who placed Cong in the back of her police cruiser. In her direct examination, Constable Wirth said that "while secure in the rear of my police cruiser I asked her her name, to state her name in full and asked for a date of birth. While she was giving such, I was putting that in my computer terminal in the car to verify her identification." Constable Wirth testified that Cong identified herself as Huyen Thi Cong, and stated that her date of birth was April 7, 1970. When asked whether she had provided Cong with any "further" information, Constable Wirth stated that "I did. I rearrested her. I advised her that she was being arrested on a Canada-wide warrant and I gave her her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rights and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Apart from the use of the word "further" in Ms. Swift's question regarding "further information", the evidence in direct examination did not suggest the sequence in which Cong was 1) rearrested, Chartered, and given a warning about her right of silence, and 2) asked for her name and date of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contrast, in cross-examination, Constable Wirth was taken to and relied upon her notebook, which contained the times at which these events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cross-examination, Constable Wirth said that she rearrested Cong and read her her s. 10(a) and s. 10(b) rights at 22:58. S. 10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Everyone has the right on arrest or detention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to be informed promptly of the reasons therefore;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to retain and instruct counsel without delay and to be informed of that right;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With respect to her 10(a)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warning, Constable Wirth stated that she could not recall the specifics of the Canada-wide warrant other than that it was for conspiracy to traffic in marihuana under the </w:t>
      </w:r>
      <w:r>
        <w:rPr>
          <w:rFonts w:ascii="arial" w:eastAsia="arial" w:hAnsi="arial" w:cs="arial"/>
          <w:b/>
          <w:i/>
          <w:color w:val="000000"/>
          <w:sz w:val="20"/>
          <w:lang w:val="en-US" w:eastAsia="en-US" w:bidi="ar-SA"/>
        </w:rPr>
        <w:t>Controlled Drugs and Substances Act</w:t>
      </w:r>
      <w:r>
        <w:rPr>
          <w:rFonts w:ascii="arial" w:eastAsia="arial" w:hAnsi="arial" w:cs="arial"/>
          <w:color w:val="000000"/>
          <w:sz w:val="20"/>
          <w:lang w:val="en-US" w:eastAsia="en-US" w:bidi="ar-SA"/>
        </w:rPr>
        <w:t xml:space="preserve">. In cross-examination, she stated that this is what she told Cong. She admitted, however, that the warrant was issued with respect to a proposed extradition proceeding and that she did not know that at the time. It is clear from the warrant that it was in respect to a conspiracy to traffic in marihuana and was under the </w:t>
      </w:r>
      <w:r>
        <w:rPr>
          <w:rFonts w:ascii="arial" w:eastAsia="arial" w:hAnsi="arial" w:cs="arial"/>
          <w:b/>
          <w:i/>
          <w:color w:val="000000"/>
          <w:sz w:val="20"/>
          <w:lang w:val="en-US" w:eastAsia="en-US" w:bidi="ar-SA"/>
        </w:rPr>
        <w:t>Extradition Act</w:t>
      </w:r>
      <w:r>
        <w:rPr>
          <w:rFonts w:ascii="arial" w:eastAsia="arial" w:hAnsi="arial" w:cs="arial"/>
          <w:color w:val="000000"/>
          <w:sz w:val="20"/>
          <w:lang w:val="en-US" w:eastAsia="en-US" w:bidi="ar-SA"/>
        </w:rPr>
        <w:t xml:space="preserve">. Later in her testimony, Constable Wirth said she could not recall if she actually specified that it was a </w:t>
      </w:r>
      <w:r>
        <w:rPr>
          <w:rFonts w:ascii="arial" w:eastAsia="arial" w:hAnsi="arial" w:cs="arial"/>
          <w:b/>
          <w:i/>
          <w:color w:val="000000"/>
          <w:sz w:val="20"/>
          <w:lang w:val="en-US" w:eastAsia="en-US" w:bidi="ar-SA"/>
        </w:rPr>
        <w:t>CDSA</w:t>
      </w:r>
      <w:r>
        <w:rPr>
          <w:rFonts w:ascii="arial" w:eastAsia="arial" w:hAnsi="arial" w:cs="arial"/>
          <w:color w:val="000000"/>
          <w:sz w:val="20"/>
          <w:lang w:val="en-US" w:eastAsia="en-US" w:bidi="ar-SA"/>
        </w:rPr>
        <w:t xml:space="preserve">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still at 22:58, the constable asked if Cong understood the warning concerning the right to contact a lawyer in private, the constable's notes stated that Cong replied: "A little bit. Not very much." Cong was then asked if she wanted to call a lawyer to which she answered "Yeah", followed by the statement "Lawyer doesn't tell me. I don't know why I am arrested." She was asked what her lawyer's name was and she replied "Johnson". In Constable Wirth's notebook, there was the word "Johnson" written at 22:30 hours, approximately thirty minutes before Constable Wirth asked Cong if she wanted to call a lawyer. Constable Wirth believes that she got that name from Officer Pannu while Cong was in the lawyer's room at the airport but could not remember with any certainty the context in which it was written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Constable Wirth gave evidence in cross-examination, supported by her notes, that, at 23:02, she gave Cong the police warning informing her of her right of silence and then, after 23:05, inquired as to Cong's name and date of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Cong was taken to the Richmond detachment where more information was given by the accused concerning her height, weight, address and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Charter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respondent argues that Cong's s. 10(a) right was violated because she was never informed of the reason for her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am satisfied that Constable Wirth never told Cong that she was being arrested pursuant to a warrant relating to the </w:t>
      </w:r>
      <w:r>
        <w:rPr>
          <w:rFonts w:ascii="arial" w:eastAsia="arial" w:hAnsi="arial" w:cs="arial"/>
          <w:b/>
          <w:i/>
          <w:color w:val="000000"/>
          <w:sz w:val="20"/>
          <w:lang w:val="en-US" w:eastAsia="en-US" w:bidi="ar-SA"/>
        </w:rPr>
        <w:t>Extradition Act</w:t>
      </w:r>
      <w:r>
        <w:rPr>
          <w:rFonts w:ascii="arial" w:eastAsia="arial" w:hAnsi="arial" w:cs="arial"/>
          <w:color w:val="000000"/>
          <w:sz w:val="20"/>
          <w:lang w:val="en-US" w:eastAsia="en-US" w:bidi="ar-SA"/>
        </w:rPr>
        <w:t xml:space="preserve"> and I am satisfied that Constable Wirth erroneously informed Cong that the Canadian-wide warrant was in respect to conspiracy to traffic in marihuana under the </w:t>
      </w:r>
      <w:r>
        <w:rPr>
          <w:rFonts w:ascii="arial" w:eastAsia="arial" w:hAnsi="arial" w:cs="arial"/>
          <w:b/>
          <w:i/>
          <w:color w:val="000000"/>
          <w:sz w:val="20"/>
          <w:lang w:val="en-US" w:eastAsia="en-US" w:bidi="ar-SA"/>
        </w:rPr>
        <w:t>Controlled Drugs and Substances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Evans,</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[1991] 1 S.C.R. 869</w:t>
        </w:r>
      </w:hyperlink>
      <w:r>
        <w:rPr>
          <w:rFonts w:ascii="arial" w:eastAsia="arial" w:hAnsi="arial" w:cs="arial"/>
          <w:color w:val="000000"/>
          <w:sz w:val="20"/>
          <w:lang w:val="en-US" w:eastAsia="en-US" w:bidi="ar-SA"/>
        </w:rPr>
        <w:t>, at 886, McLachlin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right to be promptly advised of the reason for one's detention embodied in s. 10(a) of the Charter is founded most fundamentally on the notion that one is not obliged to submit to an arrest if one does not know the reasons for it: </w:t>
      </w:r>
      <w:r>
        <w:rPr>
          <w:rFonts w:ascii="arial" w:eastAsia="arial" w:hAnsi="arial" w:cs="arial"/>
          <w:b/>
          <w:i/>
          <w:color w:val="000000"/>
          <w:sz w:val="20"/>
          <w:lang w:val="en-US" w:eastAsia="en-US" w:bidi="ar-SA"/>
        </w:rPr>
        <w:t>R. v. Kelly</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(1985), 17 C.C.C. (3d) 419</w:t>
        </w:r>
      </w:hyperlink>
      <w:r>
        <w:rPr>
          <w:rFonts w:ascii="arial" w:eastAsia="arial" w:hAnsi="arial" w:cs="arial"/>
          <w:color w:val="000000"/>
          <w:sz w:val="20"/>
          <w:lang w:val="en-US" w:eastAsia="en-US" w:bidi="ar-SA"/>
        </w:rPr>
        <w:t xml:space="preserve"> at p. 424, </w:t>
      </w:r>
      <w:hyperlink r:id="rId232" w:history="1">
        <w:r>
          <w:rPr>
            <w:rFonts w:ascii="arial" w:eastAsia="arial" w:hAnsi="arial" w:cs="arial"/>
            <w:i/>
            <w:color w:val="0077CC"/>
            <w:sz w:val="20"/>
            <w:u w:val="single"/>
            <w:shd w:val="clear" w:color="auto" w:fill="FFFFFF"/>
            <w:lang w:val="en-US" w:eastAsia="en-US" w:bidi="ar-SA"/>
          </w:rPr>
          <w:t>44 C.R. (3d) 17</w:t>
        </w:r>
      </w:hyperlink>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12 C.R.R. 354</w:t>
        </w:r>
      </w:hyperlink>
      <w:r>
        <w:rPr>
          <w:rFonts w:ascii="arial" w:eastAsia="arial" w:hAnsi="arial" w:cs="arial"/>
          <w:color w:val="000000"/>
          <w:sz w:val="20"/>
          <w:lang w:val="en-US" w:eastAsia="en-US" w:bidi="ar-SA"/>
        </w:rPr>
        <w:t xml:space="preserve"> (Ont. C.A.). A second aspect of the right lies in its role as an adjunct to the right to counsel conferred by s. 10(b) of the Charter. As Wilson J. stated for the court in </w:t>
      </w:r>
      <w:r>
        <w:rPr>
          <w:rFonts w:ascii="arial" w:eastAsia="arial" w:hAnsi="arial" w:cs="arial"/>
          <w:b/>
          <w:i/>
          <w:color w:val="000000"/>
          <w:sz w:val="20"/>
          <w:lang w:val="en-US" w:eastAsia="en-US" w:bidi="ar-SA"/>
        </w:rPr>
        <w:t>R. v. Black</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(1989), 50 C.C.C. (3d) 1</w:t>
        </w:r>
      </w:hyperlink>
      <w:r>
        <w:rPr>
          <w:rFonts w:ascii="arial" w:eastAsia="arial" w:hAnsi="arial" w:cs="arial"/>
          <w:color w:val="000000"/>
          <w:sz w:val="20"/>
          <w:lang w:val="en-US" w:eastAsia="en-US" w:bidi="ar-SA"/>
        </w:rPr>
        <w:t xml:space="preserve"> at p. 12, </w:t>
      </w:r>
      <w:hyperlink r:id="rId233" w:history="1">
        <w:r>
          <w:rPr>
            <w:rFonts w:ascii="arial" w:eastAsia="arial" w:hAnsi="arial" w:cs="arial"/>
            <w:i/>
            <w:color w:val="0077CC"/>
            <w:sz w:val="20"/>
            <w:u w:val="single"/>
            <w:shd w:val="clear" w:color="auto" w:fill="FFFFFF"/>
            <w:lang w:val="en-US" w:eastAsia="en-US" w:bidi="ar-SA"/>
          </w:rPr>
          <w:t>[1989] 2 S.C.R. 138</w:t>
        </w:r>
      </w:hyperlink>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70 C.R. (3d) 97</w:t>
        </w:r>
      </w:hyperlink>
      <w:r>
        <w:rPr>
          <w:rFonts w:ascii="arial" w:eastAsia="arial" w:hAnsi="arial" w:cs="arial"/>
          <w:color w:val="000000"/>
          <w:sz w:val="20"/>
          <w:lang w:val="en-US" w:eastAsia="en-US" w:bidi="ar-SA"/>
        </w:rPr>
        <w:t>, "[a]n individual can only exercise his s. 10(b) right in a meaningful way if he knows the extent of his jeopardy". In interpreting s. 10(a) in a purposive manner, regard must be had to the double rationale underlying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fact that Cong told Constable Wirth that "lawyer doesn't tell me. I don't know why I'm arrested." reinforces my view that there was a breach of Cong's s. 10(a)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 As stated above, I am satisfied that Constable Wirth misinformed her of the reason for her arrest. Furthermore, it appears from this quotation, that Cong did not understand what she had been told. It is unsettling that an officer, knowing that Cong had previously been communicating with the help of a Vietnamese interpreter, would hear Cong's words and not take steps to secure the aid of an interpreter to ensure that Cong understood the reason for her arrest. The above-quoted portion of </w:t>
      </w:r>
      <w:r>
        <w:rPr>
          <w:rFonts w:ascii="arial" w:eastAsia="arial" w:hAnsi="arial" w:cs="arial"/>
          <w:b/>
          <w:i/>
          <w:color w:val="000000"/>
          <w:sz w:val="20"/>
          <w:lang w:val="en-US" w:eastAsia="en-US" w:bidi="ar-SA"/>
        </w:rPr>
        <w:t>Evans</w:t>
      </w:r>
      <w:r>
        <w:rPr>
          <w:rFonts w:ascii="arial" w:eastAsia="arial" w:hAnsi="arial" w:cs="arial"/>
          <w:color w:val="000000"/>
          <w:sz w:val="20"/>
          <w:lang w:val="en-US" w:eastAsia="en-US" w:bidi="ar-SA"/>
        </w:rPr>
        <w:t xml:space="preserve"> focuses on "knowing" the reason for one's detention, not merely being told of the reason. If the rights guaranteed by the Charter are not understood by the holder of those rights, their value is seriously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respondent further argues that her s. 10(b) rights were violated. Cong immediately expressed the desire to speak to counsel once her rights were read to her. She even gave the name of her lawyer. I am satisfied that she was not given a reasonable opportunity to contact counsel. In addition, and as mentioned, it was well known to Constable Wirth that Cong had requested and received a Vietnamese interpreter when she was in the lawyer's room at the Vancouver airport. Again, no attempt was made by Constable Wirth to obtain a Vietnamese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It is well settled that once a person under arrest expresses the desire to speak to counsel the person must be afforded reasonable opportunity to do so and all questioning must cease; </w:t>
      </w:r>
      <w:r>
        <w:rPr>
          <w:rFonts w:ascii="arial" w:eastAsia="arial" w:hAnsi="arial" w:cs="arial"/>
          <w:b/>
          <w:i/>
          <w:color w:val="000000"/>
          <w:sz w:val="20"/>
          <w:lang w:val="en-US" w:eastAsia="en-US" w:bidi="ar-SA"/>
        </w:rPr>
        <w:t>R. v. Manninen</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[1987] 1 S.C.R. 1233</w:t>
        </w:r>
      </w:hyperlink>
      <w:r>
        <w:rPr>
          <w:rFonts w:ascii="arial" w:eastAsia="arial" w:hAnsi="arial" w:cs="arial"/>
          <w:color w:val="000000"/>
          <w:sz w:val="20"/>
          <w:lang w:val="en-US" w:eastAsia="en-US" w:bidi="ar-SA"/>
        </w:rPr>
        <w:t xml:space="preserve"> at 1242.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There is potentially conflicting evidence as to whether Cong told Constable Wirth her name and date of birth before or after she was Chartered and declared that she wanted to speak to her lawyer. On direct examination, the sequence of questions make it appear that she gave her name and date of birth prior to receiving her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warning but in cross-examination it is apparent she was given her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warning at the same time she was rearrested at 22:58 hours, and that she was asked for her name and date of birth afterward.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That potential conflict in the evidence must be resolved in favour of Cong. By Constable Wirth's evidence in cross-examination, it is clear that Cong was asked her name and date of birth after she had stated that she wished to speak with her lawyer. It was never argued that Constable Wirth asked these questions twice, and, indeed, it would have been illogical for her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Crown has made an argument under s. 24(2) of the Charter for the admissibility of the evidence in the event that it was obtained as a result of a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breach. As I will find that, even with the exclusion of this evidence, there is adequate evidence for identification, I will not address that argument here. Suffice to say that I am satisfied that Cong's rights under ss. 10(a) and 10(b)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have been unjustifiably violated and I therefore exclude any statement given by Cong after she was arrested by Wirth.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Limited Use of Identification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Requesting State submits that the evidence obtained from the accused in respect to her name and date of birth is admissible as the failure of Constable Wirth not to take the necessary steps to ensure that she had arrested the proper person would in fact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say, that there is ample authority for the admission of the identification evidence and rely upon the cases of </w:t>
      </w:r>
      <w:r>
        <w:rPr>
          <w:rFonts w:ascii="arial" w:eastAsia="arial" w:hAnsi="arial" w:cs="arial"/>
          <w:b/>
          <w:i/>
          <w:color w:val="000000"/>
          <w:sz w:val="20"/>
          <w:lang w:val="en-US" w:eastAsia="en-US" w:bidi="ar-SA"/>
        </w:rPr>
        <w:t>Re: O'Connor,</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[1928] 1 D.L.R. 558</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Osayimwen v. The Queen</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(2006), 210 C.C.C. (3d) 434</w:t>
        </w:r>
      </w:hyperlink>
      <w:r>
        <w:rPr>
          <w:rFonts w:ascii="arial" w:eastAsia="arial" w:hAnsi="arial" w:cs="arial"/>
          <w:color w:val="000000"/>
          <w:sz w:val="20"/>
          <w:lang w:val="en-US" w:eastAsia="en-US" w:bidi="ar-SA"/>
        </w:rPr>
        <w:t xml:space="preserve"> (Ont. Sup. Ct.); </w:t>
      </w:r>
      <w:r>
        <w:rPr>
          <w:rFonts w:ascii="arial" w:eastAsia="arial" w:hAnsi="arial" w:cs="arial"/>
          <w:b/>
          <w:i/>
          <w:color w:val="000000"/>
          <w:sz w:val="20"/>
          <w:lang w:val="en-US" w:eastAsia="en-US" w:bidi="ar-SA"/>
        </w:rPr>
        <w:t>R. v. Griffin</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[1979] B.C.J. No. 702</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R. v. Oliynyk</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2005 BCSC 386</w:t>
        </w:r>
      </w:hyperlink>
      <w:r>
        <w:rPr>
          <w:rFonts w:ascii="arial" w:eastAsia="arial" w:hAnsi="arial" w:cs="arial"/>
          <w:color w:val="000000"/>
          <w:sz w:val="20"/>
          <w:lang w:val="en-US" w:eastAsia="en-US" w:bidi="ar-SA"/>
        </w:rPr>
        <w:t xml:space="preserve">; aff'd </w:t>
      </w:r>
      <w:hyperlink r:id="rId239" w:history="1">
        <w:r>
          <w:rPr>
            <w:rFonts w:ascii="arial" w:eastAsia="arial" w:hAnsi="arial" w:cs="arial"/>
            <w:i/>
            <w:color w:val="0077CC"/>
            <w:sz w:val="20"/>
            <w:u w:val="single"/>
            <w:shd w:val="clear" w:color="auto" w:fill="FFFFFF"/>
            <w:lang w:val="en-US" w:eastAsia="en-US" w:bidi="ar-SA"/>
          </w:rPr>
          <w:t>2008 BCCA 132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Adam</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2006 BCSC 1884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Tran</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1999 BCCA 535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USA v. Graham</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2004 BCSC 1768</w:t>
        </w:r>
      </w:hyperlink>
      <w:r>
        <w:rPr>
          <w:rFonts w:ascii="arial" w:eastAsia="arial" w:hAnsi="arial" w:cs="arial"/>
          <w:color w:val="000000"/>
          <w:sz w:val="20"/>
          <w:lang w:val="en-US" w:eastAsia="en-US" w:bidi="ar-SA"/>
        </w:rPr>
        <w:t xml:space="preserve">. All those cases, however, are either pre-Charter cases or are cases where there are no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violations.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am satisfied that a police officer must be able to ensure that the person she has arrested is the individual named in the warrant. However, where an individual's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rights were breached to obtain that information, I am satisfied that it should be used only for the limited purpose of confirming that the correct person has been arrested and should be not used to prove the identity of that individual in proceedings such as these.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Remaining Evidence Regarding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that the person before the court is sought by the Requesting State consists of the following:</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Canadian Customs Border Service Agency provided Constable Wirth with a Canadian Passport in the name of Huyen Thi Cong. Constable Wirth compared the photograph in the passport to the individual that was in the Lawyer's Room, and was satisfied that she was dealing with the same person.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Constable Wirth arrived at CCBSA Office at the airport, Cong was in the Lawyer's Room where she, according to information received from Constable Wirth, was speaking to Legal Aid with the assistance of a Vietnamese interpreter.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Wirth identified Cong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Attached to the ROC as Exhibit 1 is a photograph that was obtained from the Insurance Corporation of British Columbia and, which was used to have Cong identified by Minh Hong Pham and by Hine Van Woertz, two individuals who were involved with the alleged conspiracy. Woertz will testify that he lived with and was romantically involved with Cong while Pham will testify that he rented and lived in the same house as Woertz and Cong.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name of the person sought by the Requesting State is the same as that contained in the Driver's Licence and photograph marked Exhibit 2 to the ROC. It is admitted that Exhibit 1, the photograph used by Pham and Woertz to identify Cong, is the same photograph as that in Exhibit 2. Exhibit 2 also provides particulars regarding Cong's physical characteristics, namely the colour or her eyes, hair, weight, height, and sex.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by my own comparison of the person who appeared before me and the driver's licence photo and information attached to the ROC, that the person before me is the same individual as that referred to in that document. I also accept that Constable Wirth received a passport that had been taken from the person who appeared before me and that the passport was issued to Huyen Thi Cong. Thus, I am satisfied that there is ample evidence to conclude that Huyen Thi Cong, the person who appeared before me, is the person that the USA is requesting to have extradited.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in the ROC Regarding Conspiracy to Traffic in Marihuana and Possession of Marihuana for the Purposes of Trafficking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Cong argues that the ROC does not establish that she was a party to the conspiracy to traffic in marihuana or that she was in possession of marihuana on November 16,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For the sake of convenience, I am setting out some of the evidence contained in the ROC.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November 16, 2002, the United States Drug Enforcement Administration ("DEA") Agents in Portland, Oregon, with the Portland Police, participated in an investigation, which resulted in the arrest of Randall Alan Clarke, Daniel Grant and Philadelphia Police Officer Hien Van Woertz in Portland, Oregon on federal drug charges. The authorities seized 838.5 pounds of British Columbia marihuana, approximately 57 pounds of pseudoephedrine and approximately $50,000.00 U.S. currency. Within a few days, DEA Agents located another conspirator, James Bradford Myers, who admitted to his role in the drug distribution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During the conspiracy, almost every week from May through November 16, 2002, marihuana and later ephedrine were smuggled from British Columbia to a warehouse located in Oregon. The drugs were supplied by Canadian brokers who arranged for the drugs to be delivered to Clarke and Patrick O'Brien in British Columbia. Clarke and O'Brien would then secrete the drugs in hollowed out or "coffined" units of lumber which were transported to the United States. The lumber was delivered to a business, B&amp;P Lumber Reman, in Dundee, Oregon. Every Saturday, combinations of Myers, Grant, Clarke or O'Brien would distribute the drugs to two separate lists of customers and/or their couriers. Huyen Thi Cong was a customer of Clarke and O'Brien. Van Woertz was a courier for Cong and would come to Oregon to pick up marihuana and take it to Cong in Seattle, Washington.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November 16, 2002, an undercover police officer pretending to be a courier for one of Clarke and O'Brien's customers gave his vehicle to Clarke at the Home Depot store in Southeast Portland, Oregon for the purpose of receiving drugs. Clarke was followed by agents as he drove the undercover vehicle a short distance away where he gave the vehicle to Grant. Grant was followed when he took the undercover vehicle to a storage unit. When Grant returned the vehicle to the Home Depot parking lot, Agents discovered that the vehicle then contained a large athletic or hockey-type bag, which contained 57 pounds of ephedrine powder.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Later that day, Grant was arrested when he returned to the storage locker. In the storage locker, Agents found over 300 pounds of marihuana in hockey-type bags. Two additional storage lockers contained hundreds of pounds of marihuana. The total gross weight of the marihuana seized on November 16, 2002 was 838.5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Van Woertz, a Philadelphia Police Officer under administrative leave, was arrested on November 16, 2002 at the Home Depot parking lot while attempting to pick up approximately 250 pounds of marihuana from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Van Woertz's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Van Woertz is expected to testify that he met Cong through an internet chat room in the spring of 2002 while he was living in Philadelphia. He later visited Cong in Vancouver and they became romantically involved. In September, 2002 Van Woertz moved to Seattle, Washington with his friend Minh Pham. Cong often visited Van Woertz in Seattle.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Cong offered Van Woertz and Pham the opportunity, which they accepted, to make between $6,000.00 and $20,000.00 a week transporting marihuana. Cong instructed them to purchase clean telephones, a vehicle which could be used to transport the marihuana and to obtain a residence in which to store the marihuana. Cong paid for these items on the understanding that Van Woertz would repay her through the transportation of the marihuana. Once these items were obtained, Cong took Van Woertz and Pham to a warehouse in Seattle, Washington where they obtained approximately 100 boxes of frozen shrimp. The boxes were taken to their new residence. Inside the residence Cong instructed Van Woertz and Pham to open the boxes and inside were approximately 25 bags containing approximately 75 to 100 pounds of marihuana.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November of 2002, Cong directed Van Woertz to go to Portland, Oregon to pick up marihuana. On November 9, 2002 Van Woertz and Pham travelled in the recently purchased van to Portland, Oregon and picked up 200 pounds of marihuana. The marihuana was contained within large hockey bags. Van Woertz and Pham took the marihuana to Seattle, Washington where it was delivered to Cong, who was waiting at the Seattle residence. Cong paid $5,000.00 to both Van Woertz and Pham for transporting the marihuana.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November 16, 2002 Van Woertz received instructions, from an unknown caller on Cong's behalf, to travel again to Portland, Oregon to obtain marihuana. Van Woertz and Pham followed the instructions and took the van to the Home Depot store where they left the vehicle. Van Woertz was later arrested during the controlled delivery of 250 pounds of marihuana. Pham avoided arrest and fled the scene. After Van Woertz's arrest, Cong requested paperwork from Van Woertz to show that he had been arrested and that the marihuana had been seized by police, to show her associates that she was not responsible for the loss of the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During the period from September to November, 2002, Cong instructed Van Woertz to open two separate bank accounts to assist her in transferring money. Van Woertz opened an account with the U.S. Bank and one with Bank of America. Cong gave Van Woertz $10,000.00 U.S. and asked that he divide the money equally and deposit it into the accounts and to obtain cashiers cheques payable to Cong and to Cong's mother. Van Woertz then mailed the cheques to Cong's address in Vancouver,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Van Woertz was indicted during this investigation and later pleaded guilty to conspiracy to distribute marihuana. He was sentenced to 24 months imprisonment by the United States District Court in Oregon.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Pham's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Pham is expected to testify that in September of 2002 he moved from Philadelphia to Seattle, Washington with his friend, Van Woertz. In Seattle, Pham and Van Woertz rented a house where they lived with Van Woertz's girlfriend, Cong. Pham was approached by Van Woertz and offered money to transport marihuana for Cong. Pham agreed. Pham was present when Van Woertz and Cong purchased a van which was used to transport the marihuana. Pham registered the vehicle in his name at the request of Van Woertz and Cong.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Pham assisted Van Woertz and Cong in transporting three loads of marihuana. The first load was obtained in Seattle, Washington from a seafood market. The marihuana was contained within boxes of frozen shrimp and taken to Van Woertz and Pham's residence in Seattle where Cong, Van Woertz and Pham removed and repackaged the marihuana. Pham was paid $200.00 to $300.00 by Cong for his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early November, 2002 Cong directed Pham and Van Woertz to go to Portland, Oregon to pick up four large hockey bags containing marihuana. Pham and Van Woertz then transported the marihuana back to Seattle, Washington where Cong was waiting at their residence. Pham and Van Woertz acquired the marihuana from two white males, one of whom was driving a white van with a bicycle logo on the side (DEA Agents will testify that this was Grant's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November 16, 2002 Pham and Van Woertz travel to Portland, Oregon to obtain another shipment of marihuana. During the trip, Van Woertz was arrested while attempting to take possession of the marihuana. Pham fled the scene and returned to Seattle where he met with Cong. Pham and Cong later travelled to Portland, Oregon so Cong could hire an attorney for Van Woertz and attend his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Sufficiency of the Evidence For Committal On the Basis of Conspiracy to Traffic Marihuana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USA is not arguing that the 25 bags of marihuana that were packed in the boxes of frozen shrimp were involved with the conspiracy charge or with the possession for the purpose of trafficking. They are relying upon the November 9 and November 16, 2002 events to prove the conspiracy to traffic and on the November 16, 2002 event to prove possession for the purposes of trafficking.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Cong argues that there is no evidence that she is part of a broad and extensive conspiracy and that the evidence of the two co-conspirators, Van Woertz and Pham, fails to describe the scope necessary to infer that Cong was part of an agreement that underlies the broad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With respect to s. 29(1)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law was recently summarized in </w:t>
      </w:r>
      <w:r>
        <w:rPr>
          <w:rFonts w:ascii="arial" w:eastAsia="arial" w:hAnsi="arial" w:cs="arial"/>
          <w:b/>
          <w:i/>
          <w:color w:val="000000"/>
          <w:sz w:val="20"/>
          <w:lang w:val="en-US" w:eastAsia="en-US" w:bidi="ar-SA"/>
        </w:rPr>
        <w:t>United States of America v. Ferras</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2006 SCC 33</w:t>
        </w:r>
      </w:hyperlink>
      <w:r>
        <w:rPr>
          <w:rFonts w:ascii="arial" w:eastAsia="arial" w:hAnsi="arial" w:cs="arial"/>
          <w:color w:val="000000"/>
          <w:sz w:val="20"/>
          <w:lang w:val="en-US" w:eastAsia="en-US" w:bidi="ar-SA"/>
        </w:rPr>
        <w:t>. Paragraph 46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Section 29(1)'s direction to an extradition judge to determine whether there is admissible evidence that would "justify committal" requires a judge to assess whether admissible evidence shows the justice or rightness in committing a person for extradition. It is not enough for evidence to merely exist on each element of the crime. The evidence must be demonstrably able to be used by a reasonable, properly instructed jury to reach a verdict of guilty. If the evidence is incapable of demonstrating this sufficiency for committal, then it cannot "justify committal". The evidence need not convince an extradition judge that a person sought is guilty of the alleged crimes. That assessment remains for the trial court in the foreign state. However, it must establish a case that could go to trial in Canada. This may require the extradition judge to engage in limited weighing of the evidence to determine, not ultimate guilt, but sufficiency of evidence for committal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British Columbia Court of Appeal considered the impact of </w:t>
      </w:r>
      <w:r>
        <w:rPr>
          <w:rFonts w:ascii="arial" w:eastAsia="arial" w:hAnsi="arial" w:cs="arial"/>
          <w:b/>
          <w:i/>
          <w:color w:val="000000"/>
          <w:sz w:val="20"/>
          <w:lang w:val="en-US" w:eastAsia="en-US" w:bidi="ar-SA"/>
        </w:rPr>
        <w:t>Ferras</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United States of America v. Graham</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2007 BCCA 345</w:t>
        </w:r>
      </w:hyperlink>
      <w:r>
        <w:rPr>
          <w:rFonts w:ascii="arial" w:eastAsia="arial" w:hAnsi="arial" w:cs="arial"/>
          <w:color w:val="000000"/>
          <w:sz w:val="20"/>
          <w:lang w:val="en-US" w:eastAsia="en-US" w:bidi="ar-SA"/>
        </w:rPr>
        <w:t xml:space="preserve">, with respect to the test for committal. Donald J.A. explained that the </w:t>
      </w:r>
      <w:r>
        <w:rPr>
          <w:rFonts w:ascii="arial" w:eastAsia="arial" w:hAnsi="arial" w:cs="arial"/>
          <w:b/>
          <w:i/>
          <w:color w:val="000000"/>
          <w:sz w:val="20"/>
          <w:lang w:val="en-US" w:eastAsia="en-US" w:bidi="ar-SA"/>
        </w:rPr>
        <w:t>Ferras</w:t>
      </w:r>
      <w:r>
        <w:rPr>
          <w:rFonts w:ascii="arial" w:eastAsia="arial" w:hAnsi="arial" w:cs="arial"/>
          <w:color w:val="000000"/>
          <w:sz w:val="20"/>
          <w:lang w:val="en-US" w:eastAsia="en-US" w:bidi="ar-SA"/>
        </w:rPr>
        <w:t xml:space="preserve"> approach did not exclusively focus on the reliability and availability of the evidence, but also involved a judicial "holistic appraisal of the case" to ensure that there is a plausible case and that the person sought is not committed on an inadequate evidentiary basis. At para. 32, Mr. Justice Donald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summary, </w:t>
      </w:r>
      <w:r>
        <w:rPr>
          <w:rFonts w:ascii="arial" w:eastAsia="arial" w:hAnsi="arial" w:cs="arial"/>
          <w:b/>
          <w:i/>
          <w:color w:val="000000"/>
          <w:sz w:val="20"/>
          <w:lang w:val="en-US" w:eastAsia="en-US" w:bidi="ar-SA"/>
        </w:rPr>
        <w:t>Ferras</w:t>
      </w:r>
      <w:r>
        <w:rPr>
          <w:rFonts w:ascii="arial" w:eastAsia="arial" w:hAnsi="arial" w:cs="arial"/>
          <w:color w:val="000000"/>
          <w:sz w:val="20"/>
          <w:lang w:val="en-US" w:eastAsia="en-US" w:bidi="ar-SA"/>
        </w:rPr>
        <w:t xml:space="preserve"> stands for the proposition that extradition judges now have the discretion to disregard evidence shown to be unreliable or unavailable and in respect of the evidence that remains, to determine by an assessment of the evidence, including a limited weighing of the evidence, whether it is sufficient for a properly instructed jury acting reasonably to reach a verdict of guilty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Hall J.A., while in general agreement with the reasons of Donald J.A. added,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 wish, however, to note that I would consider it an extremely rare situation when an extradition judge could properly enter upon a consideration of the credibility of proposed witnesses. Credibility is pre-eminently a jury question to be left to be considered by the trier of fact. Unreliability of evidence could arise for instance from serious deficiencies in a body of circumstantial evidence or from the opportunity for a witness to know or observe factual matters. But the mere fact that a witness might be thought by an extradition judge to be of less than stellar credibility would not normally suffice as a ground to refuse a committal order. That sort of issue, in my opinion, is best left to be decided by a trial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respect to the issue of conflicting evidence, Rogers J., in </w:t>
      </w:r>
      <w:r>
        <w:rPr>
          <w:rFonts w:ascii="arial" w:eastAsia="arial" w:hAnsi="arial" w:cs="arial"/>
          <w:b/>
          <w:i/>
          <w:color w:val="000000"/>
          <w:sz w:val="20"/>
          <w:lang w:val="en-US" w:eastAsia="en-US" w:bidi="ar-SA"/>
        </w:rPr>
        <w:t>United States of America v. Asiegbu</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2006 BCSC 1378</w:t>
        </w:r>
      </w:hyperlink>
      <w:r>
        <w:rPr>
          <w:rFonts w:ascii="arial" w:eastAsia="arial" w:hAnsi="arial" w:cs="arial"/>
          <w:color w:val="000000"/>
          <w:sz w:val="20"/>
          <w:lang w:val="en-US" w:eastAsia="en-US" w:bidi="ar-SA"/>
        </w:rPr>
        <w:t>, said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 Coming back to the assessment prescribed in </w:t>
      </w:r>
      <w:r>
        <w:rPr>
          <w:rFonts w:ascii="arial" w:eastAsia="arial" w:hAnsi="arial" w:cs="arial"/>
          <w:b/>
          <w:i/>
          <w:color w:val="000000"/>
          <w:sz w:val="20"/>
          <w:lang w:val="en-US" w:eastAsia="en-US" w:bidi="ar-SA"/>
        </w:rPr>
        <w:t>Ferras</w:t>
      </w:r>
      <w:r>
        <w:rPr>
          <w:rFonts w:ascii="arial" w:eastAsia="arial" w:hAnsi="arial" w:cs="arial"/>
          <w:color w:val="000000"/>
          <w:sz w:val="20"/>
          <w:lang w:val="en-US" w:eastAsia="en-US" w:bidi="ar-SA"/>
        </w:rPr>
        <w:t xml:space="preserve">, I have to ask: does the fact that there is conflicting evidence on an element of an offence mean that a trial judge must necessarily take the case away from the jury? The answer to that question is patently "no". In fact, a jury's primary task is to resolve those very conflicts, and having done so, to arrive at conclusions of fact concerning the elements of the offence. Rather than being dangerous to ask the jury to resolve conflicts in the evidence, the law requires that the jury be given that task and trusts that it will perform it properly. If it would not be dangerous or unsafe to leave this evidence with a jury, then, according to </w:t>
      </w:r>
      <w:r>
        <w:rPr>
          <w:rFonts w:ascii="arial" w:eastAsia="arial" w:hAnsi="arial" w:cs="arial"/>
          <w:b/>
          <w:i/>
          <w:color w:val="000000"/>
          <w:sz w:val="20"/>
          <w:lang w:val="en-US" w:eastAsia="en-US" w:bidi="ar-SA"/>
        </w:rPr>
        <w:t>Ferras</w:t>
      </w:r>
      <w:r>
        <w:rPr>
          <w:rFonts w:ascii="arial" w:eastAsia="arial" w:hAnsi="arial" w:cs="arial"/>
          <w:color w:val="000000"/>
          <w:sz w:val="20"/>
          <w:lang w:val="en-US" w:eastAsia="en-US" w:bidi="ar-SA"/>
        </w:rPr>
        <w:t xml:space="preserve"> it passes muster in an extradition order and an order for committal should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Cong points out numerous inconsistencies in the evidence of Van Woertz and Pham but, as stated in </w:t>
      </w:r>
      <w:r>
        <w:rPr>
          <w:rFonts w:ascii="arial" w:eastAsia="arial" w:hAnsi="arial" w:cs="arial"/>
          <w:b/>
          <w:i/>
          <w:color w:val="000000"/>
          <w:sz w:val="20"/>
          <w:lang w:val="en-US" w:eastAsia="en-US" w:bidi="ar-SA"/>
        </w:rPr>
        <w:t>Asiegbu</w:t>
      </w:r>
      <w:r>
        <w:rPr>
          <w:rFonts w:ascii="arial" w:eastAsia="arial" w:hAnsi="arial" w:cs="arial"/>
          <w:color w:val="000000"/>
          <w:sz w:val="20"/>
          <w:lang w:val="en-US" w:eastAsia="en-US" w:bidi="ar-SA"/>
        </w:rPr>
        <w:t>, that is a matter for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Cong also argues that the November 16, 2002 transaction where an "unknown caller on Cong's behalf" provided directions for Van Woertz to go to Portland, Oregon, to pickup drugs, is inadmissible or should be afforded no weight. The evidence of the phone call, according to Cong, is double hearsay and, according to her, it is doubtful that such evidence could be admitted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United States of America v. Yang</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(2001), 157 C.C.C. (3d) 225</w:t>
        </w:r>
      </w:hyperlink>
      <w:r>
        <w:rPr>
          <w:rFonts w:ascii="arial" w:eastAsia="arial" w:hAnsi="arial" w:cs="arial"/>
          <w:color w:val="000000"/>
          <w:sz w:val="20"/>
          <w:lang w:val="en-US" w:eastAsia="en-US" w:bidi="ar-SA"/>
        </w:rPr>
        <w:t xml:space="preserve"> (Ont. C.A.), Rosenberg J.A., in upholding the constitutionality of s. 32(1)(a)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found that hearsay evidence contained in a properly certified record of a case is admissible at an extradition hearing without the need for further inquiry. The Court stated,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 it is apparent that various types of evidence that would not be admissible at a Canadian trial are admissible at the extradition hearing. In particular, hearsay is admissible although it would not meet a common law or statutory exception and would not meet the necessity and reliability requirements set out by the Supreme Court in cases such as </w:t>
      </w:r>
      <w:r>
        <w:rPr>
          <w:rFonts w:ascii="arial" w:eastAsia="arial" w:hAnsi="arial" w:cs="arial"/>
          <w:b/>
          <w:i/>
          <w:color w:val="000000"/>
          <w:sz w:val="20"/>
          <w:lang w:val="en-US" w:eastAsia="en-US" w:bidi="ar-SA"/>
        </w:rPr>
        <w:t>R. v. B.(K.G.)</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[1993] 1 S.C.R. 740</w:t>
        </w:r>
      </w:hyperlink>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79 C.C.C. (3d) 257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 v. Smith</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[1992] 2 S.C.R. 915</w:t>
        </w:r>
      </w:hyperlink>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75 C.C.C. (3d) 257</w:t>
        </w:r>
      </w:hyperlink>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94 D.L.R. (4th) 590</w:t>
        </w:r>
      </w:hyperlink>
      <w:r>
        <w:rPr>
          <w:rFonts w:ascii="arial" w:eastAsia="arial" w:hAnsi="arial" w:cs="arial"/>
          <w:color w:val="000000"/>
          <w:sz w:val="20"/>
          <w:lang w:val="en-US" w:eastAsia="en-US" w:bidi="ar-SA"/>
        </w:rPr>
        <w:t>. Thus, as I will describe below, the record of the case in the appellant's case consisted entirely of second- or third-hand hearsay that would probably not be admissible in a Canadian trial. The impugned provisions would also permit admission of character or opinion evidence at the extradition hearing although such evidence might not be admissible at a Canadian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That hearsay is presumptively admissible in a record of the case tendered in conformity with s. 32(1)(2)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was affirmed by the Supreme Court of Canada in </w:t>
      </w:r>
      <w:r>
        <w:rPr>
          <w:rFonts w:ascii="arial" w:eastAsia="arial" w:hAnsi="arial" w:cs="arial"/>
          <w:b/>
          <w:i/>
          <w:color w:val="000000"/>
          <w:sz w:val="20"/>
          <w:lang w:val="en-US" w:eastAsia="en-US" w:bidi="ar-SA"/>
        </w:rPr>
        <w:t>Ferras</w:t>
      </w:r>
      <w:r>
        <w:rPr>
          <w:rFonts w:ascii="arial" w:eastAsia="arial" w:hAnsi="arial" w:cs="arial"/>
          <w:color w:val="000000"/>
          <w:sz w:val="20"/>
          <w:lang w:val="en-US" w:eastAsia="en-US" w:bidi="ar-SA"/>
        </w:rPr>
        <w:t>,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Act provides that evidence is admissible if it is either properly certified pursuant to s. 33(3) in the case of proceedings on the record of the case or in accordance with the treaty in proceedings under the treaty method of submitting evidence. The evidence may be hearsay, and under the treaties at issue in the Ortega appeals, the evidence need not include certification that it is available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Court goes on to state,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requesting state's certificate is intended to provide a threshold indicator of reliability by reference to the requesting state's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case at bar, the evidence of the conspiracy includes the fact that once the drugs were delivered to Dundee, Oregon, every Saturday, combinations of Myers, Grant, Clark, or O'Brien, would distribute the drugs to two separate lists of customers and/or their couriers. It is alleged, in the overview of the ROC, that Cong was a customer of Clark and O'Brien and that Van Woertz was a courier for Cong.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further stated, in the ROC, that Cong offered Van Woertz and Pham the opportunity to make between $6,000 and $20,000 a week transporting marihuana, and that they accepted such remuneration. It is also alleged that Cong instructed them to purchase clean telephones, a vehicle which would be used to transport the marihuana and to obtain the residence in which to store the marihuana, and that Cong paid for these items on the understanding that Van Woertz would repay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in the ROC is that once the items were purchased, Cong took Van Woertz and Pham to a warehouse in Seattle where they obtained approximately 100 boxes of frozen shrimp that was taken to their new residence. Inside, Cong allegedly instructed Van Woertz and Pham to open the boxes where there were approximately 25 bags containing 75 to 100 pounds of marihuana.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Saturday, November 9, 2002, Cong allegedly directed Van Woertz to go to Portland to pick up marihuana. Van Woertz and Pham then allegedly took the 200 pounds of marihuana to Seattle, and delivered it to Cong in return for $500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Saturday, November 16, 2002, Van Woertz claims to have received instructions from an unknown caller on Cong's behalf to travel to Portland, Oregon, to obtain marihuana. Following those instructions Van Woertz and Pham are alleged to have taken the van to Home Depot where Van Woertz was later arrested during a controlled delivery of 250 pounds of marihuana. Van Woertz's is expected to testify that, after his arrest, Cong requested paperwork from him to show that he had been arrested and that the drugs had been seized by police. It is suggested that she needed this documentation to show her associates that she was not responsible for the loss of the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need for Cong to show that she was not responsible for the loss of the drugs is consistent with my view that she was the operating mind behind this conspiracy to traffic in marihuana.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not clear whether Woertz and Pham actually had possession of the marihuana on November 16. The ROC says that they were "attempting to pick up approximately 250 pounds of marihuana" and that Woertz was arrested during a "controlled delivery of 250 pounds of marihuana". Cong argues that that is not sufficient evidence of possession. There is, however, no issue that Woertz's van, which was initially paid for by Cong, was used in the transportation of the drugs and that Woertz was there to pick up the van, which supposedly contained the marihuana. The logical inference would be that the marihuana was in the van as that was what Woertz was arrested for and plead guilty to. His plea of guilty, however, cannot be used against Cong.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is also the fact that the 838.5 pounds of marihuana that was seized on November 16 was, according to the testimony of the chemist, the amount that was seized on "the same day from Clark and Grant". Cong, therefore says there was no marihuana in the van. I disagree that this inconsistency should prevent committal.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USA v. Hulley</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2007 BCSC 976</w:t>
        </w:r>
      </w:hyperlink>
      <w:r>
        <w:rPr>
          <w:rFonts w:ascii="arial" w:eastAsia="arial" w:hAnsi="arial" w:cs="arial"/>
          <w:color w:val="000000"/>
          <w:sz w:val="20"/>
          <w:lang w:val="en-US" w:eastAsia="en-US" w:bidi="ar-SA"/>
        </w:rPr>
        <w:t>, Cullen J. stated,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inconsistencies within and between their accounts and with other evidence summarized in the ROC and SROC, those are issues of ultimate reliability rather than threshold reliability and do not negate the justice or rightness of committal in this case. I start with the proposition that the evidence tendered by the requesting state is subject to a presumption of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satisfied that the evidence contained in the ROC is admissible and that there is sufficient evidence to justify committal on the basis of conspiracy to traffic marihuana.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Sufficiency of the Evidence for Committal on the Basis of Possession for the Purposes of Trafficking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Cong's position is that there is no analysis of the drugs involved in the first two transactions. It is only the November 16 transaction in which the drugs were seized. It is admitted that the amounts seized on that date was consistent with possession for the purposes of trafficking but that the evidence does not connect Cong to that transaction as they say there is no reliable evidence of Cong's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have already dealt with the issue of hearsay evidence and, in my view, some weight should be given to that evidence because the individual that called obviously knew where to pick up the marihuana. The evidence of Van Woertz - that Cong requested paperwork from him to show that he had been arrested and the marihuana was seized by police to show her associates that she was not responsible for the loss of the drugs - is consistent with her being the operating mind behind the conduct of Van Woertz and Pham. The essential element of possession under s. 4(3)(b)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is the measure of control on the part of the person deemed to be in possession by that provision. To establish control for the purpose of constructive or joint possession, the Crown need not prove actual physical control by the accused. It is sufficient if there is evidence of the accused exerting power or authority over the subject matter; </w:t>
      </w:r>
      <w:r>
        <w:rPr>
          <w:rFonts w:ascii="arial" w:eastAsia="arial" w:hAnsi="arial" w:cs="arial"/>
          <w:b/>
          <w:i/>
          <w:color w:val="000000"/>
          <w:sz w:val="20"/>
          <w:lang w:val="en-US" w:eastAsia="en-US" w:bidi="ar-SA"/>
        </w:rPr>
        <w:t>R. v. Terrence</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[1983] 1 S.C.R. 357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All the evidence suggests that Cong not only had knowledge and control of the drugs in question; she had constructive possession or joint possession at the relevant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Having already found the evidence in the ROC admissible, I am satisfied that there is sufficient evidence to justify committal on the basis of possession for the purpose of trafficking.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have found that, despite the exclusion of some evidence as a result of a breach of Cong's rights under ss. 10(a) and (b)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there is adequate evidence for identification. I have also found that there is sufficient evidence in the ROC to justify committal. As this is the case, I order that Cong be committed for extradition.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F.W. 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Value Analytix Ltd. v. Doman Industries Ltd., [2006] B.C.J. No. 1241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Hyslop</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36603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1241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860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1012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Value Analytix Ltd., plaintiff, and Doman Industries Limited, William E. Aziz, Harbanse Singh Doman, Jacob Brouwer, Jaspaul Doman, Roger Stanyer, Ian Danvers, Stuart D.B. (Bud) Smith and Joseph Roland Frumento,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8"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5" w:name="Keywords_12"/>
      <w:bookmarkEnd w:id="85"/>
      <w:r>
        <w:rPr>
          <w:rFonts w:ascii="arial" w:eastAsia="arial" w:hAnsi="arial" w:cs="arial"/>
          <w:b/>
          <w:color w:val="000000"/>
          <w:sz w:val="20"/>
          <w:lang w:val="en-US" w:eastAsia="en-US" w:bidi="ar-SA"/>
        </w:rPr>
        <w:t>Civil procedure — Discovery — Electronic discovery and production — Duties respecting production of electronic evidence — Production or inspection of hard disks — Production and inspection of documents — Affidavit or list of documents — Sufficiency — Objections and compelling production — The plaintiff's application for a supplemental list of documents from the defendants Doman and each director was dismissed, as the plaintiff could not establish that it was entitled to any further documents.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6" w:name="Case Summary_11"/>
            <w:bookmarkEnd w:id="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 was dismissed -- The plaintiff alleged a contract existed between it and the defendant to provide professional services, and claimed payment of fees, disbursements, etc. based on breach of contract, negligent misrepresentation, breach of fiduciary duty, or in the alternative, for quantum meruit and unjust enrichment -- It now sought a supplemental list of documents from the defendants and each of its directors, which was opposed -- The defendant Doman argued it had met its obligation under the law, while its directors claimed they had disclosed all existing documents -- HELD: The plaintiff's application was dismissed as the plaintiff failed to establish that any entitlement to further production, or that there were any relevant previously undisclosed documents -- The court was satisfied that Doman and the directors had produced all non-privileged documents that had been in the possession or control of Mr. Smith and the restructuring committee, or the lawyer -- The defendants' correspondence with UBS was not ordered produced, as the success or failure of the plaintiff's claim depended on its arrangements with Doman and the directors, of which UBS had no part -- The court declined to order the production of hard drives, the location of personal computers or the storage of data as there was no evidence that such a costly and time-consuming step was warranted.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7" w:name="Legislation Cited_10"/>
      <w:bookmarkEnd w:id="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9"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 Rule 23(3), Rule 26, Rule 44, Rule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Company's Creditor Arrangement Act, </w:t>
      </w:r>
      <w:hyperlink r:id="rId258"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8" w:name="Counsel_12"/>
      <w:bookmarkEnd w:id="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Payne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Doman Industries Limited: R.A. Millar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William E. Aziz, Harbanse Singh Doman, Jacob Brouwer, Jaspaul Doman, Roger Tanyer, Ian Danvers, Stuart D.B. (Bud) Smith and Joseph Roland Frumento: M. Braidwood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9" w:name="Judgment_12"/>
      <w:bookmarkEnd w:id="89"/>
      <w:r>
        <w:pict>
          <v:line id="_x0000_s1091"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0" w:name="MASTER HYSLOP"/>
            <w:bookmarkEnd w:id="90"/>
            <w:r>
              <w:rPr>
                <w:rFonts w:ascii="arial" w:eastAsia="arial" w:hAnsi="arial" w:cs="arial"/>
                <w:b/>
                <w:color w:val="000000"/>
                <w:sz w:val="30"/>
                <w:lang w:val="en-US" w:eastAsia="en-US" w:bidi="ar-SA"/>
              </w:rPr>
              <w:t>MASTER HYSLOP</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documents application is brought by the plaintiff pursuant to Rules 1(8), 26, 23(3), 26(4), 26(10), 44 and 57 of the  (the""). This application was heard pursuant to Rule 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Value Analytix Ltd. ("Analytix"), made a demand for a list of documents from the defendants, Doman Industries Limited ("Doman"), William E. Aziz, Harbanse Singh Doman, Jacob Brouwer, Jaspaul Doman, Roger Stanyer, Ian Danvers, Stuart D.B. (Bud) Smith and Joseph Roland Frumento (the "Directors") on June 14, 2005. In these reasons, should I refer to an individual director, I shall refer to them by their last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response, Doman and the Directors each provided a separate list of documents dated August 29, 2005. Subsequently, Doman produced a further ten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Analytix seeks documents described in a seven-page notice of motion. It seeks a supplemental list from each Doman and the Directors, such list of documents and their supplemental lists be verified by affidavit by each Doman and the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documents sought by the plaintiff in their notice of motion are for the period from December 1, 2003 to July 16, 2004 in the case of named and unnamed third party contractors of Doman, November 7, 2002 to the date the committee was discontinued for the Smith restructuring committee file, and October 2003 to May 31, 2004 for Ms. Casciona's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PLAINTIFF'S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issued a statement of claim in this action on January 21, 2005. The statements of defence were filed by Doman and the Directors respectively on May 4, 2005 and June 17,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in its statement of claim, alleges a contract between the plaintiff and Doman to provide professional services to Doman. The plaintiff alleges Doman agreed to pay it a monthly cash advisory fee, out-of-pocket disbursements and payments to third parties related to those services. The plaintiff claims, in the alternative, a claim of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alleges that Doman breached its contract with the plaintiff, seeks damages for that breach, "and in the alternative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negligent misstatement, breach of fiduciary duty and unjust enrichment." (paragraph 46 of the statement of claim). In the alternative, the plaintiff alleges that if Doman is not responsible, then the Directors are "individually and/or collectively are liable personally for the breach of contract as well as all claims made by the plaintiff as against Doman. (paragraph 60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fall of 2002, Doman sought from the court and were given protection of the </w:t>
      </w:r>
      <w:r>
        <w:rPr>
          <w:rFonts w:ascii="arial" w:eastAsia="arial" w:hAnsi="arial" w:cs="arial"/>
          <w:b/>
          <w:i/>
          <w:color w:val="000000"/>
          <w:sz w:val="20"/>
          <w:lang w:val="en-US" w:eastAsia="en-US" w:bidi="ar-SA"/>
        </w:rPr>
        <w:t>Company's Creditor Arrangement Act</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CCAA</w:t>
      </w:r>
      <w:r>
        <w:rPr>
          <w:rFonts w:ascii="arial" w:eastAsia="arial" w:hAnsi="arial" w:cs="arial"/>
          <w:color w:val="000000"/>
          <w:sz w:val="20"/>
          <w:lang w:val="en-US" w:eastAsia="en-US" w:bidi="ar-SA"/>
        </w:rPr>
        <w:t>"). The court appointed KPMG as monitor. Pursuant to the proceedings, the court restricted Doman to the conduct of their business in a manner consistent with their past practice. As a result, Doman was restricted in incurring debt in its operations as well as contractual obligations relating to the restructuring of Doman.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Prior to seeking the protection of the </w:t>
      </w:r>
      <w:r>
        <w:rPr>
          <w:rFonts w:ascii="arial" w:eastAsia="arial" w:hAnsi="arial" w:cs="arial"/>
          <w:b/>
          <w:i/>
          <w:color w:val="000000"/>
          <w:sz w:val="20"/>
          <w:lang w:val="en-US" w:eastAsia="en-US" w:bidi="ar-SA"/>
        </w:rPr>
        <w:t>CCAA,</w:t>
      </w:r>
      <w:r>
        <w:rPr>
          <w:rFonts w:ascii="arial" w:eastAsia="arial" w:hAnsi="arial" w:cs="arial"/>
          <w:color w:val="000000"/>
          <w:sz w:val="20"/>
          <w:lang w:val="en-US" w:eastAsia="en-US" w:bidi="ar-SA"/>
        </w:rPr>
        <w:t xml:space="preserve"> Doman formed a restructuring committee from members of the Board of Directors of Doman to consider new financing or the sale of Doman. The defendant, Smith, was chairman of that committee until his resignation on March 19,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early December of 2003, the managing partner of Analytix, Richard Bassett, had contact with Smith. Doman states that Analytix represented that it could cause a company referred to in this application as Interfor, to make an offer to Doman for the purchase of its assets. Analytix, Mr. Bassett and Doman signed a confidentiality agreement which the Directors allege created no legal obligations beyond those in the agreement. The defendants deny a contract between Analytix and Doman for compensation sought in the statement of claim. Doman alleges that Analytix could only be rewarded for its efforts to engage Interfor with the approval of the court and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Interfor made a proposal that was not accepted by Doman. The Board of Directors of Doman met and approved a resolution to pay one-half of Analytix's out-of-pocket expenses, subject to the approval of the monitor and certain creditors, the Note Holder Group. No approvals were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Pursuant to a contract, UBS Bunting Warburg LLC ("UBS") had been providing financial advice to Doman. The first contract expired December 31, 2003, and a further contract was entered into in April of 2004. Doman states that Analytix was aware that the advisory services of UBS was to be renewed at the end of 2003, but thought it could obtain the contract to provide the service in substitution of UBS. Doman alleges that the plaintiff engaged in "speculative and a contingent effort with a view to winning the contract to provide advisory services to the plaintiff in place of UBS Warburg". (paragraph 9 of Doman's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Doman no longer exists as it was; its assets are now owned by two companies: Western Forest Products Inc. and Western Pulp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Doman's position is that their list of documents of August 9, 2004 meets their obligation under the law and, in particular, Rule 26. The Directors' position is that they have disclosed all documents that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Middlekamp v. Fraser Valley Real Estate Board</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[1990] B.C.J. No. 523</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1990 CarswellBC 890</w:t>
        </w:r>
      </w:hyperlink>
      <w:r>
        <w:rPr>
          <w:rFonts w:ascii="arial" w:eastAsia="arial" w:hAnsi="arial" w:cs="arial"/>
          <w:color w:val="000000"/>
          <w:sz w:val="20"/>
          <w:lang w:val="en-US" w:eastAsia="en-US" w:bidi="ar-SA"/>
        </w:rPr>
        <w:t xml:space="preserve"> (B.C.S.C.) at paragraph 12 reads: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classic test for the production of documents is set out in </w:t>
      </w:r>
      <w:r>
        <w:rPr>
          <w:rFonts w:ascii="arial" w:eastAsia="arial" w:hAnsi="arial" w:cs="arial"/>
          <w:i/>
          <w:color w:val="000000"/>
          <w:sz w:val="20"/>
          <w:lang w:val="en-US" w:eastAsia="en-US" w:bidi="ar-SA"/>
        </w:rPr>
        <w:t>Campagnie Financiere et Commerciale du Pacifique v. Peruvian Guano Co.</w:t>
      </w:r>
      <w:r>
        <w:rPr>
          <w:rFonts w:ascii="arial" w:eastAsia="arial" w:hAnsi="arial" w:cs="arial"/>
          <w:color w:val="000000"/>
          <w:sz w:val="20"/>
          <w:lang w:val="en-US" w:eastAsia="en-US" w:bidi="ar-SA"/>
        </w:rPr>
        <w:t xml:space="preserve"> (1882), 11 Q.B.D. 55, Brett L.J., said at p. 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to me that every document relates to the matters in question in the action, which not only would be evidence upon any issue, but also which, it is reasonable to suppose, contains information which may - not which must - either directly or indirectly enable the party requiring The affidavit either to advance his own case or to damage the case of his adversary. I have put in the words "either directly or indirectly," because, as it seems to me, a document can be properly be said to contain information which may enable the party requiring the affidavit either to advance his own case or to damage the case of his adversary, if it is a document which may fairly lead him to a train of inquiry, which may have either of these two consequences: the question upon a summons for a further affidavit is whether the party issuing it can show, from one of the sources mentioned in </w:t>
      </w:r>
      <w:r>
        <w:rPr>
          <w:rFonts w:ascii="arial" w:eastAsia="arial" w:hAnsi="arial" w:cs="arial"/>
          <w:i/>
          <w:color w:val="000000"/>
          <w:sz w:val="20"/>
          <w:lang w:val="en-US" w:eastAsia="en-US" w:bidi="ar-SA"/>
        </w:rPr>
        <w:t>Jones v. Monte Video Gas Co.</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5 O.B.D. 556</w:t>
      </w:r>
      <w:r>
        <w:rPr>
          <w:rFonts w:ascii="arial" w:eastAsia="arial" w:hAnsi="arial" w:cs="arial"/>
          <w:color w:val="000000"/>
          <w:sz w:val="20"/>
          <w:lang w:val="en-US" w:eastAsia="en-US" w:bidi="ar-SA"/>
        </w:rPr>
        <w:t>), that the party swearing the first affidavit has not set out all the documents falling within the definition which I have mentioned and being in his possession or control.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pp. 63-4: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 must be, whether from the description either in the first affidavit itself or in the list of documents referred to in the first affidavit or in the pleadings of the action, there are still documents in the possession of the party making the first affidavit which, it is not unreasonable to suppose, do contain information which may, either directly or indirectly, enable the party requiring the further affidavit either to advance his own case or to damage the case of his adversary. In order to determine whether certain documents are within that description, it is necessary to consider what are the questions in the action: the court must look, not only at the statement of claim and the plaintiffs' case, but also at the statement of defence and 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relevancy of documents is defined by the pleadings. (</w:t>
      </w:r>
      <w:r>
        <w:rPr>
          <w:rFonts w:ascii="arial" w:eastAsia="arial" w:hAnsi="arial" w:cs="arial"/>
          <w:b/>
          <w:i/>
          <w:color w:val="000000"/>
          <w:sz w:val="20"/>
          <w:lang w:val="en-US" w:eastAsia="en-US" w:bidi="ar-SA"/>
        </w:rPr>
        <w:t>Walter Construction (Canada) Ltd. v. Greater Vancouver Sewerage &amp; Drainage District</w:t>
      </w:r>
      <w:r>
        <w:rPr>
          <w:rFonts w:ascii="arial" w:eastAsia="arial" w:hAnsi="arial" w:cs="arial"/>
          <w:color w:val="000000"/>
          <w:sz w:val="20"/>
          <w:lang w:val="en-US" w:eastAsia="en-US" w:bidi="ar-SA"/>
        </w:rPr>
        <w:t xml:space="preserve">, 2003 Carswell BC 2553; </w:t>
      </w:r>
      <w:hyperlink r:id="rId260" w:history="1">
        <w:r>
          <w:rPr>
            <w:rFonts w:ascii="arial" w:eastAsia="arial" w:hAnsi="arial" w:cs="arial"/>
            <w:i/>
            <w:color w:val="0077CC"/>
            <w:sz w:val="20"/>
            <w:u w:val="single"/>
            <w:shd w:val="clear" w:color="auto" w:fill="FFFFFF"/>
            <w:lang w:val="en-US" w:eastAsia="en-US" w:bidi="ar-SA"/>
          </w:rPr>
          <w:t>27 C.L.R. (3d) 164</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Merely because the documents are required to be produced is costly is not an argument not to produce the documents (see </w:t>
      </w:r>
      <w:r>
        <w:rPr>
          <w:rFonts w:ascii="arial" w:eastAsia="arial" w:hAnsi="arial" w:cs="arial"/>
          <w:b/>
          <w:i/>
          <w:color w:val="000000"/>
          <w:sz w:val="20"/>
          <w:lang w:val="en-US" w:eastAsia="en-US" w:bidi="ar-SA"/>
        </w:rPr>
        <w:t>Walter Construction</w:t>
      </w:r>
      <w:r>
        <w:rPr>
          <w:rFonts w:ascii="arial" w:eastAsia="arial" w:hAnsi="arial" w:cs="arial"/>
          <w:color w:val="000000"/>
          <w:sz w:val="20"/>
          <w:lang w:val="en-US" w:eastAsia="en-US" w:bidi="ar-SA"/>
        </w:rPr>
        <w:t>). Documents also include those stored on electronic devices. The court can order their production, including the equipment which is used to store the information and documents. The court will not make an order, if the documents are only marginally relevant, or that technology exists and might turn up documents without some support for that proposition. (</w:t>
      </w:r>
      <w:r>
        <w:rPr>
          <w:rFonts w:ascii="arial" w:eastAsia="arial" w:hAnsi="arial" w:cs="arial"/>
          <w:b/>
          <w:i/>
          <w:color w:val="000000"/>
          <w:sz w:val="20"/>
          <w:lang w:val="en-US" w:eastAsia="en-US" w:bidi="ar-SA"/>
        </w:rPr>
        <w:t>Baldwin Janzen Insurance Services (2004) Ltd. (c.o.b. Baldwin Janzen Insurance Brokers) v. Janzen</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[2006] B.C.J. No. 753</w:t>
        </w:r>
      </w:hyperlink>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2006 BCSC 554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ought not to accept an assurance from the plaintiff that all relevant and non-privileged documents have been produced (</w:t>
      </w:r>
      <w:r>
        <w:rPr>
          <w:rFonts w:ascii="arial" w:eastAsia="arial" w:hAnsi="arial" w:cs="arial"/>
          <w:b/>
          <w:i/>
          <w:color w:val="000000"/>
          <w:sz w:val="20"/>
          <w:lang w:val="en-US" w:eastAsia="en-US" w:bidi="ar-SA"/>
        </w:rPr>
        <w:t>Stingl v. Messmer</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18 B.C.L.R. (2d) 81</w:t>
        </w:r>
      </w:hyperlink>
      <w:r>
        <w:rPr>
          <w:rFonts w:ascii="arial" w:eastAsia="arial" w:hAnsi="arial" w:cs="arial"/>
          <w:color w:val="000000"/>
          <w:sz w:val="20"/>
          <w:lang w:val="en-US" w:eastAsia="en-US" w:bidi="ar-SA"/>
        </w:rPr>
        <w:t>, (C.A.)) unless there is sufficient evidence before the court confirming full disclosure of documents. (</w:t>
      </w:r>
      <w:r>
        <w:rPr>
          <w:rFonts w:ascii="arial" w:eastAsia="arial" w:hAnsi="arial" w:cs="arial"/>
          <w:b/>
          <w:i/>
          <w:color w:val="000000"/>
          <w:sz w:val="20"/>
          <w:lang w:val="en-US" w:eastAsia="en-US" w:bidi="ar-SA"/>
        </w:rPr>
        <w:t>M(L) v. F(D)</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(1999), 68 B.C.L.R. (3d) 132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will order that a list of documents be verified by affidavit when important documents have been omitted, in absence of adequate explanation, and an unreasonable delay in production of those documents. (</w:t>
      </w:r>
      <w:r>
        <w:rPr>
          <w:rFonts w:ascii="arial" w:eastAsia="arial" w:hAnsi="arial" w:cs="arial"/>
          <w:b/>
          <w:i/>
          <w:color w:val="000000"/>
          <w:sz w:val="20"/>
          <w:lang w:val="en-US" w:eastAsia="en-US" w:bidi="ar-SA"/>
        </w:rPr>
        <w:t>Ngo v. South Pacific Development Ltd.</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[2004] B.C.J. No. 2138</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2004 BCSC 1329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Van Der Beke v. Halford Estate</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[2005] B.C.J. No. 416</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2005 CarswellBC 452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File of Mr. Smith - Plaintiff's Outline 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these reasons, I intend to deal with the documents sought in the notice of motion, as summarized and described in the table drafted by Doman on pages 6 - 9 inclusive of their outline.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paragraph 10 of Mr. Bassett's affidavit, he assumes that Mr. Smith kept a separate file relating to his position as chairperson of the restructuring committee. This belief is based on document #10 of Doman, written by Jeanette McDougall advising Mr. Smith, by fax, of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your request this morning please find attached a copy of the Confidentiality Agreement signed by Richard Bassett, and please note that we will keep the original in our Special Committee file as you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Concise Oxford Dictionary</w:t>
      </w:r>
      <w:r>
        <w:rPr>
          <w:rFonts w:ascii="arial" w:eastAsia="arial" w:hAnsi="arial" w:cs="arial"/>
          <w:color w:val="000000"/>
          <w:sz w:val="20"/>
          <w:lang w:val="en-US" w:eastAsia="en-US" w:bidi="ar-SA"/>
        </w:rPr>
        <w:t xml:space="preserve"> 10th Edition defines "file"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file 1</w:t>
      </w:r>
      <w:r>
        <w:rPr>
          <w:rFonts w:ascii="arial" w:eastAsia="arial" w:hAnsi="arial" w:cs="arial"/>
          <w:color w:val="000000"/>
          <w:sz w:val="20"/>
          <w:lang w:val="en-US" w:eastAsia="en-US" w:bidi="ar-SA"/>
        </w:rPr>
        <w:t xml:space="preserve"> a folder or box for keeping loose papers together and in order. </w:t>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Computing a collection of data or programs stored under a single identifying name </w:t>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place (a document) in a file. ? submit (a legal document, application, or charge) to be officially placed on record. </w:t>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(of a reporter) send (a story) to a newspaper or news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definition also contemplates a computer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Smith, in his affidavit, swears: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searched my files, including my computer, and have produced to my solicitors, Shapiro Hankinson &amp; Knutson, all documents with respect to the Plaintiff's claim.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Special Committee file, I did not keep such a file. Any such file, would have been kept at Phil Hosier's office.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Special Committee conducted the vast majority of its business by telephone conference call. Most of what was written should be in files held by Mr. Finch and Ms. Casiano.</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e-mail proficient. It was during June 2004 that I finally agreed a computer could be placed on my work desk.</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disclosed in Meeting Minutes or other material in the Plaintiff's possession I do not recall any meaningful communications with the other directors, the Monitor, the secretary to the Special Committee and to the Board, Phil Hosier, Brascan, Tricap, the Note Holder Group or any other person or persons with respect to the Plaintiff's claim.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practice to generally conduct business over the telephone or in meetings. I write few letters. Those I do write are provided to my assistant who produces them on a word processor, prints them, and gives them to me for my review.</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my letter of March 12, 2004, I believe, although I am not certain, that I would have provided this letter's content to Mr. Hosier's assistant who then produced it on a word processor and gave it to me for final signature.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electronic communications of any kind were made amongst members of the Special Committee, qua Committee, because 4 of its 5 members (Brouwer, Danvers, Frumento and Smith) did not use computer/laptop/Blackberry or other forms of electronic communication. Accordingly all communications received by members either were oral (phone/meetings) facsimile transmissions or hard copy (letters/memos/minutes). My understanding is the meeting and/or corporate secretary kept copies of all facsimiles or hard copy communications. I do not know how or if oral communications were recorded, other than those available from meeting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Bassett is wrong. There is no separate file maintained by Mr. Smith. Further, Mr. Smith states that he is not proficient in e-mail, and four out of the five Board members do not use electronic devices described in paragraph 10 of Mr. Smith's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affidavit of David Bennett, a lawyer for the Directors, states that he spoke to the Directors with the exception of Messrs. Doman and Frumento, both of whom are in poor health, confirmed that there are no further documents to provide, electronic or otherwise. Mr. Bennett goes on to swear that Messrs. Doman and Frumento "or their representative have confirmed in the past that they have no records relevant to these proceedings". (paragraph 4 of the affidavit of D.R. Bennett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Stingl</w:t>
      </w:r>
      <w:r>
        <w:rPr>
          <w:rFonts w:ascii="arial" w:eastAsia="arial" w:hAnsi="arial" w:cs="arial"/>
          <w:color w:val="000000"/>
          <w:sz w:val="20"/>
          <w:lang w:val="en-US" w:eastAsia="en-US" w:bidi="ar-SA"/>
        </w:rPr>
        <w:t>, an application was brought by the defendant before a judge of the Supreme Court of British Columbia seeking third party medical records. On the eve of the application, the plaintiff told the court that all documents had been produced. The judge dismissed the defendant's application. The defendant appealed. Madam Justice McLachlin, as she then was, stated at p.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 the other hand, I am of the view that an application for an order such as that sought here ought not to be dismissed simply because the judge is assured by the plaintiff that all relevant and non-privileged documents have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Madam Justice McLachlin goes on to conclude at p.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follows that the chamber judge should not refuse an order unless he is satisfied, not only that all relevant, non-privileged documents have been produced, but that the defendant has been afforded means of satisfying himself that this is in fact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This is not a case where counsel for the Directors have been dilatory in production of their documents. They produced their list of documents in a timely fashion. The defendants have responded both by letter and in this application to the assumptions made by Mr. Bassett. These assumptions have proved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memorandum from Jeanette McDougall does not confirm that Mr. Smith has a file, but rather that Doman had a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Ms. McDougall faxed to Mr. Smith a copy of the confidentiality agreement, stating that she would put it in </w:t>
      </w:r>
      <w:r>
        <w:rPr>
          <w:rFonts w:ascii="arial" w:eastAsia="arial" w:hAnsi="arial" w:cs="arial"/>
          <w:color w:val="000000"/>
          <w:sz w:val="20"/>
          <w:u w:val="single"/>
          <w:lang w:val="en-US" w:eastAsia="en-US" w:bidi="ar-SA"/>
        </w:rPr>
        <w:t>"our Special Committee file"</w:t>
      </w:r>
      <w:r>
        <w:rPr>
          <w:rFonts w:ascii="arial" w:eastAsia="arial" w:hAnsi="arial" w:cs="arial"/>
          <w:color w:val="000000"/>
          <w:sz w:val="20"/>
          <w:lang w:val="en-US" w:eastAsia="en-US" w:bidi="ar-SA"/>
        </w:rPr>
        <w:t xml:space="preserve"> [my emphasis] now being Western Forest Products Ltd. Mr. Jackson, in his affidavit, advises that Ms. McDougall is no longer employed by Western Forest Products Inc. or by Western Pulp Limited, and in all likelihood her files would have been turned over to Abbey Jones, former secretary to Doman, who is now employed by Western Forest Products Inc. Ms. Jones advised Mr. Jackson that she searched the files that Ms. McDougall had delivered to her to locate any file that Mr. Smith may have considered the restructure committee file. Ms. Jones searched the files and located two documents relevant to the proceedings, which have been produced and sent to plaintiff's counsel accompanied by a letter dated February 20, 2006 by Doman's counsel. Ms. Jones confirmed to Mr. Bennett that there was no separate or distinct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satisfied that the Directors and Doman have produced all non-privileged documents that have been in the possession or control of Mr. Smith and the restructuring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Notes of Latta Casiano - Plaintiff's Outline 2b. and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Casiano is a lawyer with the law firm of Fasken Martineau DuMoulin ("FMD"); Doman's lawyers. Mr. Bassett states that he attended two meetings of the special restructuring committee, and a portion of a meeting of the full Board of Directors of Doman. He states at those meetings Ms. Casiano appeared to act as secretary for purposes of recording the minutes of those meetings. This is not disputed by the defendants. The relevancy of the notes, Mr. Bassett says, are in relation to the meetings that he attended, but it also relates to the time when the plaintiff was a topic for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Jackson, in his affidavit #1, confirmed that Ms. Casiano did keep notes giving rise to Doman documents #99 and 103, and all other meetings of the Board of Directors for October 2003 to May 31, 2004. Mr. Jackson's affidavit #1 states that Ms. Casiano's usual practise was to destroy her notes once the minutes were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the affidavit of Mr. Jackson #1, a search of FMD's files for the Doman group of companies was undertaken. Located in those files were handwritten notes of Ms. Casiano from the meetings of the Special Committee held on February 23 and 24, 2004. In a letter written by FMD dated April 11, 2006, copies of those notes were sent to plaintiff's counsel with portions of those notes redacted.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satisfied that the defendants have searched all their files, including those of their counsel and have produced all handwritten notes of Ms. Casiano as it relates to Doman documents #99 and 103, and other notes of the Board of Directors for October 2003 to May 31,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All Correspondence between the Defendant discussing payment of UBS on their Second Contract and the treatment of UBS after December 31, 2003 - Plaintiff's Outline 2d. - All UBS Invoices for its First and Second Contract - Plaintiff's Outline 2e. Documents showing what documents Doman gave UBS after December 31, 2003, and specifically whether Doman's work product to UBS - Plaintiff's Outline 2f</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UBS provided professional services to Doman pursuant to two contracts between UBS and Doman during the </w:t>
      </w:r>
      <w:r>
        <w:rPr>
          <w:rFonts w:ascii="arial" w:eastAsia="arial" w:hAnsi="arial" w:cs="arial"/>
          <w:b/>
          <w:i/>
          <w:color w:val="000000"/>
          <w:sz w:val="20"/>
          <w:lang w:val="en-US" w:eastAsia="en-US" w:bidi="ar-SA"/>
        </w:rPr>
        <w:t>CCAA</w:t>
      </w:r>
      <w:r>
        <w:rPr>
          <w:rFonts w:ascii="arial" w:eastAsia="arial" w:hAnsi="arial" w:cs="arial"/>
          <w:color w:val="000000"/>
          <w:sz w:val="20"/>
          <w:lang w:val="en-US" w:eastAsia="en-US" w:bidi="ar-SA"/>
        </w:rPr>
        <w:t xml:space="preserve">proceedings. These contracts had all the approvals and consents required by the court pursuant to the </w:t>
      </w:r>
      <w:r>
        <w:rPr>
          <w:rFonts w:ascii="arial" w:eastAsia="arial" w:hAnsi="arial" w:cs="arial"/>
          <w:b/>
          <w:i/>
          <w:color w:val="000000"/>
          <w:sz w:val="20"/>
          <w:lang w:val="en-US" w:eastAsia="en-US" w:bidi="ar-SA"/>
        </w:rPr>
        <w:t>CCAA</w:t>
      </w:r>
      <w:r>
        <w:rPr>
          <w:rFonts w:ascii="arial" w:eastAsia="arial" w:hAnsi="arial" w:cs="arial"/>
          <w:color w:val="000000"/>
          <w:sz w:val="20"/>
          <w:lang w:val="en-US" w:eastAsia="en-US" w:bidi="ar-SA"/>
        </w:rPr>
        <w:t>proceedings. After December 31, 2003, there was a period where UBS was operating without a contract as the first contract had expired. Eventually a second contract was entered between Doman and UBS. The plaintiff seeks correspondence among the defendants discussing a second contract with UBS, as well as all invoices for fees and disbursements rendered by UBS to Doman after December 31,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position is that this is overly broad and not relevant to the issues raised in the pleadings. The defendants argue that the plaintiff has copies of the two agreements between UBS and Doman. The plaintiff pleads that in its statement of claim, the basis of the payment to Analytix by Doman was based on the contracts that Doman entered into with UBS. Those contracts are on the list of documents of Doman and have been provided to Analytix.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Analytix, in its outline, states that relevance, as it relates to documents, is defined broadly. In </w:t>
      </w:r>
      <w:r>
        <w:rPr>
          <w:rFonts w:ascii="arial" w:eastAsia="arial" w:hAnsi="arial" w:cs="arial"/>
          <w:b/>
          <w:i/>
          <w:color w:val="000000"/>
          <w:sz w:val="20"/>
          <w:lang w:val="en-US" w:eastAsia="en-US" w:bidi="ar-SA"/>
        </w:rPr>
        <w:t>Walter Construction</w:t>
      </w:r>
      <w:r>
        <w:rPr>
          <w:rFonts w:ascii="arial" w:eastAsia="arial" w:hAnsi="arial" w:cs="arial"/>
          <w:color w:val="000000"/>
          <w:sz w:val="20"/>
          <w:lang w:val="en-US" w:eastAsia="en-US" w:bidi="ar-SA"/>
        </w:rPr>
        <w:t>, the plaintiff was a head contractor in the construction of a waste water treatment plant. The plaintiff made a claim against the engineers. The plaintiff sought successfully a host of documents relating to the project such as files relating to the design of the project, the estimate plans, business plans, minutes of meetings, and other documents. In making a determination as to the documents that the plaintiff, Walter Construction, was entitled, Madam Justice Gray reviewed the pleadings, segregating those parts of the pleadings that raised the issues and claims made by the plaintiff as against the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pleads it has a contract with Doman, or alternatively Doman received services for which they have been unjustly enriched for which Analytix seeks to be paid on the basis of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There is no connection between the plaintiff and UBS other than the plaintiff pleads in its statement of claim at paragraph 25b)ii):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UBS Agreement (which was the model for the contract with the Plaintiff);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contract of UBS and Doman, and the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claim of Analytix is not dependent upon UBS's invoices. The UBS contract and the alleged contract with Analytix are not reliant on each other and were not interconnected. Analytix's claims in their pleadings relate to its relationship with Doman and the Directors; the nature of that relationship and the actions of Doman and the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its outline, the plaintiff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Doman's argument that the discussions about the work carried out by UBS (the first financial advisor) or its discussions with respect to contracts or financial arrangements with UBS is not relevant to the lawsuit, is misplaced and is entirely contrary to the Rules with respect to production. To allow this argument to succeed would prejudice the Plaintiff as the Plaintiff would be prevented from obtaining factual information for an argument based on similar fact or an argument in relation to damages based on quantum merit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response, the defendants state that the correspondence sought and the invoices sought do not assist the plaintiff in determining the value of the plaintiff's work. The defendants argue that the standard for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is set out in </w:t>
      </w:r>
      <w:r>
        <w:rPr>
          <w:rFonts w:ascii="arial" w:eastAsia="arial" w:hAnsi="arial" w:cs="arial"/>
          <w:b/>
          <w:i/>
          <w:color w:val="000000"/>
          <w:sz w:val="20"/>
          <w:lang w:val="en-US" w:eastAsia="en-US" w:bidi="ar-SA"/>
        </w:rPr>
        <w:t>Morrison-Knudsen Co. v. British Columbia Hydro and Power Authority</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[1975] B.C.J. No. 654</w:t>
        </w:r>
      </w:hyperlink>
      <w:r>
        <w:rPr>
          <w:rFonts w:ascii="arial" w:eastAsia="arial" w:hAnsi="arial" w:cs="arial"/>
          <w:color w:val="000000"/>
          <w:sz w:val="20"/>
          <w:lang w:val="en-US" w:eastAsia="en-US" w:bidi="ar-SA"/>
        </w:rPr>
        <w:t xml:space="preserve"> (S.C.) at paragraph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true test is, what is a reasonable remuneration to be paid for the work in all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determination the defendants argue is made on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rates upon which Analytix relies are in the two contracts between UBS and Doman.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second reason given by Analytix for the disclosure of these documents is based on similar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argue that these documents are not relevant. In paragraph 10 of Doman's outline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volume of such documents alone would be unmanageable ... and would consist of numerous bank boxes (the latter referring to financial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Once again, I state that the success or failure of the plaintiff's claim depends on the arrangements the plaintiff made and the relationship the plaintiff had with Doman and the Directors of which UBS had no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Millar of FMD states in his letter of January 16, 2006:</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not seen any documents which indicate whether or not any "work product" produced by Mr. Bassett or Value Analytix was given to UBS.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of course, may not be the end of the matter. This is an obvious question that may be asked at examinations for discovery of the various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decline to order the defendants to produce all correspondence between the defendant discussing payment of UBS on their second contract, all UBS's invoices for its first and second contract, and documents showing what documents Doman gave UBS after December 31,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Board Meeting Minutes of April 22, 2004, plus documents circulating prior to the meeting discussing UBS or the plaintiff - Plaintiff's Outline 2h.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FMD, in a letter dated January 16, 2006, advised Analytix's counsel that they had reviewed the minutes and there is no reference to the plaintiff, Mr. Bassett, or any other relevant information to the issues raised in the pleadings. Other than the plaintiff's claim of similar fact, which I have dealt with, discussions about UBS are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Documents referred to in Doman Document #00279, email from Mr. Hosier to counsel - Plaintiff's outline 2i.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FMD's letter of January 16, 2006, directed to plaintiff's counsel, it states that no such documents were located by Doman and its counsel. The message referred to in Mr. Hosier's email appears to refer to a telephone message.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Copies of Agreements and Invoices Between Doman and Third Parties, and in particular, Forest Technology Group LLC and Jacob Poyry Consulting Ltd. - Plaintiff's Outline 2.l. - Documents showing the Monitor and Defendants obtaining approval to hire various consultants during the </w:t>
      </w:r>
      <w:r>
        <w:rPr>
          <w:rFonts w:ascii="arial" w:eastAsia="arial" w:hAnsi="arial" w:cs="arial"/>
          <w:b/>
          <w:i/>
          <w:color w:val="000000"/>
          <w:sz w:val="20"/>
          <w:u w:val="single"/>
          <w:lang w:val="en-US" w:eastAsia="en-US" w:bidi="ar-SA"/>
        </w:rPr>
        <w:t>CCAA</w:t>
      </w:r>
      <w:r>
        <w:rPr>
          <w:rFonts w:ascii="arial" w:eastAsia="arial" w:hAnsi="arial" w:cs="arial"/>
          <w:b/>
          <w:color w:val="000000"/>
          <w:sz w:val="20"/>
          <w:u w:val="single"/>
          <w:lang w:val="en-US" w:eastAsia="en-US" w:bidi="ar-SA"/>
        </w:rPr>
        <w:t xml:space="preserve"> proceedings and the Identification of all other Consultants in the Monitor's Report No. 20 providing all documentation regarding the approval of hiring these consultants and invoices for their payments - Plaintiff's Outline 2.m and 2.n.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Forest Technology Group ("FTG") and Jaco Poyry ("JP") provided valuations to Doman. The plaintiff, in paragraph 26 of its outline, sets out the basis in which it seeks these documents: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authority the Directors did or did not have or thought they had with respect to engaging third parties to assist with Domans restructuring efforts, thus the course of conduct of the Defendants could become important in terms of how they dealt with other third party consultants and whether or not they were paid. This leads into the need of the Plaintiff to examine on this issue and obtain documents of similar fact showing how the Defendants dealt with other third party consultants. How other third party consultants were treated may go to the issue as to what is the standard in the industry with respect to these types of engagements, or issues of quantum merit [sic], but it certainly goes to the issue of liability and 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defendants argue that Doman's authority to engage these and other third party consultants is not relevant. The defendants further argue that Doman's authority, as it relates to FTG and JP and other third party contracts, is not an issue in the pleadings. With this I agree. Analytix seeks to review all contracts that Doman entered into during the </w:t>
      </w:r>
      <w:r>
        <w:rPr>
          <w:rFonts w:ascii="arial" w:eastAsia="arial" w:hAnsi="arial" w:cs="arial"/>
          <w:b/>
          <w:i/>
          <w:color w:val="000000"/>
          <w:sz w:val="20"/>
          <w:lang w:val="en-US" w:eastAsia="en-US" w:bidi="ar-SA"/>
        </w:rPr>
        <w:t>CCAA</w:t>
      </w:r>
      <w:r>
        <w:rPr>
          <w:rFonts w:ascii="arial" w:eastAsia="arial" w:hAnsi="arial" w:cs="arial"/>
          <w:color w:val="000000"/>
          <w:sz w:val="20"/>
          <w:lang w:val="en-US" w:eastAsia="en-US" w:bidi="ar-SA"/>
        </w:rPr>
        <w:t xml:space="preserve"> proceedings, and to question the basis of these contracts. None of these parties were connected to, nor is it pled that they were related to Analytix and their relationship with Doman and the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Further, the defendants argue that the two specific consultants, FTG and JP, provided valuation services for Doman, which the plaintiff does not allege it provided. The accounts of FTG and JP do not assist the plaintiff in establishing their claim of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My comments relating to UBS as to the test for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and similar facts apply to these documents. I decline to order that the defendants produce the documents sought in the plaintiff's outline 2.l., 2.m. and 2.n.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All Documents relating to Analytix, retention or payment of Analytix, UBS, or the authority of the Directors pursuant to the </w:t>
      </w:r>
      <w:r>
        <w:rPr>
          <w:rFonts w:ascii="arial" w:eastAsia="arial" w:hAnsi="arial" w:cs="arial"/>
          <w:b/>
          <w:i/>
          <w:color w:val="000000"/>
          <w:sz w:val="20"/>
          <w:u w:val="single"/>
          <w:lang w:val="en-US" w:eastAsia="en-US" w:bidi="ar-SA"/>
        </w:rPr>
        <w:t>CCAA</w:t>
      </w:r>
      <w:r>
        <w:rPr>
          <w:rFonts w:ascii="arial" w:eastAsia="arial" w:hAnsi="arial" w:cs="arial"/>
          <w:b/>
          <w:color w:val="000000"/>
          <w:sz w:val="20"/>
          <w:u w:val="single"/>
          <w:lang w:val="en-US" w:eastAsia="en-US" w:bidi="ar-SA"/>
        </w:rPr>
        <w:t xml:space="preserve"> proceeding to pay and retain UBS or the plaintiff, or any third party - Plaintiff's outline 2p</w:t>
      </w:r>
      <w:r>
        <w:rPr>
          <w:rFonts w:ascii="arial" w:eastAsia="arial" w:hAnsi="arial" w:cs="arial"/>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defendants respond by pointing out that the April 6, 2004 order of Mr. Justice Tysoe authorized Doman to enter the second agreement with UBS is listed in the plaintiff's documents. Once again, the Directors' authority to retain other parties is not at issue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decline to order that the defendants produce the documents stated in the plaintiff's outline 2.p.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Documents Created by the Monitor and Provided to Doman and/or the Directors Expressing their concern that Third Party Consultants not be paid without monitor approval - Plaintiff's outline 2j.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states that these documents are relevant. The defendants state that the relevant documents have been identified. These documents are: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emails dated April 8 and 12, 2004 between the Monitor and Mr. Hosier;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memo of May 13, 2004 from Mr. Hosier to the Monitor;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 dated May 25, 2004 from Mr. Gordon of Brascan - Note Holder Group to Mr. Hosier and the Monitor.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Doman's counsel, FMD, stated in their letter of January 16, 2006 that these would be listed in their supplemental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his affidavit #1, Mr. Jackson confirms that he made inquiries of the Monitor. Mr. Jackson swears at paragraph 6(d):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Plaintiff made a number of requests for copies of correspondence between and among DIL the Noteholder Group and KPMG Inc. (the "Monitor") and their respective counsel relating both to seeking approvals for payments to the Plaintiff and to concerns regarding the engagement of third-party consultants. I have reviewed FMD's files to locate any such documents and made inquiries of the Monitor to attempt to locate any such documents. The Monitor located two emails between the Monitor and Mr. Hosier, a memo from Mr. Hosier to the Monitor and an email from Peter Gordon (of Brascan)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Mr. Hosier and the Monitor, which concerned the matters identified by counsel for the Plaintiff. These documents were delivered to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not been able to identify any evidence to suggest there are any other documents in this category that has not been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Documents Created by the Monitor and Provided to Doman and/or the Directors Expressing their concern that Third Party Consultants not be paid without monitor approval - Plaintiff's outline 2k.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Inquiries by Doman, its counsel and the Noteholder Group, its counsel, the Monitor and WFPI disclose no further documents. Doman's legal counsel, in their letter of January 16, 2006, state that most communications among legal counsel, the Monitor, and the legal counsel for the Noteholder Group was by telephone. I accept this explanation. As a result, there are no further documents that should be produced pursuant to the plaintiff's outline 2k.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Affidavit #21 of Philip Hosier dated March 22, 2004 filed in the CCAA proceeding, and any other affidavit of Philip Hosier or others filed in support of payments to UBS - 2o</w:t>
      </w:r>
      <w:r>
        <w:rPr>
          <w:rFonts w:ascii="arial" w:eastAsia="arial" w:hAnsi="arial" w:cs="arial"/>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Mr. Hosier's affidavit #21 has been produced and there are no other relevant affidavits. Further, the evidence discloses that there are no further affidavits of Philip Hosier filed in support of the payments to UBS in the </w:t>
      </w:r>
      <w:r>
        <w:rPr>
          <w:rFonts w:ascii="arial" w:eastAsia="arial" w:hAnsi="arial" w:cs="arial"/>
          <w:b/>
          <w:i/>
          <w:color w:val="000000"/>
          <w:sz w:val="20"/>
          <w:lang w:val="en-US" w:eastAsia="en-US" w:bidi="ar-SA"/>
        </w:rPr>
        <w:t>CCAA</w:t>
      </w:r>
      <w:r>
        <w:rPr>
          <w:rFonts w:ascii="arial" w:eastAsia="arial" w:hAnsi="arial" w:cs="arial"/>
          <w:color w:val="000000"/>
          <w:sz w:val="20"/>
          <w:lang w:val="en-US" w:eastAsia="en-US" w:bidi="ar-SA"/>
        </w:rPr>
        <w:t xml:space="preserv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Verification of the Lists of Documents and Supplemental Lists of Documents by Affidavit - Plaintiff's Outline 2q.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seeks that Doman and the Directors verify their lists of documents and supplemental list of documents by affidavit pursuant to Rule 26(3) of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defendants argue that there is no basis for this order. In </w:t>
      </w:r>
      <w:r>
        <w:rPr>
          <w:rFonts w:ascii="arial" w:eastAsia="arial" w:hAnsi="arial" w:cs="arial"/>
          <w:b/>
          <w:i/>
          <w:color w:val="000000"/>
          <w:sz w:val="20"/>
          <w:lang w:val="en-US" w:eastAsia="en-US" w:bidi="ar-SA"/>
        </w:rPr>
        <w:t>Ngo v. South Pacific Development Ltd.</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[2004] B.C.J. No. 2138</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2004 BCSC 1329</w:t>
        </w:r>
      </w:hyperlink>
      <w:r>
        <w:rPr>
          <w:rFonts w:ascii="arial" w:eastAsia="arial" w:hAnsi="arial" w:cs="arial"/>
          <w:color w:val="000000"/>
          <w:sz w:val="20"/>
          <w:lang w:val="en-US" w:eastAsia="en-US" w:bidi="ar-SA"/>
        </w:rPr>
        <w:t xml:space="preserve">, I refer to the decision </w:t>
      </w:r>
      <w:r>
        <w:rPr>
          <w:rFonts w:ascii="arial" w:eastAsia="arial" w:hAnsi="arial" w:cs="arial"/>
          <w:b/>
          <w:i/>
          <w:color w:val="000000"/>
          <w:sz w:val="20"/>
          <w:lang w:val="en-US" w:eastAsia="en-US" w:bidi="ar-SA"/>
        </w:rPr>
        <w:t>Foundation Co. of Canada v. Burnaby (District).</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[1978] B.C.J. No. 557</w:t>
        </w:r>
      </w:hyperlink>
      <w:r>
        <w:rPr>
          <w:rFonts w:ascii="arial" w:eastAsia="arial" w:hAnsi="arial" w:cs="arial"/>
          <w:color w:val="000000"/>
          <w:sz w:val="20"/>
          <w:lang w:val="en-US" w:eastAsia="en-US" w:bidi="ar-SA"/>
        </w:rPr>
        <w:t xml:space="preserve"> wherein Mr. Justice Legg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7 I think the purpose of Rule 26(3) is to enable a party in the position of Foundation to require that every reasonable effort has been made by its opponents to reveal the existence of all relevant documents that are or have been in their possession. When some documents which are significant to the defence or claim of one party, have, for whatever reason, been omitted from any list delivered under Rule 26(1), in the absence of any adequate explanation or reason for such omission, an order directing the delinquent party to deliver an affidavit verifying the list of discovered documents ought, in my view,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responded to the demand for a list of documents in a timely fashion. Doman has provided some new documents since their list of documents dated August 9, 2005, where the vast majority of documents are listed. With subsequent documents being discovered, they have been disclosed and sent to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Bennett, Mr. Jackson, and Mr. Smith's affidavits explain why documents do not exist that the plaintiff assume exists. Those affidavits explain the finding of documents since the first list of documents as well as searches undertaken to locate relevant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seeks all electronic data including hard drives, personal computers - or otherwise sought in this application - Plaintiff's Outline 2r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argue that there is no basis for such an order. They argued that the request is onerous, intrusive, time consuming and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Baldwin</w:t>
      </w:r>
      <w:r>
        <w:rPr>
          <w:rFonts w:ascii="arial" w:eastAsia="arial" w:hAnsi="arial" w:cs="arial"/>
          <w:color w:val="000000"/>
          <w:sz w:val="20"/>
          <w:lang w:val="en-US" w:eastAsia="en-US" w:bidi="ar-SA"/>
        </w:rPr>
        <w:t>, Madam Justice Humphries states at paragraph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of this case, on the material presently before me, the plaintiff has produced nothing to show that the defendant has hidden documents. ... However, the defendant has explained those events, the documents have been produced, and the plaintiff has not put forth any evidence to suggest there are other avenues that must be explored to ensure there are no other similar lapses.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paragraph 36 Madam Justice Humphries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appropriate to order the production of the mirror image HDD simply because it exists and because there is interesting technology that one might apply to it, even assuming authority exists to order such a search outside an Anton Piller order. ... Without some indication that the application of the interesting technology might result in the relevant and previously undisclosed documents, the privacy interests of the third parties and the avoidance of unnecessary and onerous expense militate against allowing such a search merely because it can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will not order the production of hard drives, the location of personal computers or the storage of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application is dismissed with costs to the defendants, Doman and the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HYSLOP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Wallman v. Doe, [2014] B.C.J. No. 1073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G.C. Weatherill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M084600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1073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968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 C.C.L.I. (5th) 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240 A.C.W.S. (3d) 573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1497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 A. Wallman, Plaintiff, and John Doe, Jack Doe Company Ltd., Insurance Corporation of British Columbia, Rajinder S. Gill, British Columbia Transit, and Whistler Transit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3"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1" w:name="Keywords_13"/>
      <w:bookmarkEnd w:id="91"/>
      <w:r>
        <w:rPr>
          <w:rFonts w:ascii="arial" w:eastAsia="arial" w:hAnsi="arial" w:cs="arial"/>
          <w:b/>
          <w:color w:val="000000"/>
          <w:sz w:val="20"/>
          <w:lang w:val="en-US" w:eastAsia="en-US" w:bidi="ar-SA"/>
        </w:rPr>
        <w:t>Civil litigation — Civil procedure — Costs — Particular items — Counsel fees — Particular circumstances — Complex, novel or test case — Bullock or Sanderson order — Application by plaintiff for costs allowed in part — Plaintiff was awarded $6,263,209 in damages for personal injuries — Plaintiff entitled to costs on Scale C with 70 per cent of costs of two counsel — Matter was complex with numerous witnesses and experts and several pre-trial applications and it was entirely reasonable for plaintiff to have two counsel — Sanderson order requiring transit defendants to pay costs of ICBC, who successfully defended claim as nominal defendant, was not reasonable because plaintiff had not taken reasonable efforts to identify driver who caused accident — ICBC entitled to costs on Scale B.</w:t>
      </w:r>
    </w:p>
    <w:p>
      <w:pPr>
        <w:jc w:val="both"/>
        <w:rPr>
          <w:rFonts w:ascii="arial" w:eastAsia="arial" w:hAnsi="arial" w:cs="arial"/>
          <w:sz w:val="20"/>
          <w:lang w:val="en-US" w:eastAsia="en-US" w:bidi="ar-SA"/>
        </w:rPr>
      </w:pPr>
      <w:bookmarkStart w:id="92" w:name="Legislation Cited_11"/>
      <w:bookmarkEnd w:id="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4"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276" w:history="1">
        <w:r>
          <w:rPr>
            <w:rFonts w:ascii="arial" w:eastAsia="arial" w:hAnsi="arial" w:cs="arial"/>
            <w:i/>
            <w:color w:val="0077CC"/>
            <w:sz w:val="20"/>
            <w:u w:val="single"/>
            <w:shd w:val="clear" w:color="auto" w:fill="FFFFFF"/>
            <w:lang w:val="en-US" w:eastAsia="en-US" w:bidi="ar-SA"/>
          </w:rPr>
          <w:t>RSBC 1996, CHAPTER 231, s. 22</w:t>
        </w:r>
      </w:hyperlink>
      <w:r>
        <w:rPr>
          <w:rFonts w:ascii="arial" w:eastAsia="arial" w:hAnsi="arial" w:cs="arial"/>
          <w:color w:val="000000"/>
          <w:sz w:val="20"/>
          <w:lang w:val="en-US" w:eastAsia="en-US" w:bidi="ar-SA"/>
        </w:rPr>
        <w:t>(5), s. 24,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14-1(18)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3" w:name="Counsel_13"/>
      <w:bookmarkEnd w:id="93"/>
      <w:r>
        <w:rPr>
          <w:rFonts w:ascii="arial" w:eastAsia="arial" w:hAnsi="arial" w:cs="arial"/>
          <w:b/>
          <w:color w:val="000000"/>
          <w:sz w:val="28"/>
          <w:lang w:val="en-US" w:eastAsia="en-US" w:bidi="ar-SA"/>
        </w:rPr>
        <w:t>Appearances</w:t>
      </w:r>
    </w:p>
    <w:p>
      <w:pPr>
        <w:spacing w:line="60" w:lineRule="exact"/>
        <w:rPr>
          <w:rFonts w:ascii="arial" w:eastAsia="arial" w:hAnsi="arial" w:cs="arial"/>
          <w:sz w:val="20"/>
          <w:lang w:val="en-US" w:eastAsia="en-US" w:bidi="ar-SA"/>
        </w:rPr>
      </w:pPr>
      <w:r>
        <w:pict>
          <v:line id="_x0000_s1095"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Gourlay.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C.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Rajinder Gill, British Columbia Transit, and Whistler Transit Ltd.: K.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CIVT,INST,MVRT,PILT,TRRT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4" w:name="Judgment_13"/>
      <w:bookmarkEnd w:id="94"/>
      <w:r>
        <w:pict>
          <v:line id="_x0000_s1096" style="position:absolute;z-index:251826176"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 on Costs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G.C. WEATHERILL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January 17, 2014, I issued my reasons for judgment in this personal injury matter. The citation is </w:t>
      </w:r>
      <w:hyperlink r:id="rId277" w:history="1">
        <w:r>
          <w:rPr>
            <w:rFonts w:ascii="arial" w:eastAsia="arial" w:hAnsi="arial" w:cs="arial"/>
            <w:i/>
            <w:color w:val="0077CC"/>
            <w:sz w:val="20"/>
            <w:u w:val="single"/>
            <w:shd w:val="clear" w:color="auto" w:fill="FFFFFF"/>
            <w:lang w:val="en-US" w:eastAsia="en-US" w:bidi="ar-SA"/>
          </w:rPr>
          <w:t>2014 BCSC 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awarded damages in the amount of $5,944,712. Subsequent to the pronouncement of my reasons for judgment, the parties agreed that additional amounts for pre-judgment interest, management fees, and tax gross-up would be added to the award that I made, thereby increasing the amount of the judgment to $6,263,209.33.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now applies for the following orders relating to costs in his favour:</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at Scale 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for two counsel for preparation and attendance at trial;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requiring the transit defendants, as that term was defined in the reasons for judgment, to pay the costs of the successful defendant, the Insurance Corporation of British Columbia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Dealing first with the scale of costs, Scale B is applicable to matters of ordinary difficulty. Scale C is applicable to matters of more than ordinary difficulty. That was made clear by the decision two weeks ago of the B.C. Court of Appeal in </w:t>
      </w:r>
      <w:r>
        <w:rPr>
          <w:rFonts w:ascii="arial" w:eastAsia="arial" w:hAnsi="arial" w:cs="arial"/>
          <w:i/>
          <w:color w:val="000000"/>
          <w:sz w:val="20"/>
          <w:lang w:val="en-US" w:eastAsia="en-US" w:bidi="ar-SA"/>
        </w:rPr>
        <w:t>Meghji v. British Columbia (Ministry of Transportation and Highways)</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2014 BCCA 105</w:t>
        </w:r>
      </w:hyperlink>
      <w:r>
        <w:rPr>
          <w:rFonts w:ascii="arial" w:eastAsia="arial" w:hAnsi="arial" w:cs="arial"/>
          <w:color w:val="000000"/>
          <w:sz w:val="20"/>
          <w:lang w:val="en-US" w:eastAsia="en-US" w:bidi="ar-SA"/>
        </w:rPr>
        <w:t>, at paras. 135 to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relevant factors to be considered when determining whether a case was of more than ordinary difficulty were set out by this court in </w:t>
      </w:r>
      <w:r>
        <w:rPr>
          <w:rFonts w:ascii="arial" w:eastAsia="arial" w:hAnsi="arial" w:cs="arial"/>
          <w:i/>
          <w:color w:val="000000"/>
          <w:sz w:val="20"/>
          <w:lang w:val="en-US" w:eastAsia="en-US" w:bidi="ar-SA"/>
        </w:rPr>
        <w:t>Danicek v. Li</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2011 BCSC 444</w:t>
        </w:r>
      </w:hyperlink>
      <w:r>
        <w:rPr>
          <w:rFonts w:ascii="arial" w:eastAsia="arial" w:hAnsi="arial" w:cs="arial"/>
          <w:color w:val="000000"/>
          <w:sz w:val="20"/>
          <w:lang w:val="en-US" w:eastAsia="en-US" w:bidi="ar-SA"/>
        </w:rPr>
        <w:t xml:space="preserve"> at para. 40. They are: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trial;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issues involved;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pre-trial applications;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action was hard fought with little conceded;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 reports;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any measure, this was a complex case that, although courteously and cooperatively fought, was nevertheless hard fought with little, if anything, conceded. The defendants' position throughout was that the plaintiff's alleged brain injury was not real. The trial occupied 29 days. Forty-three witnesses were called by the parties, including 16 engineering and medical experts. Sixteen expert reports were exchanged.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engineering experts provided opinions regarding the biomechanics of and the acceleration and other forces imparted upon a human body during a rear-end collision, mechanical engineering, accident reconstruction, and Monte Carlo simulations to predict the probability of various accident scenarios.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medical expert evidence included opinions of psychiatrists, psychologists, neurologists, a neuro-opthalmologist, physiatrist and a speech pathologist.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addition, there was expert evidence from occupational therapists, rehabilitation and vocational consultants, and economists.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conducted several pre-trial examinations of nine witnesses, conducted two and a half days of examinations for discovery of the plaintiff, during which he was asked 2,669 questions. Considerable steps were taken by the parties in an effort to prove or disprove the plaintiff's claim that he had suffered a mild traumatic brain injury during the accident. Most, if not all, of the expert evidence was focused on whether the plaintiff sustained a mild traumatic brain injury as a result of a relatively minor rear-end impact during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there were several pre-trial applications, most of which were of ordinary difficulty, but one involved the plaintiff's successful motion to strike the defendants' jury notice on the basis that the case had become complex and would be too lengthy for a jury to retain the evidence. This application was the subject of two hearings in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my view, this action was plainly one of more-than-ordinary difficulty. The plaintiff is entitled to an award of costs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Dealing next with the application for costs of two counsel. As I have stated, this was a complex claim involving many technical issues and many witnesses. A significant volume of documents and evidence had to be amassed, digested, and presented. The attendance of two counsel on behalf of the plaintiff allowed the trial to proceed smoothly and efficiently. It enabled counsel to provide the court with extensive and comprehensive summaries of the evidence and submissions immediately following the close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transit defendants themselves had two senior and experienced counsel in attendance at trial with, I am told, a combined 58 years of experience at the bar. Counsel for the transit defendants conceded during submissions today that "there is no doubt that this was not an ordinary personal injury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my view, it was entirely appropriate and reasonable for two counsel to have been present. The plaintiff is entitled to recover the costs of two counsel for the preparation of and 70 percent attendance at trial; i.e., 70 percent of the second counsel. That reduction is due to the fact that, in my view, two counsel were not required 100 percent of the time and in particular during the lengthy video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Now turning to the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is one in which an unsuccessful defendant is ordered to pay the costs of a successful defendant. Rule 14-1(18) has codified the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costs of one defendant against a plaintiff ought to be paid by another defendant, the court may order payment to be made by one defendant to the other directly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applicant for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must demonstrate that it was reasonable for the plaintiff to have joined the successful defendant in the action. If this threshold is met, the judge then exercises his or her discretion as to whether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is just in the circumstances: </w:t>
      </w:r>
      <w:r>
        <w:rPr>
          <w:rFonts w:ascii="arial" w:eastAsia="arial" w:hAnsi="arial" w:cs="arial"/>
          <w:i/>
          <w:color w:val="000000"/>
          <w:sz w:val="20"/>
          <w:lang w:val="en-US" w:eastAsia="en-US" w:bidi="ar-SA"/>
        </w:rPr>
        <w:t>Times Square Holdings Ltd. v. Shimizu</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2001 BCCA 667</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my view, the threshold test is easily met in this case. It was the position of the transit defendants throughout the proceeding and the trial that the accident was caused or contributed to by the unidentified snow plow driver. It was reasonable for the plaintiff to have joined the unidentified snow plow driver and his or her employer, John Doe and John Doe Company Ltd. respectively, as defendants. Indeed, I found that John Doe was negligent in causing the snow plow to slide into the intersection, and that Jack Doe Company Ltd. was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John Doe.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Because the identity of the snow plow driver and this company were not ascertained, ICBC was joined as a nominal defendant pursuant to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However, in my view, the circumstances of this case are such that it would not be just to order that the transit defendants pay the costs of ICBC, who was successful in defending its liability under s. 24. I say that because the plaintiff failed to satisfy me that he had made all reasonable efforts to ascertain the identity of the snow plow driver, a statutory prerequisite to a finding of liability against ICBC under s. 24. As I stated in the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is that the Snow Plow was a large "highway" snow plow. In my view, "all reasonable efforts" would have included contacting the known or easily identifiable highway snow plow operators and contractors in an attempt to determine which drivers were operating snow plows on the morning of the Accident and in what location. Those enquiries were well within the resources of the plaintiff and/or his counsel. No such steps were taken. Indeed, no effort whatsoever was made to ascertain the identity of the driver of the Snow Plow. The plaintiff did not provide an explanation for his failure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It was not reasonable, in my view, to have joined ICBC as a defendant when no steps had been taken to contact the highway snow plow operators, which could easily have been done. In my view, that omission, in the face of s. 22(5) [sic]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rendered the claim against ICBC doomed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Accordingly, there will be an order that the plaintiff is entitled to his costs at Scale C, including the costs for the preparation and attendance of two counsel. The application for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Due to its limited participation and involvement in this action, ICBC is entitled to its costs from the plaintiff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GOURLAY: A couple of things arising,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Yes, is there anything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GOURLAY: Just as a housekeeping matter, you said it is s. 22(5) and I believe you meant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I meant s. 24(5), I apologize.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GOURLAY: And with respect to the order for two counsel, just how it should read. Was it two counsel in full to prepare, but 70 percent of the cost for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GOURLAY: Thank you,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Anything arising, Mr.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ARMSTRONG: So effectively when my friend prepares his tariff, it will be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ARMSTRONG: For trial, yes, and two for preparation, 1.7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Correct. Two for prep.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ARMSTRONG: One point seven.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And I am just wondering about the 1.7. It is one plus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ARMSTRONG: Point seven.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COURT: -- 70 percent of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ARMSTRONG: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COURT: I do not know whether that mathematically equates to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ARMSTRONG: I'm pretty sure it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GOURLAY: And just to be entirely clear as well, Mr. Arvisais or ICBC's costs are only for the days that they were actually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COURT: Yes, only for the days they were in attendance. So you are not claiming for costs of attendance at trial when Mr. Arvisais was not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WONG: Yes,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COURT: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G.C.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Wang v. British Columbia Medical Assn., [2010] B.C.J. No. 1674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13,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26,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Dockets: S095777 and S103019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1674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1203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CarswellBC 2264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192 A.C.W.S. (3d) 386</w:t>
      </w:r>
    </w:p>
    <w:p>
      <w:pPr>
        <w:spacing w:before="120" w:line="260" w:lineRule="atLeast"/>
        <w:rPr>
          <w:lang w:val="en-US" w:eastAsia="en-US" w:bidi="ar-SA"/>
        </w:rPr>
      </w:pPr>
      <w:r>
        <w:rPr>
          <w:rFonts w:ascii="arial" w:eastAsia="arial" w:hAnsi="arial" w:cs="arial"/>
          <w:color w:val="000000"/>
          <w:sz w:val="20"/>
          <w:lang w:val="en-US" w:eastAsia="en-US" w:bidi="ar-SA"/>
        </w:rPr>
        <w:t>Between Caroline Wang, Plaintiff, and British Columbia Medical Association (Canadian Medical Association - B.C. Division), Geoffrey Marsden Appleton, Brian David Brodie, William (Bill) John Riddell Cavers, Bradley Allen Fritz, Michael John Golbey, Nasirmohamed Jetha, Margaret Anne MacDiarmid, John William (Bill) Mackie, Robin David Saunders, Mark David Schonfeld, Barry John Turchen, John Michael Morris Turner, Geraldine Vance, Carole Lynn Williams, John Doe, Jane Doe, Richard Roe, Jane Roe, Jim Poe, and Max Zoe, Defendants And between Caroline Wang, Plaintiff, and British Columbia Medical Association (Canadian Medical Association - B.C. Division),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8" style="position:absolute;z-index:2516736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5" w:name="Keywords_14"/>
      <w:bookmarkEnd w:id="95"/>
      <w:r>
        <w:rPr>
          <w:rFonts w:ascii="arial" w:eastAsia="arial" w:hAnsi="arial" w:cs="arial"/>
          <w:b/>
          <w:color w:val="000000"/>
          <w:sz w:val="20"/>
          <w:lang w:val="en-US" w:eastAsia="en-US" w:bidi="ar-SA"/>
        </w:rPr>
        <w:t>Civil litigation — Civil procedure — Actions — Causes of action — Joinder and consolidation — Disposition without trial — Stay of action — Another proceeding pending — Application by defendant Medical Association to stay claims against it in the present action or that both actions be consolidated allowed in part — Actions were consolidated — Plaintiff, a medical doctor and former member of Association's board, commenced actions for defamation and breach of contract as a result of Association's decision to have plaintiff's conduct as a board member reviewed — Determination of issues in either action would not necessarily determine the issues in the other — Considering the similar parties and issues of both actions, consolidation was warranted.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6" w:name="Case Summary_12"/>
            <w:bookmarkEnd w:id="9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Medical Association to stay the claims against it in the present action or that the two actions be consolidated. The plaintiff applied to have the action heard jointly. The plaintiff was a medial doctor and member of the defendant Association. While a member of the Association's board and of the executive committee, the plaintiff posted several emails to a member discussion group concerning decisions made by the executive committee and invited input from the membership at large. The board then referred the plaintiff's conduct for review to the Special Committee. The plaintiff then commenced an action against a number of past and present members of the board of directors and of the Special Committee and the Association for defamation based on comments allegedly made after the board's decision to review the plaintiff's conduct. The plaintiff then commenced another action against the Association only for breach of contract. The alleged breaches of the contract all centered around the conduct of the board at a meeting where the decision to have the plaintiff's conduct reviewed was made. </w:t>
            </w:r>
            <w:r>
              <w:rPr>
                <w:lang w:val="en-US" w:eastAsia="en-US" w:bidi="ar-SA"/>
              </w:rPr>
              <w:cr/>
            </w:r>
          </w:p>
          <w:p>
            <w:pPr>
              <w:spacing w:before="120" w:line="260" w:lineRule="atLeast"/>
              <w:ind w:left="240"/>
              <w:jc w:val="both"/>
              <w:rPr>
                <w:lang w:val="en-US" w:eastAsia="en-US" w:bidi="ar-SA"/>
              </w:rPr>
            </w:pPr>
            <w:bookmarkStart w:id="97" w:name="Holdings of Court_9"/>
            <w:bookmarkEnd w:id="97"/>
            <w:r>
              <w:rPr>
                <w:rFonts w:ascii="arial" w:eastAsia="arial" w:hAnsi="arial" w:cs="arial"/>
                <w:color w:val="000000"/>
                <w:sz w:val="20"/>
                <w:lang w:val="en-US" w:eastAsia="en-US" w:bidi="ar-SA"/>
              </w:rPr>
              <w:t>HELD: Application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determination of the issues in either action would not necessarily determine the issues in the other. The actions were consolidated. The plaintiff was the same in both actions. The Association was a defendant in both actions and its board members were sued in one of the actions. With the plaintiff having already agreed that the evidence in each action should be considered evidence in both actions for the purpose of all trial and all pre-trial procedures as if they were consolidated, the evidence obtained in examinations for discovery in one action should be admissible in the other action as well, and with her agreement to one common list of documents for both actions, there was no significant impediment to consolidating the two actions together for all purposes including trial. </w:t>
            </w:r>
            <w:r>
              <w:rPr>
                <w:lang w:val="en-US" w:eastAsia="en-US" w:bidi="ar-SA"/>
              </w:rPr>
              <w:cr/>
            </w:r>
          </w:p>
          <w:p>
            <w:pPr>
              <w:rPr>
                <w:lang w:val="en-US" w:eastAsia="en-US" w:bidi="ar-SA"/>
              </w:rPr>
            </w:pPr>
          </w:p>
        </w:tc>
      </w:tr>
    </w:tbl>
    <w:p>
      <w:pPr>
        <w:jc w:val="both"/>
        <w:rPr>
          <w:lang w:val="en-US" w:eastAsia="en-US" w:bidi="ar-SA"/>
        </w:rPr>
      </w:pPr>
      <w:bookmarkStart w:id="98" w:name="Counsel_14"/>
      <w:bookmarkEnd w:id="9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9" style="position:absolute;z-index:2517248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in both actions: R.W. Grant.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in both actions: B. Cramer and A.H. Sabur.</w:t>
      </w:r>
      <w:r>
        <w:rPr>
          <w:lang w:val="en-US" w:eastAsia="en-US" w:bidi="ar-SA"/>
        </w:rPr>
        <w:cr/>
      </w:r>
    </w:p>
    <w:p>
      <w:pPr>
        <w:spacing w:after="240"/>
        <w:rPr>
          <w:lang w:val="en-US" w:eastAsia="en-US" w:bidi="ar-SA"/>
        </w:rPr>
      </w:pPr>
      <w:bookmarkStart w:id="99" w:name="Judgment_14"/>
      <w:bookmarkEnd w:id="99"/>
      <w:r>
        <w:pict>
          <v:line id="_x0000_s1100" style="position:absolute;z-index:25177600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00" w:name="J.D. TRUSCOTT J."/>
            <w:bookmarkEnd w:id="100"/>
            <w:r>
              <w:rPr>
                <w:rFonts w:ascii="arial" w:eastAsia="arial" w:hAnsi="arial" w:cs="arial"/>
                <w:b/>
                <w:color w:val="000000"/>
                <w:sz w:val="30"/>
                <w:lang w:val="en-US" w:eastAsia="en-US" w:bidi="ar-SA"/>
              </w:rPr>
              <w:t>J.D. TRUSCOTT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in action S103019 brings application for an order that the plaintiff's claims against it be stayed or struck out as being an abuse of process, or alternatively that this action and action S095777 be consolidated for all purposes, including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in this action opposes the defendant's application to have her claim stayed or struck out as an abuse of process, but offers as a complete answer to this allegation that she consents to the two actions being tried at the same time and on the same day, but not consolidated for all purposes.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action S095777 the plaintiff brings application for an order that the two actions be heard jointly and that the evidence in each action be evidence in both actions for the purpose of all trial and pre-trial procedures as if the actions were consolidated, and that evidence that is otherwise admissible and relevant obtained at an examination for discovery in one action (either concluded or future) be admissible in both actions as if the evidence had been obtained in the other action. Only alternatively does she agree that the two actions be consolidated for all purposes, including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this action the defendants oppose any order that the two actions only be tried together, again taking the position that action S103019 should be stayed or struck as an abuse of process, or alternatively that the two actions should be consolidated for all purposes, including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History of the Dispute between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take my summary of the dispute from the reasons for judgment of the Court of Appeal of January 29, 2010 in </w:t>
      </w:r>
      <w:r>
        <w:rPr>
          <w:rFonts w:ascii="arial" w:eastAsia="arial" w:hAnsi="arial" w:cs="arial"/>
          <w:i/>
          <w:color w:val="000000"/>
          <w:sz w:val="20"/>
          <w:lang w:val="en-US" w:eastAsia="en-US" w:bidi="ar-SA"/>
        </w:rPr>
        <w:t>Wang v. British Columbia Medical Association (Canadian Medical Association - B.C. Division) and others</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2010 BCCA 43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Wang is a medical doctor and a member of the British Columbia Medical Association (BCMA) and a past member of the board of directors and executive committee of the BCMA.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Wang holds the view that her role and responsibilities as a director and member of the BCMA did not constrain her from publicly expressing views that may have been in opposition to the majority of the board of directors of which she was a member. Other members of the executive committee of the board and possibly other members of the board itself appeared to hold a different 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January 2008 while a member of the board and of the executive committee Dr. Wang posted several emails to a BCMA member discussion group concerning decisions made by the executive committee, and invited input from the membership at large.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a BCMA board meeting of February 1 and 2, 2008 the question of Dr. Wang's conduct was raised and on February 2, 2008 the board resolved to refer the issue of Dr. Wang's conduct to a code of conduct committee, known as the "Special Committee".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2, 2008 the president of the BCMA board sent a letter to the membership advising that the board had initiated action to review the conduct of Dr. Wang's action relative to her duties as a board and executive committee member.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Both the board and Dr. Wang sent letters to the membership at large concerning the Special Committee's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April 1, 2008 the Special Committee identified three aspects of Dr. Wang's conduct it proposed to review, being the posting of her emails to the membership at large, her general understanding of her obligations to maintain confidentiality, and the events leading to the chair's decision to ask Dr. Wang to leave the February 1-2, 2008 Board meeting and her refusal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April 4, 2008 a meeting was held between members of the Special Committee and Dr. Wang.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April 5, 2008 Dr. Wang filed a petition in this Court seeking orders dissolving the Special Committee, restraining the committee from holding a hearing into her conduct, and various other orders which in their totality would restrain any further work of the Special Committee.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petition of Dr. Wang went before this Court on April 10 and 11, 2008. The petition judge concluded that Dr. Wang had erred by bringing the proceedings by petition alleging a breach of contract, and did not seek oppression remedies by the petition, but nevertheless exercised her discretion to have the matter proceed by way of an action. On this basis the petition judge granted the relief sought by Dr. Wang.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respondents on the petition appealed and on January 29, 2010 the Court of Appeal concluded that the claims of breach of contract were improperly brought by petition, and ordered that the appeal be allowed, the petition judge's orders be set aside and the petition be dismissed, but without prejudice to Dr. Wang's right to bring any proceeding she may consider to be appropriate, and without prejudice to the respondents' rights to resist such proceedings as they consider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History of the Pleadings between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Prior to the Court of Appeal decision on the petition Dr. Wang had commenced action S095777 on August 7,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action makes claim against a number of past and present members of the board of directors and of the Special Committee for remarks made by them individually and together in various emails, news releases, articles, bulletins, letters and orally, all alleged to be malicious public attacks on Dr. Wang characterized by defamatory expressions, injurious falsehoods and negligent misstatements (all referred to in the statement of claim as "unlawful expression").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All of the "unlawful expression" are alleged to have followed the February 1-2, 2008 board meeting and concern Dr. Wang's alleged conduct, the board's decision to have Dr. Wang's conduct reviewed as part of a code of conduct review, and her objection to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same allegations are made directly against the BCMA and as well a claim of vicarious liability for each of the "unlawful expression" complained of in the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this action it is alleged that as a consequence of the wrongful acts Dr. Wang has incurred loss, damage and expense and will continue to incur loss, damage and expense in the future, including, but not limited to loss of income, substantial persisting injury to reputation, injury to pride and self-confidence, severe emotional distress, social damage, injury to her relationship with others, injury to her professional relationships, shunning by professional colleagues and economic and financial loss, damage and expense.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Aggravated, exemplary and punitive damages are sought as well as an injunction restraining the defendants from any further publication of the words complained of or from any publications to like effect.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Court of Appeal decision on the petition came down on January 29, 2010, on April 30, 2010 Dr. Wang commenced action S103019.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action the only defendant is the BCMA. The action makes the claim of breach of contract against the BCMA which the Court of Appeal had given Dr. Wang the authority to bring.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Wang alleges in this action that a contractual relationship with the BCMA was created by her payment of dues as a member of the BCMA, and a number of express and implied terms of that contract are alleged.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alleged breaches of the contract with BCMA all centre around the conduct of the board at the February 1-2, 2008 meeting, the executive committee, and the set-up of the Special Committee.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letter of February 2, 2008 issued by the BCMA president to the members advising of the initiated action to review the conduct of Dr. Wang, part of the "unlawful expression" alleged in action S095777, is mentioned as well in the statement of claim in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stated in this action that on or about April 28, 2008 ballots were sent out to members for elections for executive positions and on or about May 21, 2008 Dr. Wang was defeated in the elections for the position of chair of the general assembly.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alleged breaches of contract include the failure to give Dr. Wang proper notice of the discussion of her conduct to take place at the February 1-2, 2008 board meeting, the establishment of a code of conduct committee to investigate her conduct absent any complaint having been made about her that she violated any code of conduct, improperly ruling that she had to leave the February 1-2, 2008 meeting, rejecting her request for an adjournment, condemning her for refusing to leave the meeting, and then breaching the confidentiality requirements of the code of conduct itself by issuing public statements disclosing the steps taken against Dr. Wang.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also alleged as a breach of contract that the president exerted undue influence and improperly interfered in the May 2008 elections by sending out a letter during the election period strongly criticizing Dr. Wang and her election materials.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this action it is claimed that Dr. Wang has suffered injuries and damages which include loss of opportunity to be elected to higher executive office within the BCMA, irreparable damage to her reputation within the medical community and within the community at large, the costs of defending herself in the code of conduct proceedings, loss of income and loss of future earnings.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also alleged that the actions of the BCMA as described constitute bad faith violations of her rights and were intentionally carried out with a wanton disregard for those rights all entitling her to an order for aggravated and punitive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Submissions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BCMA as defendant in action S103019 submits that this claim should have been brought as an amendment to the claim in action S095777 and not as a separate claim, and as such it is an abuse of process under Rule 19(24)(d)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(now Rule 9-5(1)(d)).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submitted that its existence creates duplicitous claims for the same relief arising out of the same facts and circumstances that could lead to a duplication of pre-trial proceedings in both actions that would be inefficient and might eventually lead to inconsistent judgments.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Wang submits that the filing of action S103019 is not an abuse of process because it was not filed for an improper purpose, being filed in response to the leave given to her by the Court of Appeal decision on the petition.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any event her counsel submits that as a contract claim it is distinct from the defamation claims made in action S095777, which claims are subject to different rules of pleading and discovery from the contract claim and which carry with them the absolute right to a jury under Rule 12-6, which the contract claim does not enjoy.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Both parties suggest alternative methods of avoiding the determination of the issue of abuse of process by combining the two actions together in some fashion.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Wang's counsel submits that the two actions should be ordered to be heard together at trial, but should remain as separate claims throughout the pre-trial proceedings with the additional orders attached to it as Dr. Wang has suggested in her notice of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addition to those additional orders proposed, Dr. Wang's counsel at the hearing suggests an order that there be only one list of documents filed for both 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to the submission that Dr. Wang has an absolute right to a jury for her defamation claims, her counsel concedes that she loses that absolute right with either an order joining the two actions for trial or a true consolidation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he submits a true consolidation order for all purposes would not be appropriate in the circumstances as it would put Dr. Wang to the task of having to file a consolidated statement of claim from what are already two lengthy and distinctly different statements of claim. In addition he submits that interlocutory applications and other pre-trial proceedings that might only be applicable to one of the claims will become more confusing if in a consolidated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for the BCMA submits that simply joining the two actions together for trial will not solve the problem of duplications at the pre-trial stage, including examinations for discovery, case management conferences and other pre-trial proceedings, leading to a duplication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Wang's counsel concedes that the two actions both arise from a common set of facts, namely the investigation of Dr. Wang and public statements made by the defendants relating to that investigation.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Further he concedes many of the defendants in action S095777 were board members of the BCMA and as such they were the "operating mind" of the organization and, in effect, were the ones to direct the investigation of Dr. Wang. Accordingly he says they can be expected to be called as witnesses on the breach of contract claim in action S103019 and cannot be said to have a merely marginal interest in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also concedes both actions are at a preliminary stage and there is little risk of either action being delayed if the two actions are joined together in some fashion.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However he submits that while the two actions are sufficiently similar to merit joint conduct of examination for discovery and trial, they are not so similar as to merit true consolidation throughout.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He firstly submits that consolidation should not be ordered when determination of the issues in one action will not necessarily determine the issues in the other. For this proposition he relies upon the decision in </w:t>
      </w:r>
      <w:r>
        <w:rPr>
          <w:rFonts w:ascii="arial" w:eastAsia="arial" w:hAnsi="arial" w:cs="arial"/>
          <w:i/>
          <w:color w:val="000000"/>
          <w:sz w:val="20"/>
          <w:lang w:val="en-US" w:eastAsia="en-US" w:bidi="ar-SA"/>
        </w:rPr>
        <w:t>Peel Financial Holdings Ltd. v. Western Delta Lands Partnership</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[2003] B.C.J. No. 1166</w:t>
        </w:r>
      </w:hyperlink>
      <w:r>
        <w:rPr>
          <w:rFonts w:ascii="arial" w:eastAsia="arial" w:hAnsi="arial" w:cs="arial"/>
          <w:color w:val="000000"/>
          <w:sz w:val="20"/>
          <w:lang w:val="en-US" w:eastAsia="en-US" w:bidi="ar-SA"/>
        </w:rPr>
        <w:t>. In that case the pleadings were considered to be numerous and complex, with far more issues raised in one action than the other and some of the defendants having more limited roles in one than the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Madam Justice Allan said in that case that consolidation might be appropriate where the parties are the same and the issues are common so that the disposition of one of the actions would necessarily dispose of the issues in the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This statement was taken from the decision in </w:t>
      </w:r>
      <w:r>
        <w:rPr>
          <w:rFonts w:ascii="arial" w:eastAsia="arial" w:hAnsi="arial" w:cs="arial"/>
          <w:i/>
          <w:color w:val="000000"/>
          <w:sz w:val="20"/>
          <w:lang w:val="en-US" w:eastAsia="en-US" w:bidi="ar-SA"/>
        </w:rPr>
        <w:t>Discovery Enterprises Inc. v. Ebco Industries Ltd.</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[2001] B.C.J. No. 245</w:t>
        </w:r>
      </w:hyperlink>
      <w:r>
        <w:rPr>
          <w:rFonts w:ascii="arial" w:eastAsia="arial" w:hAnsi="arial" w:cs="arial"/>
          <w:color w:val="000000"/>
          <w:sz w:val="20"/>
          <w:lang w:val="en-US" w:eastAsia="en-US" w:bidi="ar-SA"/>
        </w:rPr>
        <w:t>, where Mr. Justice Pitfield made this comment as his thinking on the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that case the plaintiff in one action was a defendant in the other, the claims were distinct and relief in one action was not determinative of the relief in the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Counsel for Dr. Wang submits that the only common defendant in both actions here is the BCMA, and the board members in action S095777 do not have any personal exposure to liability in action S103019, although they can be expected to be key witnesses in that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for the BCMA and the individual defendants in action S095777 points out that Dr. Wang is the only plaintiff in both actions, the BCMA is a defendant common to both actions, much of the relief overlaps, and Dr. Wang is the only one who can benefit from both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 and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true that the determination of the issues in either action will not necessarily determine the issues in the other. Action S103019 is a contract claim while action S095777 is a defamation/</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/injurious affection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also true that the individual board members sued in action S095777 do not face any personal exposure to liability in action S103019.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However, it is my conclusion that with Dr. Wang being the only plaintiff in both actions, the BCMA being a common defendant in both actions and the board members sued in action S095777 being the operating mind of the BCMA and having directed the BCMA in its dealings with Dr. Wang, and with the central issue in both claims being the treatment of Dr. Wang by all defendants as part of the same series of events, the two actions should be consolidated for all purposes including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Dr. Wang having already agreed that the evidence in each action should be considered evidence in both actions for the purpose of all trial and all pre-trial procedures as if they were consolidated, the evidence obtained in examinations for discovery in one action should be admissible in the other action as well, and with her agreement to one common list of documents for both actions, I can see no significant impediment to consolidating the two actions together for all purposes including trial, which will certainly eliminate any pre-trial issues that could possibly arise if the two actions were allowed to run in parallel.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only downside I can see to a true consolidation is the initial immediate expense to Dr. Wang of having to file a consolidated statement of claim, and the defendants having to file a consolidated statement of defence. I do not consider this to be too onerous a responsibility to both when I expect that both parties are able to adjust their pleadings using the computer.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Wang will have 30 days from the date of these reasons to file a consolidated statement of claim and the defendants another 14 days thereafter to file a consolidated statement of defence, with both parties having liberty to apply if this should create any insurmountable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consolidated statement of claim and statement of defence should be filed in S095777 which already includes all the relevant parties. Any pre-trial proceedings that have already taken place will be considered to have taken place in the consolidated action.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J.D. TRUSCOTT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Wang v. Dhaliwal, [2014] B.C.J. No. 2233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District Registrar S. Nielsen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M124867, M133384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2233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1662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2590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244 A.C.W.S. (3d) 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69 C.P.C. (7th) 127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Hao Feng Wang, Plaintiff, and Gurinder Dhaliwal and Parmjit Kaur Dhaliwal, Defendants And between Hao Feng Wang, Plaintiff, and Rajvir Kaur Gill,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1" w:name="Keywords_15"/>
      <w:bookmarkEnd w:id="101"/>
      <w:r>
        <w:rPr>
          <w:rFonts w:ascii="arial" w:eastAsia="arial" w:hAnsi="arial" w:cs="arial"/>
          <w:b/>
          <w:color w:val="000000"/>
          <w:sz w:val="20"/>
          <w:lang w:val="en-US" w:eastAsia="en-US" w:bidi="ar-SA"/>
        </w:rPr>
        <w:t>Civil litigation — Civil procedure — Costs — Assessment or fixing of costs — Assessment of costs following settlement, seven weeks prior to trial, of two motor vehicle accidents claims for global amount of $59,309 plus costs — $6,500 in fees awarded in each action — Plaintiff examined in each action and both defendants examined — Medical reports served in both actions — By consent order in 2014, actions ordered to be heard together — Only commonality in actions was fact they involved injuries to same plaintiff — Appropriate to bring two separate actions involving different defendants and circumstances — Equally appropriate to join cases for trial.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Costs — Assessment of costs following settlement, seven weeks prior to trial, of two motor vehicle accidents claims for global amount of $59,309 plus costs — $6,500 in fees awarded in each action — Plaintiff examined in each action and both defendants examined — Medical reports served in both actions — By consent order in 2014, actions ordered to be heard together — Only commonality in actions was fact they involved injuries to same plaintiff — Appropriate to bring two separate actions involving different defendants and circumstances — Equally appropriate to join cases for trial.</w:t>
      </w:r>
    </w:p>
    <w:p>
      <w:pPr>
        <w:jc w:val="both"/>
        <w:rPr>
          <w:rFonts w:ascii="arial" w:eastAsia="arial" w:hAnsi="arial" w:cs="arial"/>
          <w:sz w:val="20"/>
          <w:lang w:val="en-US" w:eastAsia="en-US" w:bidi="ar-SA"/>
        </w:rPr>
      </w:pPr>
      <w:bookmarkStart w:id="102" w:name="Legislation Cited_12"/>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1-3, Rule 15-1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3" w:name="Counsel_15"/>
      <w:bookmarkEnd w:id="1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Grey.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 Cependa.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5"/>
      <w:bookmarkEnd w:id="104"/>
      <w:r>
        <w:pict>
          <v:line id="_x0000_s1105"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Decision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DISTRICT REGISTRAR S. NIELSEN"/>
            <w:bookmarkEnd w:id="105"/>
            <w:r>
              <w:rPr>
                <w:rFonts w:ascii="arial" w:eastAsia="arial" w:hAnsi="arial" w:cs="arial"/>
                <w:b/>
                <w:color w:val="000000"/>
                <w:sz w:val="30"/>
                <w:lang w:val="en-US" w:eastAsia="en-US" w:bidi="ar-SA"/>
              </w:rPr>
              <w:t>DISTRICT REGISTRAR S. NIELSEN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assessment of costs related to two separate motor vehicle accidents which occurred on December 15, 2010, and June 14, 2011. It was agreed that both actions would be heard at the same time and a consent order to that effect was filed. Both actions were eventually settled for a global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which arises on this assessment of costs is whether the plaintiff is restricted to a single award pursuant to Civil Rule 15-1, as the actions were ordered to be heard at the same time, and a consent order to that effect was filed in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Notice of Civil Claim was filed on August 10, 2012, with respect to the injuries the plaintiff sustained in the motor vehicle accident of December 15, 2010. The defendants, Gurinder Dhaliwal and Parmjit Dhaliwal, filed a Response to Civil Claim on September 19, 2012, denying liability and endorsed the document "Subject to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Notice of Civil Claim was filed on May 27, 2013, with respect to the injuries sustained by the plaintiff in the motor vehicle accident of June 14, 2011. The defendant, Rajvir Kaur Gill, filed a Response to Civil Claim on August 12, 2013, admitting liability but alleging the plaintiff was contributorily negligent. Again, the Response to Civil Claim was endorsed with the reference "Subject to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Initially, separate lists of documents were filed with respect to each of the two actions. Eventually, as the actions progressed, supplemental lists of documents referenced both causes of action in a single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examined for discovery twice, once in each action, and both defendants were examined for discovery. The plaintiff obtained three medical expert reports, each of which referenced the plaintiff's injuries in both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consented to an order that was filed on January 3, 2014, requiring the two actions to be heard together at the trial which was set for August 5, 2014. The expectation was that the trial would take four to eight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trial management conference was scheduled for June 17, 2014. Defence counsel prepared and served their trial brief. Plaintiff's counsel was in the process of finalizing his trial brief when the actions were settled on June 11,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actions settled for a global amount of $59,309.08 plus taxable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takes the position that he was injured in two separate motor vehicle accidents, for which he launched two separate legal actions seeking damages 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emphasizes that the two actions were not joined until early 2014 and that both were ready to proceed to trial when settlement was reached on June 11, 2014, six days before the scheduled trial management conference and roughly seven weeks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cites the cases of </w:t>
      </w:r>
      <w:r>
        <w:rPr>
          <w:rFonts w:ascii="arial" w:eastAsia="arial" w:hAnsi="arial" w:cs="arial"/>
          <w:i/>
          <w:color w:val="000000"/>
          <w:sz w:val="20"/>
          <w:lang w:val="en-US" w:eastAsia="en-US" w:bidi="ar-SA"/>
        </w:rPr>
        <w:t>Gill v. Widjaja</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2011 BCSC 1822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Christen v. McKenzie</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2013 BCSC 1317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Woodford v. Owen</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2013 BCSC 2442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Lasa v. Lau</w:t>
      </w:r>
      <w:r>
        <w:rPr>
          <w:rFonts w:ascii="arial" w:eastAsia="arial" w:hAnsi="arial" w:cs="arial"/>
          <w:color w:val="000000"/>
          <w:sz w:val="20"/>
          <w:lang w:val="en-US" w:eastAsia="en-US" w:bidi="ar-SA"/>
        </w:rPr>
        <w:t>, Vancouver Registry Action No. M131475, all for the proposition that when an action settles close to trial, following substantial completion of all the necessary preparation, the full $6,500 cap ought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submits that if this matter were a single action there would be no reasonable basis to deny the plaintiff costs in the sum of $6,500 as the cases were, with the exception of the trial management conference, ready to proceed to trial. Plaintiff's counsel further relies on the case of </w:t>
      </w:r>
      <w:r>
        <w:rPr>
          <w:rFonts w:ascii="arial" w:eastAsia="arial" w:hAnsi="arial" w:cs="arial"/>
          <w:i/>
          <w:color w:val="000000"/>
          <w:sz w:val="20"/>
          <w:lang w:val="en-US" w:eastAsia="en-US" w:bidi="ar-SA"/>
        </w:rPr>
        <w:t>Harvey v. Tooshley</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2014 BCSC 433</w:t>
        </w:r>
      </w:hyperlink>
      <w:r>
        <w:rPr>
          <w:rFonts w:ascii="arial" w:eastAsia="arial" w:hAnsi="arial" w:cs="arial"/>
          <w:color w:val="000000"/>
          <w:sz w:val="20"/>
          <w:lang w:val="en-US" w:eastAsia="en-US" w:bidi="ar-SA"/>
        </w:rPr>
        <w:t>, for the proposition that in circumstances where two personal injury actions have been ordered to be heard at the same time, and settled for a global figure shortly before trial, the $6,500 cap can be awarded for each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There are similarities between the two cases. In </w:t>
      </w:r>
      <w:r>
        <w:rPr>
          <w:rFonts w:ascii="arial" w:eastAsia="arial" w:hAnsi="arial" w:cs="arial"/>
          <w:i/>
          <w:color w:val="000000"/>
          <w:sz w:val="20"/>
          <w:lang w:val="en-US" w:eastAsia="en-US" w:bidi="ar-SA"/>
        </w:rPr>
        <w:t>Harvey, supra</w:t>
      </w:r>
      <w:r>
        <w:rPr>
          <w:rFonts w:ascii="arial" w:eastAsia="arial" w:hAnsi="arial" w:cs="arial"/>
          <w:color w:val="000000"/>
          <w:sz w:val="20"/>
          <w:lang w:val="en-US" w:eastAsia="en-US" w:bidi="ar-SA"/>
        </w:rPr>
        <w:t xml:space="preserve">, both trials were ordered (by consent) to be heard at the same time; the medical-legal reports referenced both motor vehicle accidents; the parties were to attend a single trial management conference; and, costs were assessed in a single hearing. In </w:t>
      </w:r>
      <w:r>
        <w:rPr>
          <w:rFonts w:ascii="arial" w:eastAsia="arial" w:hAnsi="arial" w:cs="arial"/>
          <w:i/>
          <w:color w:val="000000"/>
          <w:sz w:val="20"/>
          <w:lang w:val="en-US" w:eastAsia="en-US" w:bidi="ar-SA"/>
        </w:rPr>
        <w:t>Harvey, supra</w:t>
      </w:r>
      <w:r>
        <w:rPr>
          <w:rFonts w:ascii="arial" w:eastAsia="arial" w:hAnsi="arial" w:cs="arial"/>
          <w:color w:val="000000"/>
          <w:sz w:val="20"/>
          <w:lang w:val="en-US" w:eastAsia="en-US" w:bidi="ar-SA"/>
        </w:rPr>
        <w:t>, the plaintiff attended a single examination for discovery and served a single list of documents and one Notice to Admit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present case, the plaintiff attended two examinations for discovery, one in each action, and initially produced separate lists of documents, although joint amended lists of documents were prepared by both parties later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emphasize that although two separate proceedings were commenced, they ought to have been initially commenced as a single action in one Notice of Civil Claim. They emphasize Civil Rule 1-3 which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Object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Supreme Court Civil Rules is to secure the just, speedy and inexpensive determination of every proceeding on its merits.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Proportionality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Securing the just, speedy and inexpensive determination of a proceeding on its merits includes, so far as is practicable, conducting the proceeding in ways that are proportionate to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issues in dispute,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argue that they should not have to bear the extra costs created by bringing a multiplicity of pleadings. They emphasize that the medical-legal reports in respect of both claims were served in both actions, and combined lists of documents were eventually prepared. A consent order was entered to have both actions heard together and, ultimately, a global settlement was negotiated. They also refer to the fact that the assessment of costs is itself a simple procedure with respect to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Peacock v. Battel</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2013 BCSC 1902</w:t>
        </w:r>
      </w:hyperlink>
      <w:r>
        <w:rPr>
          <w:rFonts w:ascii="arial" w:eastAsia="arial" w:hAnsi="arial" w:cs="arial"/>
          <w:color w:val="000000"/>
          <w:sz w:val="20"/>
          <w:lang w:val="en-US" w:eastAsia="en-US" w:bidi="ar-SA"/>
        </w:rPr>
        <w:t>, which dealt with the assessment of costs after two personal injury actions were tried together. The defendants submit that after determining that Civil Rule 15-1 applied to both actions, Mr. Justice Affleck awarded one set of Civil Rule 15-1 fixed costs globally for both proceedings. The defendants submit confusion arises from the fact that an offer to settle had been made and therefore costs were increased on that basis, not because two sets of costs were awarded, one set in each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alternative, the defendants submit that the plaintiff's costs in the first action should be assessed at zero because the injuries suffered by the plaintiff, as particularized in the medical-legal reports, would have put the case within the jurisdiction of the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further alternative, the defendants submit that the lump sum cost of $6,500 ought to be reduced for the efficiencies achieved by having the cases joined together for the purposes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Although the two actions were ordered to be tried together, by consent, they involved different defendants and the issues were not identical: liability had been denied in the December 15, 2010 action and an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raised by the defendant in the June 14, 2011 action. Further, the defendants required two examinations for discovery of the plaintiff in the two separate actions and the plaintiff had to conduct an examination for discovery of each defendant in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only commonality in the two actions was the fact that they involved injuries to the same plaintiff. In the circumstances, it was appropriate to bring two separate legal actions involving the different defendants and circumstances. It was equally appropriate to eventually join the cases for the purposes of trial once it became apparent this approach was workable and efficiencies would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the settlement was global, there is no definitive way in which to find that the first action, with respect to the December 15, 2010 accident, ought to have been brought in the Small Claims Court. Further, there was no application brought to have the case transferred to the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Harvey, supra</w:t>
      </w:r>
      <w:r>
        <w:rPr>
          <w:rFonts w:ascii="arial" w:eastAsia="arial" w:hAnsi="arial" w:cs="arial"/>
          <w:color w:val="000000"/>
          <w:sz w:val="20"/>
          <w:lang w:val="en-US" w:eastAsia="en-US" w:bidi="ar-SA"/>
        </w:rPr>
        <w:t>, Master Bouck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defendants submit that there ought to be a reduction in the fees claimed in each action to reflect the savings and efficiencies achieved by having these matters joined for the purposes of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It is now well established that the registrar has some discretion to reduce the lump sum fee portion of costs allowed under Rule 15-1 if the action is settled before trial. That discretion is said to be a "rough and ready" exercise and allows the registrar to consider the steps been taken to the date of settlement. Nevertheless, the registrar is not expected to parse out those steps as if the tariff to Appendix B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approach by assessing officers has been to make some reduction for the costs that might be attributed to attendance at trial and allow the balance as so-called preparation costs. Assessing officers have allowed $6,500 for these preparation costs, whether the matter settled three months before or on the eve of trial. The court has endorsed this approach: </w:t>
      </w:r>
      <w:r>
        <w:rPr>
          <w:rFonts w:ascii="arial" w:eastAsia="arial" w:hAnsi="arial" w:cs="arial"/>
          <w:i/>
          <w:color w:val="000000"/>
          <w:sz w:val="20"/>
          <w:lang w:val="en-US" w:eastAsia="en-US" w:bidi="ar-SA"/>
        </w:rPr>
        <w:t>Christen v. McKenzie</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2013 BCSC 1317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Moreover, this approach is consistent with the purpose of Rule 15-1 which is to provide a simplified and streamlined litigation process, including the costs assessment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Musgrove v. Elliot</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2014 BCSC 40</w:t>
        </w:r>
      </w:hyperlink>
      <w:r>
        <w:rPr>
          <w:rFonts w:ascii="arial" w:eastAsia="arial" w:hAnsi="arial" w:cs="arial"/>
          <w:color w:val="000000"/>
          <w:sz w:val="20"/>
          <w:lang w:val="en-US" w:eastAsia="en-US" w:bidi="ar-SA"/>
        </w:rPr>
        <w:t>, Mr. Justice Johnson considered the issue of whether two awards under Supreme Court Civil Rule 15-1 were appropriate in circumstances where two separate actions arising out of two separate motor vehicle accidents were tried at the same time. Mr. Justice Johnson stated at paragraphs 24 through 26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defendants seek to invoke the discretion of the court to reduce the lump sum costs, otherwise recoverable, on the second action - $11,000 - because of "efficiencies" achieved as a result of hearing the two matters at the same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While there were likely some such efficiencies, there were also complications from running two actions at the same time, as the plaintiff was required to deal with the circumstances of the second accident and the impact of any injuries suffered in the second accident on injuries suffered in the first accident. The time spent on examining the plaintiff for discovery was double what would have been allowed if there had been only one action and many of the pleadings were necessarily separate as between the two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Two actions were necessary to deal with two accidents. The defendants in each of the actions have availed themselves of the costs certainty provided by Rule 15-1 by serving notice in Form 61 in each action. I see no reason, in the circumstances of these cases, to reduce the costs otherwise available to the successful plaintiff in each of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Most recently, in </w:t>
      </w:r>
      <w:r>
        <w:rPr>
          <w:rFonts w:ascii="arial" w:eastAsia="arial" w:hAnsi="arial" w:cs="arial"/>
          <w:i/>
          <w:color w:val="000000"/>
          <w:sz w:val="20"/>
          <w:lang w:val="en-US" w:eastAsia="en-US" w:bidi="ar-SA"/>
        </w:rPr>
        <w:t>Saintonge v. Puni</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2014 BCSC 1637</w:t>
        </w:r>
      </w:hyperlink>
      <w:r>
        <w:rPr>
          <w:rFonts w:ascii="arial" w:eastAsia="arial" w:hAnsi="arial" w:cs="arial"/>
          <w:color w:val="000000"/>
          <w:sz w:val="20"/>
          <w:lang w:val="en-US" w:eastAsia="en-US" w:bidi="ar-SA"/>
        </w:rPr>
        <w:t>, Master McDiarmid considered whether two awards of costs under Supreme Court Civil Rule 15-1 ought to be awarded in circumstances where two separate actions, when settled globally for less than $100,000 prior to trial, justified two awards of costs. He concluded that two awards of $6,500 in fees were appropriate but acknowledged that an apportionment could be made where appropriate. Master McDiarmid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After reviewing all of the authorities, I conclude as follows: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one set of costs for each proceeding;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assessment of costs, a registrar or a master utilizing jurisdiction under Rule 14-1(15) can apportion costs, for example, by allowing the full amount of $7,000 for one proceeding and some lesser amount for the second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After considering the facts deposed to, I conclude that no apportionment is appropriate in these cases. I order that the plaintiff is entitled to $6,500 costs in each of the two actions, for a total of $13,000.00 costs, plus applicable taxes and disbursements.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In addition, the plaintiff is entitled to costs of this application which I summarily assess pursuant to Rule 14-1(15) at $500 inclusive of taxes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will be circumstances where two sets of Civil Rule 15-1 costs will not be appropriate. In the presence case, the defendants have had the benefit of the streamlined process of Civil Rule 15-1 and the benefit of the two actions having been combined for the purpose of being heard together. The defendants have also had the further benefit of two separate legal actions having been commenced, which allowed the plaintiff to be examined for discovery twice, once in each action. In both actions, trial preparation was substantially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circumstances, the sum of $6,500 in fees is awarded for each action, with applicable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DISTRICT REGISTRAR S. NIELSEN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Wellesley Lake Trophy Lodge Inc. v. BLD Silviculture Ltd., [2005] B.C.J. No. 565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Blair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19 to 22, 25 to 29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34531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565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379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654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Wellesley Lake Trophy Lodge Inc., plaintiff, and BLD Silviculture Ltd., Brian Dack, Sharon Lyons, defendants, and J. Howard Miller,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6" w:name="Keywords_16"/>
      <w:bookmarkEnd w:id="106"/>
      <w:r>
        <w:rPr>
          <w:rFonts w:ascii="arial" w:eastAsia="arial" w:hAnsi="arial" w:cs="arial"/>
          <w:b/>
          <w:color w:val="000000"/>
          <w:sz w:val="20"/>
          <w:lang w:val="en-US" w:eastAsia="en-US" w:bidi="ar-SA"/>
        </w:rPr>
        <w:t>Real property law — Sale of land — Misrepresentation — Fraudulent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7" w:name="Case Summary_13"/>
            <w:bookmarkEnd w:id="1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Wellesley Lake Trophy Lodge Inc. and Miller, against the defendants, BLD Silviculture Ltd. and Dack, for the balance remaining owing by BLD for the purchase of a fishing lodge. BLD acknowledged that they owed $291,099 to Wellesley, but sought to offset this obligation by counterclaiming for damages for fraudulent representations relating to Indian land claims, the lodge's rights on the lake and government and other restrictions related to commercial development on the lake. The fishing lodge had accommodation for 22 guests and was accessible only by float plane. BLD agreed to purchase the lodge from Wellesley for $800,000, unaware that it had previously been listed for sale at $595,000. At the time of the offer BLD and Dack had not seen the lodge nor reviewed the financial statements for the business. The transaction took three years to complete, during which time Dack worked with Miller in managing the fishing lodge. After assuming full responsibility for the operation of the lodge, Dack discovered Indian land claims on the land surrounding the lodge contrary to alleged representation otherwise. Miller denied making the representations that were alleged.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8" w:name="Holdings of Court_10"/>
            <w:bookmarkEnd w:id="10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counterclaim was dismissed. Credibility was the determining factor. In pleading fraud, BLD was required to strictly prove its allegations. Dack portrayed himself as naïve in business, but it was accepted that based on his past that he was relatively well aware of the machinations of the commercial and legal world. From the evidence presented including that of Dack's former acquaintance who opted out of the purchase and Dack's detailed diary, it was accepted that it was Dack who proposed the price, and there was no mention of the alleged fraudulent representations. Dack seemed to lack clarity in his memory in relation to the legal documents that had been prepared with respect to the purchase of the lodge, but had no trouble remembering the representations alleged to have been made at the same time. Before the signing of the final agreement, Dack was very involved in the operation of the lodge. The evidence of Miller's wife was accepted that she did not hear the representations, and would have noted them as she was quite involved in the financial side of the business. Dack testified that he wished the representations to be writing in the final agreement, but still signed it when they were not included. There was nothing on any paper during the entire lengthy transaction that referred in any part to the alleged fraudulent representations.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9" w:name="Counsel_16"/>
      <w:bookmarkEnd w:id="1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Wellesley Lake Trophy Lodge Inc. and J. Howard Miller: R.W. McDiarmid,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Burke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6"/>
      <w:bookmarkEnd w:id="110"/>
      <w:r>
        <w:pict>
          <v:line id="_x0000_s1109" style="position:absolute;z-index:2517780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BLAIR J."/>
            <w:bookmarkEnd w:id="111"/>
            <w:r>
              <w:rPr>
                <w:rFonts w:ascii="arial" w:eastAsia="arial" w:hAnsi="arial" w:cs="arial"/>
                <w:b/>
                <w:color w:val="000000"/>
                <w:sz w:val="30"/>
                <w:lang w:val="en-US" w:eastAsia="en-US" w:bidi="ar-SA"/>
              </w:rPr>
              <w:t>BLAIR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Wellesley Lake Trophy Lodge Inc. ("WLT"), initiated this action to recover $291,099.14 from the defendants, BLD Silviculture Ltd. ("BLD"), Brian Dack and Sharon Lyons, being the balance remaining owing by the defendants to WLT for the purchase of the Kluane Wilderness Lodge ("Kluane"), a fishing lodge located at Wellesley Lake in the Yukon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acknowledge that they owe $291,099.14 to WLT, but seek to offset this obligation by counterclaiming for damages from WLT's principal, J. Howard Miller, for fraudulent representations. The defendants allege that Mr. Miller made fraudulent representations relating to Indian land claims, WLT's rights on Wellesley Lake, government policy relating to commercial operations on Yukon lakes, and restrictions on commercial development in the Wellesley Lake area. The defendants say they relied upon these alleged fraudulent representations when they purchased Kluane by agreement dated October 1, 1999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have elected to affirm the contract for the purchase of Kluane and claim as damages for the alleged fraudulent representations the difference between the $666,272 they agreed to pay for Kluane in 1999 and the $360,000 which they submit was the actual market value of Kluane in 1999, a claim in excess of $300,000. The defendants seek to set off WLT's claim for $291,099.14 against their damages for the alleged fraudulent representations. Mr. Miller denies making the representations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view the pivotal issue in this dispute as the determination of whether the defendants have established, on the balance of probabilities applicable where fraud is alleged, that Mr. Miller made the alleged fraudulent representations. I have concluded that the defendants have failed to prove this critical element and their counterclaim must fail. My reasons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Kluane is a fishing lodge located on Wellesley Lake approximately 190 kilometres west of Whitehorse in the Yukon Territory and is accessible only by float plane. Wellesley Lake contains trophy-sized trout which attract fishermen for week-long visits to Kluane, the only lodge on the lake. Kluane, with accommodation for 22 guests, opens for a brief fishing season of about 14 weeks between June and August and is closed for the remainder of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1991, Mr. Miller acquired an 80 percent interest in Midwest Investments Inc. ("Midwest") which then owned and operated Kluane. Mr. Miller subsequently renamed Midwest as Wellesley Lake Trophy Lodge Inc., and placed his WLT shares in the name of Hidden Valley Trailer Court Ltd. ("Hidden Valley"), a company he controlled. Mr. Miller obtained his interest in WLT (then Midwest) from Warren LaFave with whom he became involved in 1987 in constructing Inconnu Lodge, a fly-in fishing lodge located on McEvoy Lake in the eastern Yukon.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Differences arose between Messrs. Miller and LaFave, and in 1991 they severed their business relationship, with Mr. Miller assigning his interest in Inconnu Lodge to Mr. LaFave in return for Mr. LaFave's 80 percent interest in WLT and its Kluane operation. Richard Henderson held the remaining 20 percent interest in WLT having purchased it earlier from Mr. LaFave. Disputes continued between Mr. Miller, Mr. LaFave and his father, Jack LaFave, until 1993 when the parties settled the litigation arising from their differences.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Miller and Mr. Henderson together operated Kluane between 1991 and 1993, but by 1994 Mr. Miller wanted to retire and Mr. Henderson's interest in Kluane was waning. The two principals listed Kluane for sale at a price of $795,000, with the listing lapsing as of June 30, 1996. They re-listed Kluane for sale in July 1996 after reducing the asking price by $200,000 to $595,000. Mr. Miller attributed the price reduction to his increased desire to retire and a lack of prospective purchasers willing to pay $795,000 for Kluane.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Dack, BLD's principal, worked with Craig Miller, Howard Miller's son, in the summer of 1996 and from him heard of Kluane and that it might be for sale. Mr. Dack and Craig Miller met with Mr. Miller on or about September 1, 1996, and during those discussions Mr. Dack and Craig Miller offered Mr. Miller $800,000 to purchase Kluane. Mr. Dack testified that at this initial meeting, Mr. Miller made the representations which the defendants allege are false. At that time, Mr. Dack had never seen Kluane and neither he nor Craig Miller had reviewed the financial statements for the business. Mr. Miller did not advise his son and Mr. Dack that Kluane had recently been listed for sale at $595,000.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Nor did Mr. Miller advise Mr. Henderson, his fellow shareholder in WLT, of the offer made by Mr. Dack and Craig Miller. Prior to September 1996, Mr. Miller asked Mr. Henderson if he wanted to buy his 80 percent interest in WLT to which Mr. Henderson countered in September 1996 by offering to sell Mr. Miller his 20 percent interest in WLT for $25,400. Negotiations followed, and by agreement dated December 31, 1996, Mr. Miller agreed to pay Mr. Henderson $20,001 for his interest in WLT. By the time Mr. Henderson transferred his 20 percent interest in WLT to Mr. Miller, Mr. Dack had already advanced $50,000 towards the purchase of Kluane.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Dack considered that following the meeting with Mr. Miller on September 1, 1996, he and Craig Miller had reached an agreement to purchase Kluane from Mr. Miller at a price of $800,000. On September 13, 1996, Mr. Dack attended the Bank of Montreal to obtain financing. That autumn, Mr. Dack started to participate in the operation of the Kluane lodge, attending outdoor sport shows across North America with Craig Miller and Mr. Miller, to sell Kluane fly-fishing packages to prospective customers. In the three years after September 1996, Mr. Dack worked with Mr. Miller at Kluane during the fishing season and attended outdoor shows to promote Kluane in the off-season.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Dack, between November 4, 1996 and January 22, 1997, made four payments totalling $100,000 to Mr. Miller who acknowledged the monies were part payment towards Mr. Dack's purchase of Kluane. Craig Miller paid nothing towards the purchase. Although Mr. Dack advanced funds early in the transaction and commenced working with Mr. Miller in 1996, the transaction took three years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Between September 1996 and the signing of the Agreement dated October 1, 1999, Mr. Miller and Mr. Dack drafted four documents roughly outlining the terms of the purchase of Kluane as they perceived it at the times they prepared the documents. Some of the documents were signed, while others were not. I will refer further to these documents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Craig Miller, by the spring of 1999, had withdrawn from the Kluane purchase and Mr. Miller and Mr. Dack envisaged jointly operating Kluane.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Sharon Lyons, Mr. Dack's aunt, testified that following Craig Miller's withdrawal, Mr. Miller suggested to her when she visited Kluane in July 1999 with her husband, Tag Lyons, that she and Mr. Dack jointly purchase his interest in Kluane allowing him to retire. Mrs. Lyons followed this suggestion by obtaining an interest in BLD and she and Mr. Dack then jointly through BLD purchased Kluane.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Lyons and her husband, Mr. Lyons, testified that during the July 1999 discussion, Mr. Miller made the alleged fraudulent representations referred to in paragraph 9 of the counterclaim which are identical to the representations allegedly made in 1996 by Mr. Miller to Mr. Dack. Mr. and Mrs. Lyons testified that Mr. Miller also uttered the same representations during meetings they had with him in September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Miller retained Kamloops lawyer Kenneth Patrick to act for him in finalizing the sale of Kluane. Mr. Patrick, on October 15, 1998, met with both Mr. Miller and Mr. Dack regarding the Kluane purchase and advised Mr. Dack to obtain his own legal counsel as he would not act for both vendor and purchaser. Mr. Dack and Mrs. Lyons subsequently retained the Kamloops lawyer who acted as BLD's corporate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Agreement, drafted with input from the parties and counsel and dated October 1, 1999, provided that WLT as vendor was selling Kluane to BLD as purchaser, at a price of $666,272, net of miscellaneous adjustments, with Mr. Miller covenanting WLT's representations and warranties, and Mr. Dack and Mrs. Lyons guaranteeing BLD's financial obligations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Dack, after signing the Agreement, assumed full responsibility for Kluane's operation. He testified that in 2002 he became aware of Indian land claims to the property surrounding Wellesley Lake, claims which he says were contrary to Mr. Miller's earlier representations. Mr. Dack then explored the other representations he attributed to Mr. Miller and which, he testified, he found not to be true. BLD then refused to make further payments to WLT which led WLT to commence this action against BLD, Mr. Dack and Mrs. Lyons as guarantors. The defendants responded with their counterclaim against Mr. Miller as defendant by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ALLEGED FRAUDULENT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parties concur that the elements comprising the tort of deceit or fraudulent representation are:</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false representation of fact;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made with knowledge of its falsity, or at least made in the absence of any genuine belief that it is true, or recklessly;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made with the intention that it should be acted on by the plaintiff, or by a class of persons which includes the plaintiff, in the manner which resulted in damage to him;</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proved that the plaintiff has acted upon the false statement;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has sustained damage by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See: Heuston &amp; Buckley, Salmond and Heuston on the Law of Torts, 19th Ed. (London: Sweet &amp; Maxwell, 1987) at p. 434.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allegations against Mr. Miller are found at paragraphs 6 and 9 of the defendants' counterclaim. At paragraph 6 the defendants state: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1996 Miller on behalf of WLTL represented to Brian Dack, an officer and director of BLD, that: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claims to the lands surrounding Wellesley Lake by the natives and that in the Yukon all land claim issues had been resolved. He identified a specific grave site near the Lodge as being the only site of interest to the natives;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WLTL had exclusive rights for a commercial operation on Wellesley Lake;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Yukon government had a policy of allowing only 1 commercial operation on a lake in the Yukon Territory;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Wellesley Lake watershed was within a special management area which meant that there could be no development in the watershed.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paragraph 9 the defendants state: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of 1999 Miller advised Dack and Lyons, the 2 directors and officers and others that he wanted to sell the Lodge. Miller then made the following representations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alleged representations found in paragraph 6 a. to d. were repeated in paragraph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contend that Mr. Miller knew the representations were false, or at least made in the absence of any genuine belief that they were true, or recklessly, that Mr. Miller made the representations intending that the defendants would act on his representations by proceeding with the purchase, and that in doing so they sustained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conclude that the facts found in the alleged representations are false, however, Mr. Miller denies making the representations as alleged by the defendants. He denied specifically making the statements regarding Indian land claims at Wellesley Lake and the Yukon, that WLT had exclusive rights to Wellesley Lake, and that the Wellesley Lake watershed was within a special management area. While denying that he told the defendants at the time and in the context that they allege about the Yukon Government policy of one lodge for each lake, it was his understanding that the Yukon Territorial Government did in fact have a policy that allowed just one lodge on each fly-in fishing lake in the Territories.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Credibility is the determining factor in this dispute as reflected in the closing submissions in which counsel canvassed the evidence in detail, dissecting the testimony and describing its frailties and why the testimony of certain witness should be accepted, and why that of other witnesses should be rejected or, at the very least, be accorded less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Faryna v. Chorney, </w:t>
      </w:r>
      <w:hyperlink r:id="rId312"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Mr. Justice O'Halloran for the B.C. Court of Appeal discussed the approach which a trial judge ought to take when credibility is at issue. He stated at pp. 356-357: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trial Judge's finding of credibility is to depend solely on which person he thinks made the better appearance of sincerity in the witness box, we are left with a purely arbitrary finding and justice would then depend upon the best actors in the witness box. On reflection it becomes almost axiomatic that the appearance of telling the truth is but one of the elements that enter into the credibility of the evidence of a witness. Opportunities for knowledge, powers of observation, judgment and memory, ability to describe clearly what he has seen and heard, as well as other factors, combine to produce what is called credibility, and cf. Raymond v. Bosanquet (1919), 50 D.L.R. 560 at p. 566, </w:t>
      </w:r>
      <w:hyperlink r:id="rId313" w:history="1">
        <w:r>
          <w:rPr>
            <w:rFonts w:ascii="arial" w:eastAsia="arial" w:hAnsi="arial" w:cs="arial"/>
            <w:i/>
            <w:color w:val="0077CC"/>
            <w:sz w:val="20"/>
            <w:u w:val="single"/>
            <w:shd w:val="clear" w:color="auto" w:fill="FFFFFF"/>
            <w:lang w:val="en-US" w:eastAsia="en-US" w:bidi="ar-SA"/>
          </w:rPr>
          <w:t>59 S.C.R. 452</w:t>
        </w:r>
      </w:hyperlink>
      <w:r>
        <w:rPr>
          <w:rFonts w:ascii="arial" w:eastAsia="arial" w:hAnsi="arial" w:cs="arial"/>
          <w:color w:val="000000"/>
          <w:sz w:val="20"/>
          <w:lang w:val="en-US" w:eastAsia="en-US" w:bidi="ar-SA"/>
        </w:rPr>
        <w:t xml:space="preserve"> at p. 460, </w:t>
      </w:r>
      <w:hyperlink r:id="rId313" w:history="1">
        <w:r>
          <w:rPr>
            <w:rFonts w:ascii="arial" w:eastAsia="arial" w:hAnsi="arial" w:cs="arial"/>
            <w:i/>
            <w:color w:val="0077CC"/>
            <w:sz w:val="20"/>
            <w:u w:val="single"/>
            <w:shd w:val="clear" w:color="auto" w:fill="FFFFFF"/>
            <w:lang w:val="en-US" w:eastAsia="en-US" w:bidi="ar-SA"/>
          </w:rPr>
          <w:t>17 O.W.N. 295</w:t>
        </w:r>
      </w:hyperlink>
      <w:r>
        <w:rPr>
          <w:rFonts w:ascii="arial" w:eastAsia="arial" w:hAnsi="arial" w:cs="arial"/>
          <w:color w:val="000000"/>
          <w:sz w:val="20"/>
          <w:lang w:val="en-US" w:eastAsia="en-US" w:bidi="ar-SA"/>
        </w:rPr>
        <w:t>. A witness by his manner may create a very unfavourable impression of his truthfulness upon the trial Judge, and yet the surrounding circumstances in the case may point decisively to the conclusion that he is actually telling the truth. I am not referring to the comparatively infrequent cases in which a witness is caught in a clumsy lie.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skilful exaggeration with partial suppression of the truth.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ought to go further and say that evidence of the witness he believes is in accordance with the preponderance of probabilities in the case and, if his view is to command confidence, also state his reasons for that conclusion. The law does not clothe the trial Judge with a divine insight into the hearts and the minds of the witnesses. And a Court of Appeal must be satisfied that the trial Judge's finding of credibility is based not on one element only to the exclusion of others, but is based on all the elements by which it can be tested in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bear in mind the decision in Faryna, supra, throughout my consideration of the testimony and the exhibits adduced in this case and how it impacts on the crucial issue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assessing the testimony and the weight to be attached to it, I must consider the delay involved in bringing this matter to trial. The initial discussions between Mr. Dack and Mr. Miller occurred in September 1996 with the parties completing the transaction in October 1999. WLT commenced this action on May 5, 2003 with the trial commencing October 19, 2004, some eight years after the initial discussions and five years after the parties signed the Agreement. Memories dim with time, particularly in the absence of notes or documents which might assist the witnesses' memories.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Some witnesses were related or known to the parties and gave testimony, suggesting that they were partial to one side or the other. Where such partiality or animus is found, it leaves concerns whether the witness provided full and frank disclosure of the events about which they testified. The reliability of witnesses is always important, but is particularly so in circumstances where the defendants allege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BALANCE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defendants must meet a higher degree of probability given that their claim is based on allegations of fraud by Mr. Miller. In Continental Insurance Co. v. Dalton Cartage Co., </w:t>
      </w:r>
      <w:hyperlink r:id="rId314"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Chief Justice Laskin for the Court stated at p. 170: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necessarily a matter of judgment involved in weighing evidence that goes to the burden of proof, and a trial judge is justified in scrutinizing evidence with greater care if there are serious allegations to be established by the proof that is offered. I put the matter in the words used by Lord Denning in Bater v. Bater, supra ([1950] 2 All E.R. 458) at p. 459,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true that by our law there is a higher standard of proof in criminal cases than in civil cases, but this is subject to the qualification that there is no absolute standard in either case. In criminal cases the charge must be proved beyond a reasonable doubt, but there may be degrees of proof within that standard. Many great judges have said that, in proportion as the crime is enormous, so ought the proof to be clear. So also in civil cases. The case may be proved by a preponderance of probability, but there may be degrees of probability within that standard. The degree depends on the subject-matter. A civil court, when considering a charge of fraud, will naturally require a higher degree of probability than that which it would require if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pleading fraud against Mr. Miller the defendants are required, therefore, to strictly prove the allegations set out in paragraphs 6 and 9 of their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1996, Mr. Dack, a Kamloops resident with a grade 12 education and trained as a heavy duty mechanic, was looking for a change in vocation after a number of years in the forest industry. He operated BLD as a silviculture business contracting work with both corporations and governments, and also operated his own trap line near Kamloops. When pressed in cross-examination he acknowledged involvement in other corporate dealings. Mr. Dack further allowed that through his business endeavours he was aware of First Nations' land claims in B.C. Mr. Dack also dealt with lawyers in connection with BLD, his divorce, and a civil case which preceded this action. Although Mr. Dack tended to portray himself as naive in business, I conclude that he was in fact relatively well-aware of the machinations of the commercial and legal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Mrs. Lyons, a former payroll supervisor, is Mr. Dack's aunt and since 1992 has acted as his bookkeeper, initially maintaining his books and preparing his income tax returns. After the incorporation of BLD, Mrs. Lyons maintained the company's financial records before turning them over to Mr. Dack's accountant to prepare the financial statements and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Miller, born April 2, 1935, has operated a ranch, run a water irrigation business, and owned and operated trailer parks as well as Inconnu and Kluane lodges. At age 69, he is now retired. Although apparently successful in his business endeavours, he does not have a particularly good memory, as witnessed by various lapses during his testimony which the defence seized on as diminishing his credibility. Mr. Miller's knowledge of english left some doubt whether he truly appreciated the questions put to him. For example, during cross-examination he agreed that Mr. Dack was unsophisticated, but when drawn back to that topic by his counsel in re-direct he explained that unsophisticated meant to him someone who understood the business world, was aware of companies, not a person who knew nothing about business, a definition seemingly at odds with the usual meaning of unsophisticated in the context in which it was being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plead that Mr. Miller first made the fraudulent representations to Mr. Dack on or about October 1996. However, Mr. Dack testified that Mr. Miller made the representations regarding Indian land claims and Kluane's exclusive rights to Wellesley Lake at their first meeting on September 1, 1996, repeating them at a later meeting on October 1, 1996. On the latter date, Mr. Dack testified that Mr. Miller made the further alleged fraudulent representations that the Yukon government had a policy of allowing just one fishing lodge on a lake and that Kluane was within a special management area which prevented further commercial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Miller testified that he had no recollection of discussing Indian land claims at his first meeting with Mr. Dack in 1996, and that he did not tell him that all land claims had been settled, as he was aware of outstanding claims in the Yukon. Mr. Miller also denied telling Mr. Dack that WLT had exclusive occupation on Wellesley Lake, although at some point he might have told Mr. Dack that the Yukon government policy allowed just one commercial operation on each lake, information he had received and believed from a Mr. Toews, an employee of the Yukon Territorial government's fisheries department. Mr. Miller also said that he was unaware of any fly-in fishing lakes that have more than one lodge on it. He denied having told Mr. Dack that Wellesley Lake was in a special watershed management area, but that the Yukon government had imposed a special permit for persons fishing on Wellesley Lake to protect fish stocks.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Miller's wife, Olive Miller, was present at a meeting held at the Miller home in the fall of 1996 attended by Mr. Miller, Craig Miller and Mr. Dack. She testified that she was not present during the whole of the discussions, but that at no time did she hear representations such as those alleged to have been made by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Craig Miller testified that he discussed Kluane with Mr. Dack when working for BLD and attended meetings with Mr. Dack and his father. He testified that at their initial meeting he and Mr. Dack discussed with his father the Kluane operation, including the number of boats and motors, number of guests, transportation, and food and air costs. He and Mr. Dack discussed what they should offer for Kluane prior to meeting with Mr. Miller and arrived at the $800,000 figure, based on their understanding of the listing price for Inconnu Lodge and dependent on Mr. Miller carrying any outstanding balance without interest for five years. Mr. Dack proposed the $800,000 purchase price and Mr. Miller accepted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Craig Miller said he did not recall there being any discussions about Indian land claims in that initial conversation and added that he would remember if land claims had arisen.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Craig Miller testified that in 1997 and 1998, when he worked with Mr. Dack at Kluane, he and Mr. Dack discussed Indian land claims around Wellesley Lake, their understanding that Indian land claims in the Yukon exceeded the total size of the Territory by some 30 percent, and that they would make money if they sold Kluane to the local Indian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Dack denied any discussions about Indian land claims with Craig Miller, however, he did learn between 1996 and 1999 that on the lands surrounding Wellesley Lake were an Indian grave site, a trap line including a small trapper's cabin operated by a member of the local Indian band, and the remains of several Indian cabins. Craig Miller described how he and Mr. Dack established a trail from their fishing lodge to the Indian grave site, an assertion not denied by Mr. Dack.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By the spring of 1999, Craig Miller had decided against proceeding with the Kluane purchase after several disagreements with Mr. Dack. I am aware from an incident during the course of submissions, that there lies between Mr. Dack and Craig Miller some antagonism which requires consideration when assessing their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Dack testified with firmness as to the representations allegedly made by Mr. Miller during their initial meeting, however, his recall diminished with respect to other aspects of the initial meeting. Mr. Dack testified that he first met Mr. Miller at the Place Inn in Kamloops, however, in cross-examination he acknowledged that at his examination for discovery a year earlier he had been unable to remember the site of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their counterclaim, the defendants pleaded at paragraph 6 that Mr. Miller made the fraudulent representations to Mr. Dack on or about October 1996. At trial Mr. Dack testified that Mr. Miller made the representations at their September 1, 1996 meeting. Mr. Dack kept a diary, excerpts of which were filed as exhibit 18, in which he testified he kept notes of important business and other matters. In his August 30, 1996 diary entry, he wrote that he was going to meet Mr. Miller about the fish camp, but mentions nothing in his September 1, 1996 diary entry about the meeting. The next entry in exhibit 18 relating to Kluane is dated September 9, 1996 in which Mr. Dack wrote that he talked to Mr. Miller and "he agreed to the price that Craig and I set". That is the extent of the entry. He does not mention the price for Kluane nor does he mention the alleged fraudulent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Dack briefly refers in his September 10 and 13, 1996 entries to meetings with banks to obtain financing for the Kluane purchase. In his October 1, 1996 entry, he wrote that he met with Craig Miller and "then we went and met with Howie (Miller)", but includes no details as to what the parties discussed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Dack testified that Mr. Miller set the $800,000 price for Kluane, but when challenged on cross-examination, he agreed that he and Craig Miller jointly proposed the $800,000 purchase price. I previously noted Craig Miller's testimony as to how the pair arrived at the $800,000 figure. Mr. Dack's diary entry on September 9, 1996 confirms that the $800,000 price originated with Craig Miller and Mr. Dack, where Mr. Dack wrote that Mr. Miller agreed to the price "that Craig and I set". Mr. Dack's failure to recall the origin of the $800,000 offer might be attributable to a memory lapse after eight years, however, considering the sum of money involved, it is surprising that Mr. Dack was unable originally to remember that he and Craig Miller, not Mr. Miller, proposed the $800,000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Mr. Dack considered in September 1996 that he and Mr. Miller had an agreement regarding the purchase of Kluane and by January 1997 he had advanced some $100,000 towards the purchase, the transaction took three years to complete. During those years, Mr. Dack and Mr. Miller prepared various documents reflecting the evolution of their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Two documents both entitled "Proposed Sale Agreement" and both dated May 30, 1997 were apparently typed by Howard Miller's wife, Olive Miller, at the direction of Mr. Miller, Mr. Dack, or more likely by both individuals. What appears to be the first document, exhibit 1 (26) provides that Howard Miller and Hidden Valley would sell Kluane to Brian Dack and Craig Miller for $800,000. Mr. Miller, Craig Miller and Mr. Dack signed this document. What appears to be the second document, exhibit 2 (8), includes terms similar to those in exhibit 1 (26), but provides that Mr. Miller and Hidden Valley would sell Kluane's assets to Craig Miller and BLD, Mr. Dack's corporation, for $800,000. This latter document is signed only by Mr. Dack and Mr. Miller. Although both documents provide for the purchase of Kluane's assets, both refer to the parties as shareholders. Neither document mentions WLT, the actual owner of Kluane's assets, which included the leased property and buildings comprising the fishing lodge.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 third document addressing the purchase of Kluane appears as exhibit 6 and it contains two dates, May 15 and May 28, 1999 ("the May 1999 document") which again appears to have been typed by Mrs. Miller. The May 1999 document is between Mr. Miller, BLD and Mr. Dack and values the shares of Kluane, operating as Hub City Enterprises Ltd. ("Hub City") at $700,000. The document signed by both Mr. Dack and Mr. Miller states that BLD is purchasing a one-half interest in the shares of Hub City, another company controlled by Mr. Miller. WLT's financial statements note that Hub City managed the Kluane operation in 1998 and 1999. The $700,000 price was to be further reduced by a $30,856 credit owed to a Kluane customer, Bob Walz, and a $130,000 payment purportedly received from BLD, leaving a balance owed by BLD for the one-half interest in Hub City of $204,572.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Hub City did not own Kluane which, at all material times, was owned by WLT. Although somewhat confusing, the document confirms that by May 1999, Craig Miller had withdrawn from the purchase of Kluane, that the price of Kluane had been reduced from $800,000 to $700,000 and that Mr. Miller and Mr. Dack, operating through BLD, planned to be equal shareholders in Kluane's operations. The May 1999 agreement neither explains the reduction in Kluane's price from $800,000 to $700,000 nor how BLD's payments for Kluane increased from $100,000 as of January 1997 to $130,000 in May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Dack, in examination-in-chief, denied discussing with Mr. Howard the purchase of Kluane from Hub City and said that he knew nothing of Hub City in May 1999. He also testified that he believed Mrs. Miller prepared exhibit 6, the May 1999 document. He also stated that he had no idea how the price for Kluane was reduced from $800,000 to $700,000.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However, in cross-examination, Mr. Dack acknowledged that the May 1999 document reflected notes, filed as exhibit 15, which he had written before signing the May 1999 document. Mr. Dack wrote in exhibit 15 that the transaction involved BLD purchasing a half interest in Hub City, doing business as Kluane, for the agreed upon price of $700,000, less $30,856 owing to Mr. Walz and $100,000 paid by BLD, leaving a balance payable by BLD of $234,572 for the half interest in Kluane. Mr. Dack, in cross-examination, acknowledged renegotiating the price of Kluane and it was those negotiations with Mr. Miller which led to the $700,000 price found in the May 1999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satisfied that contrary to Mr. Dack's evidence on examination-in-chief he knew in May 1999 of Hub City's involvement with Kluane, that he knew the circumstances leading to the reduction of the purchase price from $800,000 to $700,000 and that the terms of the May 1999 document reflected his own notes found in exhibit 15, and were not prepared by Mrs. Miller as he first suggested, although she might have typed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no explanation why the $100,000 deposit advanced by Mr. Dack in 1996 and 1997 and noted by him in exhibit 15 was increased to $130,000 in the May 1999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yet another document entitled Agreement of Sale of Kluane Wilderness Lodge operating under Wellesley Lake Trophy Lodge Inc. which is unsigned, dated simply 1999, and filed as exhibit 1 (36). The document sets out an agreement between Howard Miller and his company, Hidden Valley, and BLD which affixes a value of $700,000 to Kluane, less Mr. Walz's $30,856 credit, for a total of $669,144 of which BLD's purchase price would be $334,572, less the $100,000 it had advanced to date leaving a sum owing by BLD for its one-half interest of $234,572. I presume this latter document was prepared after the May 1999 document, but before Mrs. Lyons became involved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Dack's testimony relating to the documents prepared prior to the Agreement reflect considerable vagueness on his part regarding his dealings with Mr. Miller between 1996 and 1999, including his evidence regarding the significant $100,000 price reduction to $700,000 in 1999. If clarity is lacking in Mr. Dack's memory in 1999, concern must be expressed with his ability to correctly recall what occurred three years earlier when he alleges Mr. Miller uttered the fraudulent representations lying at the base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From September 1, 1996 to the signing of the Agreement dated October 1, 1999, Mr. Dack was involved extensively in the operation of Kluane, working with Mr. Miller both at Wellesley Lake and at various sports shows generating business during the winter months. Mr. Dack minimized his participation in the management of Kluane during this period, denying knowledge of the financial and business aspects of Kluane, although admitting in cross-examination that he received Kluane's financial statements for 1997 and 1998. I do not accept his depiction that he fulfilled a minimal role in Kluane's operation prior to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Dack invested $100,000 towards his purchase of Kluane by January, 1997, and from that time I am satisfied that he took a full and active involvement in all aspects of Kluane's operations. Craig Miller testified that after Mr. Dack became involved in Kluane he sought to learn as much as possible about the business, the lands surrounding Wellesley Lake, and spending time in Whitehorse becoming aware of the Territorial government's involvement in fishing lodges in the Yukon. Mr. Dack acknowledged taking deposits from customers and was aware of Kluane's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Agreement confirms the extent of Mr. Dack's involvement with Kluane at paragraph 7.03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7.03 The Purchaser acknowledges that it's principal Brian Dack has been engaged actively in the operation of the Vendors business for the past 3 fishing seasons and is aware and satisfied with:</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operational aspects and requirements of the facility;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business aspects and requirements of the business;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current dealings with the Yukon Territorial Government;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equipment and buildings' contents'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 of contents and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satisfied that paragraph 7.03 properly depicts Mr. Dack's involvement in Kluane after September 1996 and confirms Craig Miller's evidence as to the activities of Mr. Dack at Kluane before the signing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further plead at paragraph 9 of the counterclaim that Mr. Miller repeated the fraudulent representations to Mr. Dack, Mrs. Lyons "and others" in July 1999. The evidence does not wholly support that portion of the defendants' counterclaim. Mrs. Lyons testified that in July 1999 Mr. Miller made the alleged fraudulent representation to her in the presence of her husband in language nearly identical to that which Mr. Miller is alleged to have used in 1996 in his initial conversation with Mr. Dack. Mr. Lyons also testified that during the July 1999 discussion Mr. Miller made the fraudulent representations. Although paragraph 9 of the counterclaim states that Mr. Dack was present at the July 1999 meeting, both Mr. Dack and Mrs. Lyons contradicted their counterclaim when they testified that Mr. Dack was not present during the July 1999 meeting with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Mrs. Lyons testified that at further meetings in September 1999, Mr. Miller repeated the alleged fraudulent representations. At one of the September meetings it appears that just she and Mr. Lyons were present, however, on another occasion they were joined by Mr. Dack. Mrs. Lyons stated that the information contained in Mr. Miller's representations was critical to her involvement in the purchase of Kluane and it was for that reason that she raised the issues during the September 1999 meetings. Mr. Dack said Mr. Miller made the fraudulent representations at the September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Miller denies having made the representations as alleged in July and September 1999 or, for that matter, at any time. His wife, Olive Miller, was present at meetings in her home in 1996 and 1999 involving, variously, Mr. Dack, her son Craig, her husband, and Mr. and Mrs. Lyons, although she acknowledges frankly that she was not present at all times throughout the meetings. She testified that she never heard her husband make the representations as alleged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Dack diminished Mrs. Miller's participation at the meetings in the fall of 1999, suggesting that her role was to look after the coffee and cookies. I do not accept that characterization of Mrs. Miller's involvement. Although Mr. Miller was involved in the operation of Kluane, Mrs. Miller appears to have borne the responsibility for what might be called the paper side of the business, including the financial records and statements. She also spent several seasons working at Kluane.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During the autumn 1999 meetings, Mrs. Miller ensured that the defendants, particularly Mrs. Lyons, had access to Kluane's financial records and statements which she maintained. The defendants acknowledged that they accepted Kluane's financial records 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have heard Mr. Miller testify. He had kept no personal record or notes of the Kluane transaction and his memory of the events dating back eight years or more needed refreshing from what documents existed from that time. I find it difficult to conceive that Mr. Miller, even had he made the representations as alleged in 1996, would have been able to repeat them using the same or nearly the same language three years later, in 1999, as alleged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Miller is not an individual who gets involved in paperwork and he leaves the preparation of documents mainly to his wife, his financial statements to his accountants, and the preparation of legal documents to his solicitor. After hearing Mr. Miller, I concur with the evidence of his solicitor, Mr. Patrick, that Mr. Miller is not an individual who would use terms such as "special management area" and "watershed" as found in the alleged fraudulent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Patrick created the initial draft of the Agreement which was then reviewed and revised by the defendants and their solicitor with the Agreement reflecting input from the various signatories and their respective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their counterclaim, the defendants allege that through error, their solicitor failed to ensure that the representations allegedly made by Mr. Miller were included in the Agreement. Mr. Dack and Mrs. Lyons both testified that they specifically instructed their solicitor to include the fraudulent representations allegedly made by Mr. Miller in the Agreement, but that the solicitor failed to do so. The alleged fraudulent representations appear nowhere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WLT and Mr. Miller waived any solicitor client privilege involving Mr. Patrick, instructed him to provide his complete file to the defendants' counsel at trial, and called Mr. Patrick to testify and be available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Mrs. Lyons stated that she and Mr. Dack attended several meetings with their solicitor to review and revise the various drafts of the Agreement and she was aware that the drafts did not include the representations allegedly made by Mr. Miller. Mrs. Lyons further testified that before signing the Agreement on November 12, 1999, handwritten revisions such as her address, and amendments to paragraphs 6.06 and 6.07 were included in the Agreement. Mrs. Lyons acknowledged that when she signed the Agreement she was aware that the fraudulent representations allegedly made by Mr. Miller were not included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did not call their solicitor. Their present counsel took the position that the plaintiff could have called the defendants' solicitor as any solicitor-client privilege existing between the defendants and their solicitor relating to the formation of the Agreement was waived by paragraph 12 of the counterclaim in which the defendants stated that their solicitors erred in not including the representations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onus lies with the defendants to establish that Mr. Miller made the fraudulent representations. The defendants founded their claim in fraud, and to succeed, must establish a high degree of probability. The defendants' solicitor is well-experienced and I think it fair to assume that like most solicitors involved in such a transaction he would recall his clients' instructions and might well have taken notes of his instructions. It is possible that he has no memory of the transaction and failed to make notes of the defendants' instruction to him regarding alleged representations, but I think that improbable.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prepared to accept that the defendants' solicitor was available to be called by either side and will not draw an adverse inference against the defendants for failing to call their solicitor as submitted by Mr. Miller's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However, the absence of the solicitor's testimony and his file goes to the issue of whether the defendants' have established proof of the alleged fraud to the requisite degree of probability. From the defendants' evidence, it would appear that the solicitor was the only individual outside the families of Mr. and Mrs. Miller and Craig Miller and Mr. and Mrs. Lyons and their nephew, Mr. Dack, who might have any knowledge as to the fraudulent representations allegedly expressed by Mr. Miller in 1996 and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absence of notes from the defendants' solicitor is consistent with much, if not all, of the evidence adduced by the defendants regarding the alleged fraudulent representations. There is not a single scrap of paper created during the evolution of this lengthy transaction, including the Agreement, which refers in whole or in part to any of the alleged fraudulent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After reviewing the draft of the Agreement, Mrs. Lyons wrote directly to Mr. Patrick commenting on matters on nine of the twelve pages of the draft. Mr. Patrick stated that the contents of the note referred to matters Mrs. Lyons wished to have included in the Agreement. There is nothing in Mrs. Lyons' note to Mr. Patrick referring to the alleged representations, in spite of the position taken by Mrs. Lyons and Mr. Dack that Mr. Miller's representations were crucial to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During September and October 1999, as the parties and their solicitors were drafting the Agreement, the defendants testified that Mr. Miller had again repeated the fraudulent representations. The defendants say these representations were crucial to them and from their evidence they would have been fresh in their minds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testified that they instructed their solicitor to include the representations in the Agreement. The absence of those alleged representations in the draft reviewed by Mrs. Lyons begs the question of why did she not refer to their absence in her note she sent to Mr. Patrick. Mr. Patrick stated that at no time did he ever receive instructions, written or oral, regarding the alleged fraudulent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Although Mr. Dack maintains a daily diary, to which he referred on occasion during the trial, it apparently contains no reference to the representations alleged to have been made by Mr. Miller and upon which the defendants' case rests. Nor do any of the four documents prepared by the parties between 1996 and 1999 make any reference to the alleged fraudulent representations. The notes made by Mr. Dack which form the basis of the May 1999 document also make no reference to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contend that the representations were crucial to their purchase of Kluane. If that were so, it is difficult to comprehend why they did not at some point make notes to confirm the representations be it in Mr. Dack's diary, in the various documents drafted between 1996 and 1999, in Mrs. Lyons' letter to Mr. Patrick, or in the Agreement itself, the latter being signed by Mrs. Lyons when she knew that it did not include the alleged fraudulent representations. The defendants are not innocents when it comes to commercial matters. Both Mrs. Lyons and Mr. Dack have had considerable involvement in contractual and financial matters over the years, and appear to have enjoyed success in their business endeavours. At Kluane, in the four year period between 1999 and 2004, they have doubled the annual revenue produced from $200,000 to nearly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absence of documentation reflecting the defendants' recollection of the representations leaves the defendants' claim dependent on memories, the reliability of which becomes questionable particularly when reconstruction of events occurs five to eight years after the events. I am left with two different and opposite versions of the negotiations between WLT, Mr. Miller, Mrs. Lyons and Mr. Dack. The defendants allege Mr. Miller made the fraudulent representations, an allegation denied by Mr. Miller. The credibility of the parties has been explored with vehemence and none has emerged unscathed.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Some of the evidence appears to support the defendants' position and might be construed as diminishing Mr. Miller's credibility. Evidence from Mrs. Miller and Craig Miller supports Mr. Miller's position that he never uttered the alleged fraudulent representations either in 1996 or 1999. The only persons who testified as to hearing the alleged fraudulent representations made by Mr. Miller are Mr. Dack and Mr. and Mrs. Lyons, who are all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Where lies the truth in this troubling case? I heard Mr. Miller, Mr. Dack and Mr. and Mrs. Lyons testify. I perceive flaws and strengths in their testimony when assessed against the totality of the evidence including the testimony of those called to diminish their credibility. I have reviewed all of the evidence, although I have not necessarily referred to it all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reach my decision on the following grounds. I find the defendants' credibility as to the alleged fraudulent representations is not in harmony with the probabilities which are reasonable in the circumstances. The defendants testified that the representations were crucial for their entry into the transaction, and yet over three years of negotiations there is not one document to support their allegations that Mr. Miller made the fraudulent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as I have noted, are not naive in the ways of commerce and are aware that the business world requires paperwork to consummate a transaction, as reflected in the various lease transfer documents, promissory notes, schedule of equipment, and the Agreement necessary for them to obtain title to Kluane. Mr. Dack kept a diary and assisted in the preparation of draft documents with Mr. Miller between 1996 and 1999. Mrs. Lyons wrote to Mr. Miller's solicitor about a draft of the Agreement and made no mention of the representations. The defendants instructed their counsel to include the representations in the Agreement which Mrs. Lyons subsequently signed knowing the Agreement did not include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Dack's recollection of events was also challenged with reference to matters which, although not in themselves necessarily of great importance, cast doubt on his memory and his ability to accurately recall matters occurring years before. For example, he testified initially that he did not know how the price for Kluane fell from $800,000 to $700,000, but allowed in cross-examination that the reduction followed his negotiations with Mr. Miller. I referred to other inconsistencies in my Reasons and will not repeat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This is an action in which the defendants allege that Mr. Miller made fraudulent representations and in order to establish their case, the defendants must prove their claim on a higher degree of probability: Continental Insurance Co. v. Dalton Cartage Co., supra. I am not convinced from the evidence that the defendants have established to the degree of probability required that Mr. Miller made the representations as they allege. Even had I found the defendants' evidence credible, which I do not, I would still have to consider their evidence in the context of Mr. Miller's denial that he had made the representations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absence of any evidence, other than the testimony of Mr. Dack and Mr. and Mrs. Lyons, to support the allegation that Mr. Miller made the representations, I conclude the defendants' case falls short of the level of proof required to prove fraud on the part of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WLT will have judgment against the defendants for the sum of $291,099.14 with simple interest payable at 6.5 percent per annum pursuant to the terms of the Agreement. I dismiss the plaintiff's claim for compound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dismiss the defendants' counterclaim against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Wellesley Lake Trophy Lodge. Inc., and the third party, J. Howard Miller, will have their costs. Counsel, within 14 days of the issuing of these Reasons, will arrange with the trial coordinator to set a date for the hearing of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Western Aerial Applications Ltd. v. Turbomeca USA, Inc., [2009] B.C.J. No. 249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22-23,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S042801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Western Aerial Applications Ltd. and Heli-West Aviation Services Ltd., Plaintiffs, and Turbomeca USA, Inc. Turbomeca S.A., Turbomeca Africa (Pty) Ltd. and Denel (Pty) Ltd., Defendants, and Martin Lindgren and Metro Tech Systems Ltd., Third Parties, and Heli-West Aviation Services Ltd.,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7"/>
      <w:bookmarkEnd w:id="112"/>
      <w:r>
        <w:rPr>
          <w:rFonts w:ascii="arial" w:eastAsia="arial" w:hAnsi="arial" w:cs="arial"/>
          <w:b/>
          <w:color w:val="000000"/>
          <w:sz w:val="20"/>
          <w:lang w:val="en-US" w:eastAsia="en-US" w:bidi="ar-SA"/>
        </w:rPr>
        <w:t>Civil litigation — Civil procedure — Parties — Third party procedure — Striking out or setting aside — Application by the third party to set aside the third party notices against it, dismissed — Statement of claim and the third party notices did not allege the location of the crash that gave rise to the accident — Court had jurisdiction over the third party because the defendants were allowed to provide affidavit evidence that raised an arguable case on jurisdiction.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Conflict of laws — Jurisdiction — Determination of — Where cause of action arose — Application by the third party to set aside the third party notices against it, dismissed — Statement of claim and the third party notices did not allege the location of the crash that gave rise to the accident — Court had jurisdiction over the third party because the defendants were allowed to provide affidavit evidence that raised an arguable case on jurisdiction.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Conflict of laws — Practice and procedure — Courts — Jurisdiction of courts — Application by the third party to set aside the third party notices against it, dismissed — Statement of claim and the third party notices did not allege the location of the crash that gave rise to the accident — Court had jurisdiction over the third party because the defendants were allowed to provide affidavit evidence that raised an arguable case on jurisdiction.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14"/>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third party Metro Tech Systems Ltd. to set aside the two third party notices it was served with. The plaintiffs in this action claimed damages that resulted from the destruction of a helicopter in a forced heavy landing that was alleged to have occurred as a result of engine failure on August 15, 2002. The statement of claim did not say where the incident occurred. The only connection to British Columbia set out in the claim was that the plaintiffs, who were the owner and lessee of the helicopter, were British Columbia companies. The defendants were an American, French and two South African companies. The plaintiffs alleged that the engine was designed, manufactured and distributed by one or more of the defendants. It was owned by one of the defendants, who loaned it to one of the plaintiffs while another engine was being serviced and repaired. Metro was an Alberta company. The third party notices alleged that Metro performed tests on oil samples from the engine and it was negligent in the performance or interpretation of the test results. The defendants claimed that the tests revealed metal contamination in the oil, which indicated engine problems, and that Metro failed to warn the plaintiffs that the engine needed to be taken out of service. The defendants further claimed that Metro advised the plaintiffs that the engine was safe to operate. The third party notices also did not say where the crash occurred or where Metro's alleged conduct occurred. Metro claimed that the notices did not allege any facts that would give the Court jurisdiction over 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4" w:name="Holdings of Court_11"/>
            <w:bookmarkEnd w:id="11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did not allege facts that would establish jurisdiction over Metro. The defendants, however, were allowed to remedy this shortcoming by reference to affidavit evidence. In a claim of tort the essential elements were the existence of a duty, the breach of duty and the resulting damages. The location of where any of the events that gave rise to the claim occurred was a matter of particulars, rather than material facts necessary to formulate the cause of action. The evidence upon which the defendants relied upon to set out jurisdictional facts consisted of two affidavits from counsel that merely attached a number of documents. The Court could not rely upon most of these documents. There was, however, one document that was sufficiently clear on the record to show a good, arguable case on the jurisdictional issue. It was an investigation report from the Transportation Safety Board of Canada that referred to a helicopter losing power and making a hard landing in McBride, British Columbia on August 15, 2002. The helicopter was identified by the same model and registration numbers referred to in the claim. This was evidence that the crash and the resulting damages were suffered in British Columbia. The defendants therefore showed an arguable case on jurisdiction.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5" w:name="Legislation Cited_13"/>
      <w:bookmarkEnd w:id="1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2"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13(2), Rule 14(6), Rule 14(6)(a), Rule 14(6)(b), Rule 14(6.4)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Jurisdiction and Proceedings Transfer Act, </w:t>
      </w:r>
      <w:hyperlink r:id="rId322" w:history="1">
        <w:r>
          <w:rPr>
            <w:rFonts w:ascii="arial" w:eastAsia="arial" w:hAnsi="arial" w:cs="arial"/>
            <w:i/>
            <w:color w:val="0077CC"/>
            <w:sz w:val="20"/>
            <w:u w:val="single"/>
            <w:shd w:val="clear" w:color="auto" w:fill="FFFFFF"/>
            <w:lang w:val="en-US" w:eastAsia="en-US" w:bidi="ar-SA"/>
          </w:rPr>
          <w:t>SBC 2003, CHAPTER 28, s. 2</w:t>
        </w:r>
      </w:hyperlink>
      <w:r>
        <w:rPr>
          <w:rFonts w:ascii="arial" w:eastAsia="arial" w:hAnsi="arial" w:cs="arial"/>
          <w:color w:val="000000"/>
          <w:sz w:val="20"/>
          <w:lang w:val="en-US" w:eastAsia="en-US" w:bidi="ar-SA"/>
        </w:rPr>
        <w:t>(2), s. 3, s. 3(e), s. 10, s. 10(g)</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6" w:name="Counsel_17"/>
      <w:bookmarkEnd w:id="1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appearing on behalf of the Plaintiffs or Third Party Lindgren.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Turbomeca USA, Inc., Turbomeca S.A., Turbomeca Africa (Pty) Ltd.: Michael Parrish.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Denel (Pty) Ltd.: Michael Dery.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Metro Tech Systems Ltd.: T.A. Kowalchuk.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7" w:name="Judgment_17"/>
      <w:bookmarkEnd w:id="117"/>
      <w:r>
        <w:pict>
          <v:line id="_x0000_s1114" style="position:absolute;z-index:25183027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February 11, 2009; the correction has been made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8" w:name="N.H. SMITH J."/>
            <w:bookmarkEnd w:id="118"/>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Metro Tech Systems Ltd. is an Alberta company that applies to set aside two third party notices that it has been served with in this action. It says the third party notices do not allege any facts which would give this court jurisdiction over it. The "jurisdictional facts" are clearly missing from those pleadings and the real issue is whether they can now be supplied through affidavit evidence or through amendments to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in this action claim damages arising out of the destruction of a helicopter in a "forced heavy landing" that is alleged to have occurred as a result of engine failure on Aug 15, 2002. The statement of claim is unusual in that it does not say where this incident occurred. The only connection to British Columbia clearly set out in the Statement of Claim is that the plaintiffs - who were, respectively, the owner and the lessee of the helicopter - are British Columbia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are an American, French and two South African companies. The plaintiffs allege that the engine was designed, manufactured and distributed by one or more of the defendants and was owned by the defendant Turbomeca U.S.A, which had loaned it to one of the plaintiffs while another engine was being serviced and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began this action in 2004 and it was set for trial beginning February 16, 2009. Since the hearing of this application, the trial has been adjourned to June 15, 2009. The defendants filed third party notices naming Metro Tech Systems Ltd. ("Metro Tech") in mid-October, 2008. Briefly summarized, the third party notices allege that Metro Tech performed tests on oil samples from the engine and was negligent in the performance of those tests and/or in the interpretation of the test results. The defendants allege that the tests revealed metal contamination in the oil, indicating engine problems, and that Metro Tech failed to warn the plaintiffs that the engine needed to be taken out of service. The third party notice filed by three of the defendants also alleges a positive representation by Metro Tech to the plaintiffs that the engine was safe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Like the statement of claim, the third party notices refer to the helicopter crash of August 15, 2002 without stating where it occurred. The third party notices do not say where the oil samples were taken, where they were analyzed, or where any representations to the plaintiffs were made or received. However, the defendants have filed affidavits which attach a number of documents that are said to supply evidence on some of these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question of whether this court has territorial competence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at common law) must be answered on the basis of the </w:t>
      </w:r>
      <w:r>
        <w:rPr>
          <w:rFonts w:ascii="arial" w:eastAsia="arial" w:hAnsi="arial" w:cs="arial"/>
          <w:b/>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S.B.C. 2003, C. 28, ss. 2</w:t>
        </w:r>
      </w:hyperlink>
      <w:r>
        <w:rPr>
          <w:rFonts w:ascii="arial" w:eastAsia="arial" w:hAnsi="arial" w:cs="arial"/>
          <w:color w:val="000000"/>
          <w:sz w:val="20"/>
          <w:lang w:val="en-US" w:eastAsia="en-US" w:bidi="ar-SA"/>
        </w:rPr>
        <w:t xml:space="preserve">(2), 3, 10. For purposes of this application, the relevant provision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s. 3(e),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Proceedings against a person</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has territorial competence in a proceeding that is brought against a person only if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section 10, the </w:t>
      </w:r>
      <w:r>
        <w:rPr>
          <w:rFonts w:ascii="arial" w:eastAsia="arial" w:hAnsi="arial" w:cs="arial"/>
          <w:b/>
          <w:color w:val="000000"/>
          <w:sz w:val="20"/>
          <w:lang w:val="en-US" w:eastAsia="en-US" w:bidi="ar-SA"/>
        </w:rPr>
        <w:t>Act</w:t>
      </w:r>
      <w:r>
        <w:rPr>
          <w:rFonts w:ascii="arial" w:eastAsia="arial" w:hAnsi="arial" w:cs="arial"/>
          <w:color w:val="000000"/>
          <w:sz w:val="20"/>
          <w:lang w:val="en-US" w:eastAsia="en-US" w:bidi="ar-SA"/>
        </w:rPr>
        <w:t xml:space="preserve"> sets out a number of circumstances where a real and substantial connection is presumed to exist. The defendants in this case rely on s. 10(g), which refers to a proceeding that concerns a tort committed in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Real and substantial connection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right of the plaintiff to prove other circumstances that constitute a real and substantial connection between British Columbia and the facts on which a proceeding is based, a real and substantial connection between British Columbia and those facts is presumed to exist if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tort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Although the authorities refer to a number of factors for determining the location of a tort, it is clear that a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committed in British Columbia if damage is suffered in British Columbia. That principle arises from the fact that damage is an essential element of the tort. (</w:t>
      </w:r>
      <w:r>
        <w:rPr>
          <w:rFonts w:ascii="arial" w:eastAsia="arial" w:hAnsi="arial" w:cs="arial"/>
          <w:b/>
          <w:i/>
          <w:color w:val="000000"/>
          <w:sz w:val="20"/>
          <w:lang w:val="en-US" w:eastAsia="en-US" w:bidi="ar-SA"/>
        </w:rPr>
        <w:t>Furlan v. Shell Oil Co.</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2000 BCCA 404</w:t>
        </w:r>
      </w:hyperlink>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77 BCLR (3d) 35</w:t>
        </w:r>
      </w:hyperlink>
      <w:r>
        <w:rPr>
          <w:rFonts w:ascii="arial" w:eastAsia="arial" w:hAnsi="arial" w:cs="arial"/>
          <w:color w:val="000000"/>
          <w:sz w:val="20"/>
          <w:lang w:val="en-US" w:eastAsia="en-US" w:bidi="ar-SA"/>
        </w:rPr>
        <w:t>, at para. 21.) Where negligent misrepresentation is alleged, the tort is committed where the representation is received. (</w:t>
      </w:r>
      <w:r>
        <w:rPr>
          <w:rFonts w:ascii="arial" w:eastAsia="arial" w:hAnsi="arial" w:cs="arial"/>
          <w:b/>
          <w:i/>
          <w:color w:val="000000"/>
          <w:sz w:val="20"/>
          <w:lang w:val="en-US" w:eastAsia="en-US" w:bidi="ar-SA"/>
        </w:rPr>
        <w:t>Procon Mining and Tunneling v. Waddy Lake Resources,</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2002 BCSC 129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procedure under which a party may dispute territorial competence is set out in Rule 14(6)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Disputed jurisdiction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who has been served with an originating process in a proceeding, whether served with the originating process in that proceeding in or outside of British Columbia, may, after entering an appearance,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strike out a pleading or to dismiss or stay the proceeding on the ground that the originating process or other pleading does not allege facts that, if true, would establish that the court has jurisdiction over that party in respect of the claim made against that party in the proceeding.</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dismiss or stay the proceeding on the ground that the court does not have jurisdiction over that party in respect of the claim made against that party in the proceeding, or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 in a pleading that the court does not have jurisdiction over that party in respect of the claim made against that party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If notice of an application under Rule 14(6)(a) or (b) is given within 30 days after an appearance is entered, the application does not constitute an attornment to the jurisdiction of the court (Rule 14(6.4)).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Metro Tech brings this application under Rule 14(6)(a) arguing that the pleadings do not allege facts that would establish jurisdiction. I agree there is nothing in the pleadings as they presently stand that would establish this court's jurisdiction over Metro Tech. As said above, they do not allege any facts about where the allegedly negligent acts occurred, where any representations were made or received, or where damage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say they should be allowed to remedy that shortcoming by reference to affidavit evidence. Metro Tech argues that the issue must be determined solely on the pleadings and seeks to distinguish Court of Appeal decisions that suggest affidavit evidence can be relied on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Furlan v. Shell Oil Co</w:t>
      </w:r>
      <w:r>
        <w:rPr>
          <w:rFonts w:ascii="arial" w:eastAsia="arial" w:hAnsi="arial" w:cs="arial"/>
          <w:color w:val="000000"/>
          <w:sz w:val="20"/>
          <w:lang w:val="en-US" w:eastAsia="en-US" w:bidi="ar-SA"/>
        </w:rPr>
        <w:t>., the court said at paragraph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are some cases where the pleadings do not clearly allege the facts required to support jurisdiction under either R. 13(1) or 13(3). Evidence is admissible of facts relevant to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that are not alleged in the endorsement and statement of claim or are insufficiently particularized to determine the issue. ... Where those "jurisdictional facts" are contentious, the party asserting jurisdiction is required to show a good arguable case that the unpleaded jurisdictional facts can be established. Normally, however, the facts necessary for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will be pleaded and the issue will be, in the phrase of the Chief Justice, an intellectual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Court also said that in "tenuous cases," evidence could be referred to in order to determine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 because of concern whether there is any evidence to support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the same day that the Court decided </w:t>
      </w:r>
      <w:r>
        <w:rPr>
          <w:rFonts w:ascii="arial" w:eastAsia="arial" w:hAnsi="arial" w:cs="arial"/>
          <w:b/>
          <w:i/>
          <w:color w:val="000000"/>
          <w:sz w:val="20"/>
          <w:lang w:val="en-US" w:eastAsia="en-US" w:bidi="ar-SA"/>
        </w:rPr>
        <w:t>Furlan</w:t>
      </w:r>
      <w:r>
        <w:rPr>
          <w:rFonts w:ascii="arial" w:eastAsia="arial" w:hAnsi="arial" w:cs="arial"/>
          <w:color w:val="000000"/>
          <w:sz w:val="20"/>
          <w:lang w:val="en-US" w:eastAsia="en-US" w:bidi="ar-SA"/>
        </w:rPr>
        <w:t xml:space="preserve">, it also said in </w:t>
      </w:r>
      <w:r>
        <w:rPr>
          <w:rFonts w:ascii="arial" w:eastAsia="arial" w:hAnsi="arial" w:cs="arial"/>
          <w:b/>
          <w:i/>
          <w:color w:val="000000"/>
          <w:sz w:val="20"/>
          <w:lang w:val="en-US" w:eastAsia="en-US" w:bidi="ar-SA"/>
        </w:rPr>
        <w:t>AG Armeno Mines and Minerals Inc. v. Newmont Gold Co.</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2000 BCCA 405</w:t>
        </w:r>
      </w:hyperlink>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77 B.C.L.R. (3d) 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chambers judge concluded that Armeno failed to establish jurisdiction on evidentiary grounds. Normally, issues of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fall to be decided on the sufficiency of the pleadings alone but as we have observed in </w:t>
      </w:r>
      <w:r>
        <w:rPr>
          <w:rFonts w:ascii="arial" w:eastAsia="arial" w:hAnsi="arial" w:cs="arial"/>
          <w:b/>
          <w:i/>
          <w:color w:val="000000"/>
          <w:sz w:val="20"/>
          <w:lang w:val="en-US" w:eastAsia="en-US" w:bidi="ar-SA"/>
        </w:rPr>
        <w:t>Furlan v. Shell Oil Co.</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2000 BCCA 404</w:t>
        </w:r>
      </w:hyperlink>
      <w:r>
        <w:rPr>
          <w:rFonts w:ascii="arial" w:eastAsia="arial" w:hAnsi="arial" w:cs="arial"/>
          <w:color w:val="000000"/>
          <w:sz w:val="20"/>
          <w:lang w:val="en-US" w:eastAsia="en-US" w:bidi="ar-SA"/>
        </w:rPr>
        <w:t xml:space="preserve">, there is an exception where the material before the court establishes that the plaintiff's claim is tenuous. A tenuous claim is one where evidence introduced by the foreign defendant contradicts material facts pleaded by the plaintiff or otherwise proves facts fatal to the plaintiff's claim. </w:t>
      </w:r>
      <w:r>
        <w:rPr>
          <w:rFonts w:ascii="arial" w:eastAsia="arial" w:hAnsi="arial" w:cs="arial"/>
          <w:b/>
          <w:i/>
          <w:color w:val="000000"/>
          <w:sz w:val="20"/>
          <w:lang w:val="en-US" w:eastAsia="en-US" w:bidi="ar-SA"/>
        </w:rPr>
        <w:t>G.W.L. Properties Ltd. v. W.R. Grace &amp; Co.</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(1990), 50 B.C.L.R. (2d) 260</w:t>
        </w:r>
      </w:hyperlink>
      <w:r>
        <w:rPr>
          <w:rFonts w:ascii="arial" w:eastAsia="arial" w:hAnsi="arial" w:cs="arial"/>
          <w:color w:val="000000"/>
          <w:sz w:val="20"/>
          <w:lang w:val="en-US" w:eastAsia="en-US" w:bidi="ar-SA"/>
        </w:rPr>
        <w:t xml:space="preserve"> (B.C.C.A.) stands for the proposition that the plaintiff must make out a good arguable case. In my opinion, that case must be made by the plaintiff on the evidence with respect to facts put in issue by 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Unlike the present case, </w:t>
      </w:r>
      <w:r>
        <w:rPr>
          <w:rFonts w:ascii="arial" w:eastAsia="arial" w:hAnsi="arial" w:cs="arial"/>
          <w:b/>
          <w:i/>
          <w:color w:val="000000"/>
          <w:sz w:val="20"/>
          <w:lang w:val="en-US" w:eastAsia="en-US" w:bidi="ar-SA"/>
        </w:rPr>
        <w:t>Furlan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Armeno</w:t>
      </w:r>
      <w:r>
        <w:rPr>
          <w:rFonts w:ascii="arial" w:eastAsia="arial" w:hAnsi="arial" w:cs="arial"/>
          <w:color w:val="000000"/>
          <w:sz w:val="20"/>
          <w:lang w:val="en-US" w:eastAsia="en-US" w:bidi="ar-SA"/>
        </w:rPr>
        <w:t xml:space="preserve"> were both cases where the pleadings were found to contain sufficient jurisdictional facts and it was the foreign defendants who were urging the Court to consider evidence. I also note that, at the time those cases were decided, the wording of Rule 14(6) was different than it is today. There was no provision for a challenge based solely on a lack of jurisdictional facts in the pleadings, as is now set out in Rule 14(6)(a). Until the Rule was changed in 2003, it read: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Idem -</w:t>
      </w:r>
      <w:r>
        <w:rPr>
          <w:rFonts w:ascii="arial" w:eastAsia="arial" w:hAnsi="arial" w:cs="arial"/>
          <w:color w:val="000000"/>
          <w:sz w:val="20"/>
          <w:lang w:val="en-US" w:eastAsia="en-US" w:bidi="ar-SA"/>
        </w:rPr>
        <w:t xml:space="preserve"> Where a person served with an originating process has not entered an appearance and alleges that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process is invalid or has expired,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purported service of the process was invalid, or whether or not the person has entered an appearance, alleges that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no jurisdiction over him in the proceeding or should decline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person may apply to the court for a declaration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Roth v. Interlock Services Inc</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2004 BCCA 407</w:t>
        </w:r>
      </w:hyperlink>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33 B.C.L.R. (4th) 60</w:t>
        </w:r>
      </w:hyperlink>
      <w:r>
        <w:rPr>
          <w:rFonts w:ascii="arial" w:eastAsia="arial" w:hAnsi="arial" w:cs="arial"/>
          <w:color w:val="000000"/>
          <w:sz w:val="20"/>
          <w:lang w:val="en-US" w:eastAsia="en-US" w:bidi="ar-SA"/>
        </w:rPr>
        <w:t xml:space="preserve">, the Court referred to </w:t>
      </w:r>
      <w:r>
        <w:rPr>
          <w:rFonts w:ascii="arial" w:eastAsia="arial" w:hAnsi="arial" w:cs="arial"/>
          <w:b/>
          <w:i/>
          <w:color w:val="000000"/>
          <w:sz w:val="20"/>
          <w:lang w:val="en-US" w:eastAsia="en-US" w:bidi="ar-SA"/>
        </w:rPr>
        <w:t>Furlan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Armeno</w:t>
      </w:r>
      <w:r>
        <w:rPr>
          <w:rFonts w:ascii="arial" w:eastAsia="arial" w:hAnsi="arial" w:cs="arial"/>
          <w:color w:val="000000"/>
          <w:sz w:val="20"/>
          <w:lang w:val="en-US" w:eastAsia="en-US" w:bidi="ar-SA"/>
        </w:rPr>
        <w:t xml:space="preserve"> as establishing the correct approach to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 The first step is to examine the plaintiff's pleading to determine whether it alleges "jurisdictional" facts sufficient to establish a real and substantial connection to the defendant or to the cause of action. Affidavit evidence of facts relevant to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is admissible when the facts are not alleged in the plaintiff's pleading because they are not material facts, or when they are, are not particularized in the pleading in sufficient detail to enable determination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Roth</w:t>
      </w:r>
      <w:r>
        <w:rPr>
          <w:rFonts w:ascii="arial" w:eastAsia="arial" w:hAnsi="arial" w:cs="arial"/>
          <w:color w:val="000000"/>
          <w:sz w:val="20"/>
          <w:lang w:val="en-US" w:eastAsia="en-US" w:bidi="ar-SA"/>
        </w:rPr>
        <w:t xml:space="preserve"> was also a case where the court found that the pleaded jurisdictional facts were sufficient. Although the present wording of Rule 14(6) had been adopted by the time of the Court of Appeal decision, the decision appealed from had been made under the former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None of those cases allowed a plaintiff to supply missing jurisdictional facts through evidence in response to a challenge based solely on the pleadings. However, any attempt to distinguish them on that basis is answered by the subsequent Court of Appeal decision in </w:t>
      </w:r>
      <w:r>
        <w:rPr>
          <w:rFonts w:ascii="arial" w:eastAsia="arial" w:hAnsi="arial" w:cs="arial"/>
          <w:b/>
          <w:i/>
          <w:color w:val="000000"/>
          <w:sz w:val="20"/>
          <w:lang w:val="en-US" w:eastAsia="en-US" w:bidi="ar-SA"/>
        </w:rPr>
        <w:t>Purple Echo Productions Inc. v. KCTS Television</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2008 BCCA 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Unlike the plaintiffs in </w:t>
      </w:r>
      <w:r>
        <w:rPr>
          <w:rFonts w:ascii="arial" w:eastAsia="arial" w:hAnsi="arial" w:cs="arial"/>
          <w:b/>
          <w:i/>
          <w:color w:val="000000"/>
          <w:sz w:val="20"/>
          <w:lang w:val="en-US" w:eastAsia="en-US" w:bidi="ar-SA"/>
        </w:rPr>
        <w:t>Furlan, Armeno</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Roth</w:t>
      </w:r>
      <w:r>
        <w:rPr>
          <w:rFonts w:ascii="arial" w:eastAsia="arial" w:hAnsi="arial" w:cs="arial"/>
          <w:color w:val="000000"/>
          <w:sz w:val="20"/>
          <w:lang w:val="en-US" w:eastAsia="en-US" w:bidi="ar-SA"/>
        </w:rPr>
        <w:t xml:space="preserve">, the plaintiff in </w:t>
      </w:r>
      <w:r>
        <w:rPr>
          <w:rFonts w:ascii="arial" w:eastAsia="arial" w:hAnsi="arial" w:cs="arial"/>
          <w:b/>
          <w:i/>
          <w:color w:val="000000"/>
          <w:sz w:val="20"/>
          <w:lang w:val="en-US" w:eastAsia="en-US" w:bidi="ar-SA"/>
        </w:rPr>
        <w:t>Purple Echo</w:t>
      </w:r>
      <w:r>
        <w:rPr>
          <w:rFonts w:ascii="arial" w:eastAsia="arial" w:hAnsi="arial" w:cs="arial"/>
          <w:color w:val="000000"/>
          <w:sz w:val="20"/>
          <w:lang w:val="en-US" w:eastAsia="en-US" w:bidi="ar-SA"/>
        </w:rPr>
        <w:t xml:space="preserve"> had failed to plead jurisdictional facts to support its claim. The defendant conceded that the deficiency in the pleadings was not fatal if the plaintiff could supply the jurisdictional facts through evidence, and the issue was whether the plaintiff had to prove those facts on the balance of probabilities. The Court said the plaintiff needed only to show an arguable case, but in the process said the following about Rule 14(6)(a)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It is necessary to consider the scheme of the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Rule 14(6)(a) involves an analysis to determine "facts that, if true, would establish that the court has jurisdiction". On the plain language of the section, proof of those facts on a balance of probabilities is not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my view, consonant with the comments of Smith J.A. in </w:t>
      </w:r>
      <w:r>
        <w:rPr>
          <w:rFonts w:ascii="arial" w:eastAsia="arial" w:hAnsi="arial" w:cs="arial"/>
          <w:b/>
          <w:i/>
          <w:color w:val="000000"/>
          <w:sz w:val="20"/>
          <w:lang w:val="en-US" w:eastAsia="en-US" w:bidi="ar-SA"/>
        </w:rPr>
        <w:t>Roth</w:t>
      </w:r>
      <w:r>
        <w:rPr>
          <w:rFonts w:ascii="arial" w:eastAsia="arial" w:hAnsi="arial" w:cs="arial"/>
          <w:color w:val="000000"/>
          <w:sz w:val="20"/>
          <w:lang w:val="en-US" w:eastAsia="en-US" w:bidi="ar-SA"/>
        </w:rPr>
        <w:t xml:space="preserve"> and those of Mackenzie J.A. in </w:t>
      </w:r>
      <w:r>
        <w:rPr>
          <w:rFonts w:ascii="arial" w:eastAsia="arial" w:hAnsi="arial" w:cs="arial"/>
          <w:b/>
          <w:i/>
          <w:color w:val="000000"/>
          <w:sz w:val="20"/>
          <w:lang w:val="en-US" w:eastAsia="en-US" w:bidi="ar-SA"/>
        </w:rPr>
        <w:t>Furlan v. Shell Oil Co.,</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2000 BCCA 404</w:t>
        </w:r>
      </w:hyperlink>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77 B.C.L.R. (3d) 35</w:t>
        </w:r>
      </w:hyperlink>
      <w:r>
        <w:rPr>
          <w:rFonts w:ascii="arial" w:eastAsia="arial" w:hAnsi="arial" w:cs="arial"/>
          <w:color w:val="000000"/>
          <w:sz w:val="20"/>
          <w:lang w:val="en-US" w:eastAsia="en-US" w:bidi="ar-SA"/>
        </w:rPr>
        <w:t xml:space="preserve">, referred to in </w:t>
      </w:r>
      <w:r>
        <w:rPr>
          <w:rFonts w:ascii="arial" w:eastAsia="arial" w:hAnsi="arial" w:cs="arial"/>
          <w:b/>
          <w:i/>
          <w:color w:val="000000"/>
          <w:sz w:val="20"/>
          <w:lang w:val="en-US" w:eastAsia="en-US" w:bidi="ar-SA"/>
        </w:rPr>
        <w:t>MTU Maintenance Canada Ltd. v. Kuehne &amp; Nagel International Ltd.</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2007 BCCA 552</w:t>
        </w:r>
      </w:hyperlink>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[2007] B.C.J. No. 2433</w:t>
        </w:r>
      </w:hyperlink>
      <w:r>
        <w:rPr>
          <w:rFonts w:ascii="arial" w:eastAsia="arial" w:hAnsi="arial" w:cs="arial"/>
          <w:color w:val="000000"/>
          <w:sz w:val="20"/>
          <w:lang w:val="en-US" w:eastAsia="en-US" w:bidi="ar-SA"/>
        </w:rPr>
        <w:t xml:space="preserve"> (QL), </w:t>
      </w:r>
      <w:r>
        <w:rPr>
          <w:rFonts w:ascii="arial" w:eastAsia="arial" w:hAnsi="arial" w:cs="arial"/>
          <w:color w:val="000000"/>
          <w:sz w:val="20"/>
          <w:u w:val="single"/>
          <w:lang w:val="en-US" w:eastAsia="en-US" w:bidi="ar-SA"/>
        </w:rPr>
        <w:t>where jurisdictional facts are not pleaded, affidavit evidence can be adduced to meet the requirement of the Rule. It would be a startling departure from existing jurisprudence if the consideration of jurisdiction were confined solely to the pleadings with no opportunity for a plaintiff to support jurisdiction with evidence.</w:t>
      </w:r>
      <w:r>
        <w:rPr>
          <w:rFonts w:ascii="arial" w:eastAsia="arial" w:hAnsi="arial" w:cs="arial"/>
          <w:color w:val="000000"/>
          <w:sz w:val="20"/>
          <w:lang w:val="en-US" w:eastAsia="en-US" w:bidi="ar-SA"/>
        </w:rPr>
        <w:t xml:space="preserve"> It also is my view that the nature of the inquiry does not change merely because evidence is adduced. The objective is to determine whether there are facts alleged, which if true, would found jurisdiction. The court is not charged with the task of determining whether the facts are true. A plaintiff need show only an arguable case that they can be established.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Rule 14(6)(b) entitles a defendant to challenge jurisdiction even if a plaintiff were able to meet the requirements of Rule 14(6)(a). In substance, that is how this case proceeded. That is, Purple Echo introduced evidence to support the existence of jurisdictional facts, which was challenged by KCTS. In my view, the second part of Smith J.A.'s comments in </w:t>
      </w:r>
      <w:r>
        <w:rPr>
          <w:rFonts w:ascii="arial" w:eastAsia="arial" w:hAnsi="arial" w:cs="arial"/>
          <w:b/>
          <w:i/>
          <w:color w:val="000000"/>
          <w:sz w:val="20"/>
          <w:lang w:val="en-US" w:eastAsia="en-US" w:bidi="ar-SA"/>
        </w:rPr>
        <w:t>Roth</w:t>
      </w:r>
      <w:r>
        <w:rPr>
          <w:rFonts w:ascii="arial" w:eastAsia="arial" w:hAnsi="arial" w:cs="arial"/>
          <w:color w:val="000000"/>
          <w:sz w:val="20"/>
          <w:lang w:val="en-US" w:eastAsia="en-US" w:bidi="ar-SA"/>
        </w:rPr>
        <w:t xml:space="preserve"> was engaged: the contention that evidence introduced to show the plaintiff's claim to jurisdiction is tenuous requires the plaintiff to "show a good arguable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Metrotech argues that Purple Echo is also distinguishable because it was conceded that the plaintiff could rely on affidavit evidence and because the plaintiff was relying on a real and substantial connection - contractual obligations to be performed or "business carried on" in B.C. - that did not form part of the cause of action and therefore did not need to be set out in pleadings. I agree that the highlighted words in the passage I have quoted may technically be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in that they were not necessary for the Court's decision, but that does not mean I am free to ignore them. In </w:t>
      </w:r>
      <w:r>
        <w:rPr>
          <w:rFonts w:ascii="arial" w:eastAsia="arial" w:hAnsi="arial" w:cs="arial"/>
          <w:b/>
          <w:i/>
          <w:color w:val="000000"/>
          <w:sz w:val="20"/>
          <w:lang w:val="en-US" w:eastAsia="en-US" w:bidi="ar-SA"/>
        </w:rPr>
        <w:t>R. v. Henry</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[2005] 3 S.C.R. 609</w:t>
        </w:r>
      </w:hyperlink>
      <w:r>
        <w:rPr>
          <w:rFonts w:ascii="arial" w:eastAsia="arial" w:hAnsi="arial" w:cs="arial"/>
          <w:color w:val="000000"/>
          <w:sz w:val="20"/>
          <w:lang w:val="en-US" w:eastAsia="en-US" w:bidi="ar-SA"/>
        </w:rPr>
        <w:t>, the Supreme Court of Canada said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do not have, and are not intended to have, the same weight. The weight decreases as one moves from the dispositive </w:t>
      </w:r>
      <w:r>
        <w:rPr>
          <w:rFonts w:ascii="arial" w:eastAsia="arial" w:hAnsi="arial" w:cs="arial"/>
          <w:i/>
          <w:color w:val="000000"/>
          <w:sz w:val="20"/>
          <w:lang w:val="en-US" w:eastAsia="en-US" w:bidi="ar-SA"/>
        </w:rPr>
        <w:t>ratio decidendi</w:t>
      </w:r>
      <w:r>
        <w:rPr>
          <w:rFonts w:ascii="arial" w:eastAsia="arial" w:hAnsi="arial" w:cs="arial"/>
          <w:color w:val="000000"/>
          <w:sz w:val="20"/>
          <w:lang w:val="en-US" w:eastAsia="en-US" w:bidi="ar-SA"/>
        </w:rPr>
        <w:t xml:space="preserve"> to a wider circle of analysis which is obviously intended for guidance and which should be accepted as authoritative. Beyond that, there will be commentary, examples or exposition that are intended to be helpful and may be found to be persuasive, but are certainly not "binding" in the sense the </w:t>
      </w:r>
      <w:r>
        <w:rPr>
          <w:rFonts w:ascii="arial" w:eastAsia="arial" w:hAnsi="arial" w:cs="arial"/>
          <w:i/>
          <w:color w:val="000000"/>
          <w:sz w:val="20"/>
          <w:lang w:val="en-US" w:eastAsia="en-US" w:bidi="ar-SA"/>
        </w:rPr>
        <w:t>Sellars</w:t>
      </w:r>
      <w:r>
        <w:rPr>
          <w:rFonts w:ascii="arial" w:eastAsia="arial" w:hAnsi="arial" w:cs="arial"/>
          <w:color w:val="000000"/>
          <w:sz w:val="20"/>
          <w:lang w:val="en-US" w:eastAsia="en-US" w:bidi="ar-SA"/>
        </w:rPr>
        <w:t xml:space="preserve"> principle. [</w:t>
      </w:r>
      <w:r>
        <w:rPr>
          <w:rFonts w:ascii="arial" w:eastAsia="arial" w:hAnsi="arial" w:cs="arial"/>
          <w:i/>
          <w:color w:val="000000"/>
          <w:sz w:val="20"/>
          <w:lang w:val="en-US" w:eastAsia="en-US" w:bidi="ar-SA"/>
        </w:rPr>
        <w:t>Sellars v. The Queen,</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[1980] 1 S.C.R. 527</w:t>
        </w:r>
      </w:hyperlink>
      <w:r>
        <w:rPr>
          <w:rFonts w:ascii="arial" w:eastAsia="arial" w:hAnsi="arial" w:cs="arial"/>
          <w:color w:val="000000"/>
          <w:sz w:val="20"/>
          <w:lang w:val="en-US" w:eastAsia="en-US" w:bidi="ar-SA"/>
        </w:rPr>
        <w:t>] in its most exaggerated form would have it. The objective of the exercise is to promote certainty in the law, not to stifle its growth and creativity.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Henry</w:t>
      </w:r>
      <w:r>
        <w:rPr>
          <w:rFonts w:ascii="arial" w:eastAsia="arial" w:hAnsi="arial" w:cs="arial"/>
          <w:color w:val="000000"/>
          <w:sz w:val="20"/>
          <w:lang w:val="en-US" w:eastAsia="en-US" w:bidi="ar-SA"/>
        </w:rPr>
        <w:t xml:space="preserve"> dealt with o</w:t>
      </w:r>
      <w:r>
        <w:rPr>
          <w:rFonts w:ascii="arial" w:eastAsia="arial" w:hAnsi="arial" w:cs="arial"/>
          <w:i/>
          <w:color w:val="000000"/>
          <w:sz w:val="20"/>
          <w:lang w:val="en-US" w:eastAsia="en-US" w:bidi="ar-SA"/>
        </w:rPr>
        <w:t>biter</w:t>
      </w:r>
      <w:r>
        <w:rPr>
          <w:rFonts w:ascii="arial" w:eastAsia="arial" w:hAnsi="arial" w:cs="arial"/>
          <w:color w:val="000000"/>
          <w:sz w:val="20"/>
          <w:lang w:val="en-US" w:eastAsia="en-US" w:bidi="ar-SA"/>
        </w:rPr>
        <w:t xml:space="preserve"> statements of the Supreme Court of Canada, but the same approach must apply when this court considers what was said by the Court of Appeal. The passage I have quoted from </w:t>
      </w:r>
      <w:r>
        <w:rPr>
          <w:rFonts w:ascii="arial" w:eastAsia="arial" w:hAnsi="arial" w:cs="arial"/>
          <w:b/>
          <w:i/>
          <w:color w:val="000000"/>
          <w:sz w:val="20"/>
          <w:lang w:val="en-US" w:eastAsia="en-US" w:bidi="ar-SA"/>
        </w:rPr>
        <w:t>Purple Echo</w:t>
      </w:r>
      <w:r>
        <w:rPr>
          <w:rFonts w:ascii="arial" w:eastAsia="arial" w:hAnsi="arial" w:cs="arial"/>
          <w:color w:val="000000"/>
          <w:sz w:val="20"/>
          <w:lang w:val="en-US" w:eastAsia="en-US" w:bidi="ar-SA"/>
        </w:rPr>
        <w:t xml:space="preserve"> appears to fall into the category of statements "intended for guidance and which should be accepted as authoritative." I regard it as a clear, considered and unqualified statement by the Court of Appeal on how Rule 14(6) should generally be interpreted and applied. The defendants are therefore entitled to rely on affidavit evidence to supply the missing jurisdictional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addition, the Court in </w:t>
      </w:r>
      <w:r>
        <w:rPr>
          <w:rFonts w:ascii="arial" w:eastAsia="arial" w:hAnsi="arial" w:cs="arial"/>
          <w:b/>
          <w:i/>
          <w:color w:val="000000"/>
          <w:sz w:val="20"/>
          <w:lang w:val="en-US" w:eastAsia="en-US" w:bidi="ar-SA"/>
        </w:rPr>
        <w:t>Roth</w:t>
      </w:r>
      <w:r>
        <w:rPr>
          <w:rFonts w:ascii="arial" w:eastAsia="arial" w:hAnsi="arial" w:cs="arial"/>
          <w:color w:val="000000"/>
          <w:sz w:val="20"/>
          <w:lang w:val="en-US" w:eastAsia="en-US" w:bidi="ar-SA"/>
        </w:rPr>
        <w:t xml:space="preserve"> said that jurisdictional facts can be supplied by affidavit if they are not material facts. In </w:t>
      </w:r>
      <w:r>
        <w:rPr>
          <w:rFonts w:ascii="arial" w:eastAsia="arial" w:hAnsi="arial" w:cs="arial"/>
          <w:b/>
          <w:i/>
          <w:color w:val="000000"/>
          <w:sz w:val="20"/>
          <w:lang w:val="en-US" w:eastAsia="en-US" w:bidi="ar-SA"/>
        </w:rPr>
        <w:t>Delaney and Friends Cartoon Productions v. Radical Entertainment Inc. et al</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2005 BCSC 371</w:t>
        </w:r>
      </w:hyperlink>
      <w:r>
        <w:rPr>
          <w:rFonts w:ascii="arial" w:eastAsia="arial" w:hAnsi="arial" w:cs="arial"/>
          <w:color w:val="000000"/>
          <w:sz w:val="20"/>
          <w:lang w:val="en-US" w:eastAsia="en-US" w:bidi="ar-SA"/>
        </w:rPr>
        <w:t>, Joyce J. said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distinction between material facts and particulars. A material fact is one that is essential in order to formulate a complete cause of action. If a material fact is omitted, a cause of action is not effectively pleaded. Particulars, on the other hand, are intended to provide the defendant with sufficient detail to inform him or her of the case he or she has to meet. (</w:t>
      </w:r>
      <w:r>
        <w:rPr>
          <w:rFonts w:ascii="arial" w:eastAsia="arial" w:hAnsi="arial" w:cs="arial"/>
          <w:b/>
          <w:i/>
          <w:color w:val="000000"/>
          <w:sz w:val="20"/>
          <w:lang w:val="en-US" w:eastAsia="en-US" w:bidi="ar-SA"/>
        </w:rPr>
        <w:t>Bruce v. Odhams Press, Limited</w:t>
      </w:r>
      <w:r>
        <w:rPr>
          <w:rFonts w:ascii="arial" w:eastAsia="arial" w:hAnsi="arial" w:cs="arial"/>
          <w:color w:val="000000"/>
          <w:sz w:val="20"/>
          <w:lang w:val="en-US" w:eastAsia="en-US" w:bidi="ar-SA"/>
        </w:rPr>
        <w:t>, [1936] 1 K.B. 697 (C.A.)).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 claim of tort, the essential elements are the existence of a duty, the breach of duty and the resulting damages. Strictly speaking, the location where any of the events giving rise to the claim occurred is a matter of particulars, rather than material facts necessary to formulate the cause of action. (In saying that, I do not wish to be taken as approving a practice of eliminating those facts from the pleadings, as has occurred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evidence that the defendants rely on to set out jurisdictional facts consists of two affidavits from counsel that simply attach a number of documents. It would normally be preferable to have an affidavit from a party that clearly sets out and swears to the truth of the facts being relied on to establish jurisdiction. That is not always possible when, as here, the defendants bringing third party proceedings must rely on facts that are primarily within the knowledge of the plaintiffs. However, in considering that evidence, I must keep in mind the Court of Appeal's caution in </w:t>
      </w:r>
      <w:r>
        <w:rPr>
          <w:rFonts w:ascii="arial" w:eastAsia="arial" w:hAnsi="arial" w:cs="arial"/>
          <w:b/>
          <w:i/>
          <w:color w:val="000000"/>
          <w:sz w:val="20"/>
          <w:lang w:val="en-US" w:eastAsia="en-US" w:bidi="ar-SA"/>
        </w:rPr>
        <w:t>MTU Maintenance Canada Ltd. v. Kuehne &amp; Nagel International Ltd.</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2007 BCCA 552</w:t>
        </w:r>
      </w:hyperlink>
      <w:r>
        <w:rPr>
          <w:rFonts w:ascii="arial" w:eastAsia="arial" w:hAnsi="arial" w:cs="arial"/>
          <w:color w:val="000000"/>
          <w:sz w:val="20"/>
          <w:lang w:val="en-US" w:eastAsia="en-US" w:bidi="ar-SA"/>
        </w:rPr>
        <w:t xml:space="preserve"> ["MTU No. 2"], at paras. 30 and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In an application such as the one at bar, it is particularly important that the court rely on the court record in deciding whether it has jurisdiction to hear a claim against a foreign defendant. The fact that a domestic court is willing to take jurisdiction over a foreign defendant does not necessarily mean that a judgment against the foreign defendant will be enforceable in a foreign jurisdiction. The court in the foreign jurisdiction must decide whether it will recognize the judgment, and it may well look to the court record in the domestic jurisdiction to make that determination.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It is therefore important that the domestic court only take jurisdiction on the basis of the court record. The domestic court should not rely on statements by counsel when that could have the effect of rendering its judgment unenforceable in foreign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documents attached to affidavits in this case include documents such as aircraft journey logs, the import of which had to be explained by counsel pointing out the portions they relied on and indicating how they were to be cross-referenced to other documents. In view of the importance attached to the court record, I cannot rely on evidence of that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However, there is one document that is, in my view, sufficiently clear on the record to show "a good arguable case" on the jurisdictional issue. That is an investigation report from the Transportation Safety Board of Canada which refers to a helicopter losing power and making a "hard landing" at McBride, British Columbia on August 15, 2002, identifying the helicopter by the same model and registration numbers referred to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Of course, the mere attaching of that document to an affidavit of counsel does not constitute proof of the facts stated. But it does indicate the existence of evidence that, if accepted, would establish that the helicopter crash at issue occurred and the resulting damages was suffered in British Columbia. That would be sufficient to establish that the tort was committed in British Columbia. In view of the fact that the defendants, at this stage, must only show that they have "a good arguable case," and must to a great extent rely on the evidence they expect to come from the plaintiffs at trial, I find that the defendants have shown an arguable case on jurisdiction. Metro Tech's application under Rule 14(6)(a) must therefore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Having decided that the affidavit evidence filed by the defendants is sufficient to defeat the application, I do not need to consider the question of whether amendments to the pleadings can or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Metro Tech has also applied to strike the third party notices because they do not contain an endorsement of the basis for service outside British Columbia, as required by Rule 13(2). That issue was not argued before me because counsel was concerned that making submissions on the point could constitute attornment to the jurisdiction. That portion of the application was adjourned pending this decision and Metro Tech will have liberty to set it down for further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February 11,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there is an inadvertent error in paragraph 23. The amended paragraph 23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In addition, the Court in </w:t>
      </w:r>
      <w:r>
        <w:rPr>
          <w:rFonts w:ascii="arial" w:eastAsia="arial" w:hAnsi="arial" w:cs="arial"/>
          <w:b/>
          <w:i/>
          <w:color w:val="000000"/>
          <w:sz w:val="20"/>
          <w:lang w:val="en-US" w:eastAsia="en-US" w:bidi="ar-SA"/>
        </w:rPr>
        <w:t>Roth</w:t>
      </w:r>
      <w:r>
        <w:rPr>
          <w:rFonts w:ascii="arial" w:eastAsia="arial" w:hAnsi="arial" w:cs="arial"/>
          <w:color w:val="000000"/>
          <w:sz w:val="20"/>
          <w:lang w:val="en-US" w:eastAsia="en-US" w:bidi="ar-SA"/>
        </w:rPr>
        <w:t xml:space="preserve"> said that jurisdictional facts can be supplied by affidavit if they are not material facts. In </w:t>
      </w:r>
      <w:r>
        <w:rPr>
          <w:rFonts w:ascii="arial" w:eastAsia="arial" w:hAnsi="arial" w:cs="arial"/>
          <w:b/>
          <w:i/>
          <w:color w:val="000000"/>
          <w:sz w:val="20"/>
          <w:lang w:val="en-US" w:eastAsia="en-US" w:bidi="ar-SA"/>
        </w:rPr>
        <w:t>Delaney and Friends Cartoon Productions v. Radical Entertainment Inc. et al</w:t>
      </w:r>
      <w:r>
        <w:rPr>
          <w:rFonts w:ascii="arial" w:eastAsia="arial" w:hAnsi="arial" w:cs="arial"/>
          <w:color w:val="000000"/>
          <w:sz w:val="20"/>
          <w:lang w:val="en-US" w:eastAsia="en-US" w:bidi="ar-SA"/>
        </w:rPr>
        <w:t>, 2005 BSC 371, Joyce J. said at para. 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a distinction between material facts and particulars. A material fact is one that is essential in order to formulate a complete cause of action. If a material fact is omitted, a cause of action is not effectively pleaded. Particulars, on the other hand, are intended to provide the defendant with sufficient detail to inform him or her of the case he or she has to meet. (</w:t>
      </w:r>
      <w:r>
        <w:rPr>
          <w:rFonts w:ascii="arial" w:eastAsia="arial" w:hAnsi="arial" w:cs="arial"/>
          <w:b/>
          <w:i/>
          <w:color w:val="000000"/>
          <w:sz w:val="20"/>
          <w:lang w:val="en-US" w:eastAsia="en-US" w:bidi="ar-SA"/>
        </w:rPr>
        <w:t>Bruce v. Odhams Press, Limited</w:t>
      </w:r>
      <w:r>
        <w:rPr>
          <w:rFonts w:ascii="arial" w:eastAsia="arial" w:hAnsi="arial" w:cs="arial"/>
          <w:color w:val="000000"/>
          <w:sz w:val="20"/>
          <w:lang w:val="en-US" w:eastAsia="en-US" w:bidi="ar-SA"/>
        </w:rPr>
        <w:t>, [1936] 1 K.B. 697 (C.A.)).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24 of my February 6, 2009 reasons will now start with "In a claim of tort, ..." and the ensuing paragraph numbers will be repaginated accordingly.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Wiseman v. British Columbia, [2006] B.C.J. No. 2972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Bolton</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8, 2006.</w:t>
      </w:r>
    </w:p>
    <w:p>
      <w:pPr>
        <w:spacing w:before="120" w:line="260" w:lineRule="atLeast"/>
        <w:jc w:val="center"/>
        <w:rPr>
          <w:lang w:val="en-US" w:eastAsia="en-US" w:bidi="ar-SA"/>
        </w:rPr>
      </w:pPr>
      <w:r>
        <w:rPr>
          <w:rFonts w:ascii="arial" w:eastAsia="arial" w:hAnsi="arial" w:cs="arial"/>
          <w:color w:val="000000"/>
          <w:sz w:val="20"/>
          <w:lang w:val="en-US" w:eastAsia="en-US" w:bidi="ar-SA"/>
        </w:rPr>
        <w:t>Written submissions: November 7, 2006.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17, 2006.</w:t>
      </w:r>
    </w:p>
    <w:p>
      <w:pPr>
        <w:spacing w:before="120" w:line="260" w:lineRule="atLeast"/>
        <w:jc w:val="center"/>
        <w:rPr>
          <w:lang w:val="en-US" w:eastAsia="en-US" w:bidi="ar-SA"/>
        </w:rPr>
      </w:pPr>
      <w:r>
        <w:rPr>
          <w:rFonts w:ascii="arial" w:eastAsia="arial" w:hAnsi="arial" w:cs="arial"/>
          <w:color w:val="000000"/>
          <w:sz w:val="20"/>
          <w:lang w:val="en-US" w:eastAsia="en-US" w:bidi="ar-SA"/>
        </w:rPr>
        <w:t>Nelson Registry Nos. 12206 and 12207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2972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1708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153 A.C.W.S. (3d) 556</w:t>
      </w:r>
    </w:p>
    <w:p>
      <w:pPr>
        <w:spacing w:before="120" w:line="260" w:lineRule="atLeast"/>
        <w:rPr>
          <w:lang w:val="en-US" w:eastAsia="en-US" w:bidi="ar-SA"/>
        </w:rPr>
      </w:pPr>
      <w:r>
        <w:rPr>
          <w:rFonts w:ascii="arial" w:eastAsia="arial" w:hAnsi="arial" w:cs="arial"/>
          <w:color w:val="000000"/>
          <w:sz w:val="20"/>
          <w:lang w:val="en-US" w:eastAsia="en-US" w:bidi="ar-SA"/>
        </w:rPr>
        <w:t>Between Timothy Wiseman, Plaintiff, and Her Majesty the Queen in Right of the Province of British Columbia and Yellowhead Road &amp; Bridge (Kootenay) Ltd., Defendants (Registry No. 12206) And between Maeghan Wiseman, an infant by way of her Litigation Guardian, Ruth Elizabeth Heuther, and Tyler Blaisdell Wiseman, an infant by way of his Litigation Guardian, Ruth Elizabeth Heuther, and Ruth Elizabeth Heuther, Plaintiffs, and Yellowhead Road &amp; Bridge (Kootenay) Ltd., Her Majesty the Queen in Right of the Province of British Columbia as represented by the Ministry of Transportation &amp; Highways, and Timothy George Wiseman, Defendants, and Yellowhead Road &amp; Bridge (Kootenay) Ltd., Her Majesty the Queen in Right of the Province of British Columbia as represented by the Ministry of Transportation &amp; Highways, Third Parties (Registry No. 12207)</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6" style="position:absolute;z-index:2516776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9" w:name="Keywords_18"/>
      <w:bookmarkEnd w:id="119"/>
      <w:r>
        <w:rPr>
          <w:rFonts w:ascii="arial" w:eastAsia="arial" w:hAnsi="arial" w:cs="arial"/>
          <w:b/>
          <w:color w:val="000000"/>
          <w:sz w:val="20"/>
          <w:lang w:val="en-US" w:eastAsia="en-US" w:bidi="ar-SA"/>
        </w:rPr>
        <w:t>Civil procedure — Actions — Commencement of — Avoidance of multiplicity of proceedings — Application for directions regarding two personal injury actions arising out of same motor vehicle accident — Father and children commenced separate actions arising out of motor vehicle accident in which children's mother died — Father was defendant in children's action — Father's action stayed — Children's action to be amended to include father as persons for whose benefit action was brought — Father's right to sue as plaintiff was subsumed by s. 6 of Family Compensation Act into collective rights of all qualified survivors — Right to sue as defendant surrendered as condition of claim for indemnity under automobile insurance and assigned to insurer.</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Civil procedure — Disposition without trial — Stay of action — Application for directions regarding two personal injury actions arising out of same motor vehicle accident — Father and children commenced separate actions arising out of motor vehicle accident in which children's mother died — Father was defendant in children's action — Father's action stayed — Children's action to be amended to include father as persons for whose benefit action was brought — Father's right to sue as plaintiff was subsumed by s. 6 of Family Compensation Act into collective rights of all qualified survivors — Right to sue as defendant surrendered as condition of claim for indemnity under automobile insurance and assigned to insurer.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0" w:name="Case Summary_15"/>
            <w:bookmarkEnd w:id="12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for directions regarding two personal injury actions arising out of same motor vehicle accident -- Plaintiff Wiseman was driving a vehicle in which his children and wife were passengers -- Motor vehicle skidded into river -- Wiseman's wife died and children sustained injuries -- Children and Wiseman commenced separate actions under Family Compensation Act -- Wiseman defendant in children's action -- Pursuant to s. 6 of Family Compensation Act, only one action could be brought for same subject matter -- HELD: Wiseman's action was stayed -- Children's action to be amended to include Wiseman as one of the persons for whose benefit action was brought -- Wiseman, whether as trustee or otherwise could not sue himself -- In law Wiseman had no standing, personally, to litigate questions of liability -- His right to do so as a plaintiff had been mandatorily subsumed by s. 6 into collective rights of all qualified survivors, while his right to do so as a defendant has been surrendered as condition of his claim for indemnity under his automobile insurance and assigned to insurer who had duty to defend the case and the contractual right to do so as it saw fit. </w:t>
            </w:r>
            <w:r>
              <w:rPr>
                <w:lang w:val="en-US" w:eastAsia="en-US" w:bidi="ar-SA"/>
              </w:rPr>
              <w:cr/>
            </w:r>
          </w:p>
          <w:p>
            <w:pPr>
              <w:rPr>
                <w:lang w:val="en-US" w:eastAsia="en-US" w:bidi="ar-SA"/>
              </w:rPr>
            </w:pPr>
          </w:p>
        </w:tc>
      </w:tr>
    </w:tbl>
    <w:p>
      <w:pPr>
        <w:jc w:val="both"/>
        <w:rPr>
          <w:lang w:val="en-US" w:eastAsia="en-US" w:bidi="ar-SA"/>
        </w:rPr>
      </w:pPr>
      <w:bookmarkStart w:id="121" w:name="Legislation Cited_14"/>
      <w:bookmarkEnd w:id="12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17" style="position:absolute;z-index:2517288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Rules of Court, Rule 1(12)</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Family Compensation Act, </w:t>
      </w:r>
      <w:hyperlink r:id="rId340" w:history="1">
        <w:r>
          <w:rPr>
            <w:rFonts w:ascii="arial" w:eastAsia="arial" w:hAnsi="arial" w:cs="arial"/>
            <w:i/>
            <w:color w:val="0077CC"/>
            <w:sz w:val="20"/>
            <w:u w:val="single"/>
            <w:shd w:val="clear" w:color="auto" w:fill="FFFFFF"/>
            <w:lang w:val="en-US" w:eastAsia="en-US" w:bidi="ar-SA"/>
          </w:rPr>
          <w:t>R.S.B.C. 1996 c. 126, s. 3</w:t>
        </w:r>
      </w:hyperlink>
      <w:r>
        <w:rPr>
          <w:rFonts w:ascii="arial" w:eastAsia="arial" w:hAnsi="arial" w:cs="arial"/>
          <w:color w:val="000000"/>
          <w:sz w:val="20"/>
          <w:lang w:val="en-US" w:eastAsia="en-US" w:bidi="ar-SA"/>
        </w:rPr>
        <w:t>(4), s. 6</w:t>
      </w:r>
      <w:r>
        <w:rPr>
          <w:lang w:val="en-US" w:eastAsia="en-US" w:bidi="ar-SA"/>
        </w:rPr>
        <w:cr/>
      </w:r>
    </w:p>
    <w:p>
      <w:pPr>
        <w:keepNext/>
        <w:spacing w:before="240" w:line="340" w:lineRule="atLeast"/>
        <w:rPr>
          <w:lang w:val="en-US" w:eastAsia="en-US" w:bidi="ar-SA"/>
        </w:rPr>
      </w:pPr>
      <w:bookmarkStart w:id="122" w:name="Counsel_18"/>
      <w:bookmarkEnd w:id="12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18" style="position:absolute;z-index:2517800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Timothy Wiseman, Action No. 12206: T.W. Pearkes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Plaintiffs, Action No. 12207: R. Spilker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B.M.S. Bandechha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Yellowhead Road &amp; Bridge (Kootenay) Ltd.: O.G. Jones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Timothy Wiseman, Action No. 12207: E. Hughes</w:t>
      </w:r>
      <w:r>
        <w:rPr>
          <w:lang w:val="en-US" w:eastAsia="en-US" w:bidi="ar-SA"/>
        </w:rPr>
        <w:cr/>
      </w:r>
    </w:p>
    <w:p>
      <w:pPr>
        <w:spacing w:after="240"/>
        <w:rPr>
          <w:lang w:val="en-US" w:eastAsia="en-US" w:bidi="ar-SA"/>
        </w:rPr>
      </w:pPr>
      <w:bookmarkStart w:id="123" w:name="Judgment_18"/>
      <w:bookmarkEnd w:id="123"/>
      <w:r>
        <w:pict>
          <v:line id="_x0000_s1119" style="position:absolute;z-index:25183129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4" w:name="MASTER BOLTON_0"/>
            <w:bookmarkEnd w:id="124"/>
            <w:r>
              <w:rPr>
                <w:rFonts w:ascii="arial" w:eastAsia="arial" w:hAnsi="arial" w:cs="arial"/>
                <w:b/>
                <w:color w:val="000000"/>
                <w:sz w:val="30"/>
                <w:lang w:val="en-US" w:eastAsia="en-US" w:bidi="ar-SA"/>
              </w:rPr>
              <w:t>MASTER BOLTON</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raises the perplexing question of how a proceeding can be structured to allow a person to be, in the same action, both a claimant under the  and a defendant at the suit of other family members.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began with a tragic car accident on Remembrance Day, 2004. Dr. Wiseman, a dentist from Silverton in the Slocan Valley, was returning home with his wife and children from a visit to Ainsworth. He was driving up the lovely road alongside the Kaslo River, after, I believe, the first real snowfall of the year, when the car skidded on ice. Whether the skid resulted from faulty design or inspection and clearing of the road, or from some momentary error of judgment on Dr. Wiseman's part, remains to be resolved by this litigation. Whatever the cause, the car ended up in the river. The two children were injured, though not all that badly. By some turn of fate Dr. Wiseman was, apparently, completely unharmed. But by a further malign twist of fate, his wife was killed.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Six months later, separate writs were issued by the children, acting through their maternal grandmother and litigation guardian, Ms. Heuther, and by Dr. Wiseman. Dr. Wiseman's writ was filed under No. 12206. Mr. Pearkes is counsel for the plaintiff in that action. Immediately thereafter the infants' writ was filed under No. 12207, with Mr. Spilker as plaintiffs' counsel. Both purport to claim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The children also claim for their own injuries. Dr. Wiseman's action makes no claim for personal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in the infants' action are Dr. Wiseman, the Crown on behalf of the Ministry of Transportation and Highways, and Yellowhead Road &amp; Bridge (Kootenay) Ltd. ("Yellowhead"), the highway maintenance contractor. In Dr. Wiseman's action the defendants are the Crown and Yellowhead. Dr. Wiseman, acting through his insurer, has taken third party proceedings against the Crown and Yellowhead in the infants'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procedural difficulty arises from s. 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6.</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Only one action may be brought for the same subject matter.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Many years of British Columbia cases, and decisions from other Provinces and Commonwealth jurisdictions invoking similar legislation, have affirmed that the section means what it appears to mean - there can be only one proceeding for wrongful death brought by a deceased's dependants, prosecuted on behalf of all claimants.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This legislation poses real difficulties where, as here, one of the claimants must also be a defendant in the action. The sad facts of these proceedings cannot be common, but a case where a survivor having an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claim is also one of two or more defendants can hardly be unique. Nevertheless, counsel have been unable to find a single case dealing with the issue, despite what appears to be assiduous research. Perhaps in other such cases no issue has arisen because the survivor has been content to have his defence handled by an insurer and his claim by common counsel for all survivors. Such is not the case here; Dr. Wiseman maintains that he has a right to be separately represented by counsel of his own choosing.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Everyone agrees that by virtue of s. 6 the two actions cannot co-exist as separate proceedings. But they cannot agree how to deal with the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I heard the matter in chambers, I was not convinced that any of the solutions proposed by the various factions were entirely satisfactory. I told counsel I would consider the matter and probably issue a memorandum, inviting further representations, rather than a decision supported by reasons for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September 28, 2006 I did forward to counsel a memorandum, suggesting that a possible solution lay in a little constructive delay; directions that the liability and damages issues be severed, that liability be tried first, and that the applications to (essentially) consolidate the two existing actions be adjourned until after the conclusion of the liability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not go into the reasoning behind and anticipated consequences following upon this legal sleight of hand. To my quiet astonishment it was not met with universal applause. In fact, everyone disagreed with it. So counsel got together and agreed to submit written argument.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Not surprisingly, the second time around the submissions were more focussed.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Pearkes and Mr. Spilker, counsel for the respective plaintiffs, as they did in their original submissions, put their faith in decisions of this Court at first instance and on appeal in </w:t>
      </w:r>
      <w:r>
        <w:rPr>
          <w:rFonts w:ascii="arial" w:eastAsia="arial" w:hAnsi="arial" w:cs="arial"/>
          <w:b/>
          <w:i/>
          <w:color w:val="000000"/>
          <w:sz w:val="20"/>
          <w:lang w:val="en-US" w:eastAsia="en-US" w:bidi="ar-SA"/>
        </w:rPr>
        <w:t>Guss v. Daigle</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[1993] B.C.J. No. 1532</w:t>
        </w:r>
      </w:hyperlink>
      <w:r>
        <w:rPr>
          <w:rFonts w:ascii="arial" w:eastAsia="arial" w:hAnsi="arial" w:cs="arial"/>
          <w:color w:val="000000"/>
          <w:sz w:val="20"/>
          <w:lang w:val="en-US" w:eastAsia="en-US" w:bidi="ar-SA"/>
        </w:rPr>
        <w:t xml:space="preserve">, New Westminster Registry No. C912026, September 23, 1992 (per Master Joyce) and November 10, 1992, </w:t>
      </w:r>
      <w:hyperlink r:id="rId342" w:history="1">
        <w:r>
          <w:rPr>
            <w:rFonts w:ascii="arial" w:eastAsia="arial" w:hAnsi="arial" w:cs="arial"/>
            <w:i/>
            <w:color w:val="0077CC"/>
            <w:sz w:val="20"/>
            <w:u w:val="single"/>
            <w:shd w:val="clear" w:color="auto" w:fill="FFFFFF"/>
            <w:lang w:val="en-US" w:eastAsia="en-US" w:bidi="ar-SA"/>
          </w:rPr>
          <w:t>[1993] B.C.J. No. 1531</w:t>
        </w:r>
      </w:hyperlink>
      <w:r>
        <w:rPr>
          <w:rFonts w:ascii="arial" w:eastAsia="arial" w:hAnsi="arial" w:cs="arial"/>
          <w:color w:val="000000"/>
          <w:sz w:val="20"/>
          <w:lang w:val="en-US" w:eastAsia="en-US" w:bidi="ar-SA"/>
        </w:rPr>
        <w:t xml:space="preserve"> (per Josephson J.). In that case there were significant irreconcilable differences between two groups of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claimants. In both decisions, the Court concluded that the differences were such that the groups could not be represented by the same counsel. The solution was found to lie in requiring one writ, on behalf of all claimants, but with two separate statements of claim filed by solicitors who would continue to separately represent the two groups.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Court recognized that allowing separate representation of plaintiffs was contrary to a long-established rule, but held that as a rule of practice it could be overridden in exceptional cases by special leave. An order was made accordingly, despite the obvious potential for procedural difficulties, because the difficulties posed by any alternative were even graver.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my opinion, however, there is a crucial distinction between </w:t>
      </w:r>
      <w:r>
        <w:rPr>
          <w:rFonts w:ascii="arial" w:eastAsia="arial" w:hAnsi="arial" w:cs="arial"/>
          <w:b/>
          <w:i/>
          <w:color w:val="000000"/>
          <w:sz w:val="20"/>
          <w:lang w:val="en-US" w:eastAsia="en-US" w:bidi="ar-SA"/>
        </w:rPr>
        <w:t>Guss v. Daigle</w:t>
      </w:r>
      <w:r>
        <w:rPr>
          <w:rFonts w:ascii="arial" w:eastAsia="arial" w:hAnsi="arial" w:cs="arial"/>
          <w:color w:val="000000"/>
          <w:sz w:val="20"/>
          <w:lang w:val="en-US" w:eastAsia="en-US" w:bidi="ar-SA"/>
        </w:rPr>
        <w:t xml:space="preserve"> and the present case: in the former, none of the claimants was also a defendant. There is another rule of practice, that one person cannot be both plaintiff and defendant in the same proceeding. To the extent that this is a mere rule of practice it would again be possible to override it if the justice of an exceptional case required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But here the difficulties are, in my view, insurmountable. The separate statement of claim contemplated by Dr. Wiseman would be issued in a style of proceeding where he is a defendant. In his statement of claim he could not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himself, and consequently the pleadings would disclose no cause of action against one of the defendants. That a pleading disclose an arguable cause of action is not a mere rule of practice but a fundamental principle of law. It is, in my respectful opinion, impossible to sanction the filing of a statement of claim that discloses no cause of action against one of the defendants, and I must therefore reject the submissions of counsel for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for Dr. Wiseman as defendant (that is, in reality, counsel for the insurers who are obliged to defend and indemnify him) proposes that Dr. Wiseman's Action No. 12206 be discontinued and that he be permitted to file a third party notice in No. 12207. But in my view, whether or not a third party notice can be said to give rise to a separate action, the result is still two separate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claims advancing potentially different theories both as to liability and damages, and is expressly forbidden by s.6 of the Act and contrary to the rationale of s.6 discussed in cases such as </w:t>
      </w:r>
      <w:r>
        <w:rPr>
          <w:rFonts w:ascii="arial" w:eastAsia="arial" w:hAnsi="arial" w:cs="arial"/>
          <w:b/>
          <w:i/>
          <w:color w:val="000000"/>
          <w:sz w:val="20"/>
          <w:lang w:val="en-US" w:eastAsia="en-US" w:bidi="ar-SA"/>
        </w:rPr>
        <w:t>Smith v. Ross</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[2000] B.C.J. No. 2531</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Which brings us to the argument on behalf of the Crown and Yellowhead where, finally, after a seemingly endless vista of obstacles and negativity, one of us can find something positive to say about someone else's proposal.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submissions in chambers, counsel for the Crown referred, in the course of a fairly lengthy argument, to the proposition that the person named as the representative plaintiff could act for the benefit of Dr. Wiseman without any conflict of interest. This was presented as a more or less bald assertion which at the time I did not find persuasive or even particularly helpful.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in his written submissions, counsel, now supported by counsel for Yellowhead, has expanded upon and provided authority for this proposition that I now do indeed find persuasive. In particular, in one of the marvels of comity made possible by the international reach of the English common law, a decision from equatorial Trinidad and Tobago, on appeal to the post-imperial Privy Council in London, has proved most helpful to resolving this case originating in the snow and ice of the West Kootenays.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Austin v. Hart</w:t>
      </w:r>
      <w:r>
        <w:rPr>
          <w:rFonts w:ascii="arial" w:eastAsia="arial" w:hAnsi="arial" w:cs="arial"/>
          <w:color w:val="000000"/>
          <w:sz w:val="20"/>
          <w:lang w:val="en-US" w:eastAsia="en-US" w:bidi="ar-SA"/>
        </w:rPr>
        <w:t xml:space="preserve">, [1983] 2 A.C. 640 their Lordships were dealing with Trinidadian legislation which, like the British Columbia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was based on Lord Campbell's Act of 1846. The issue turned on the local equivalent of s.3(4) of the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 in essence providing that the primary right to bring the action is that of the personal representative of the deceased but that if no such action is brought within six months any qualified survivor may commence a representative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course of his reasons, Lord Templeman held: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benefit of a right of action for injuries resulting in death thus belongs to the specified dependants who are relatives of the deceased. The benefit of the right of action does not form part of the estate of the deceased or devolve under the provisions of his will. The Ordinance provides machinery for the action to be brought by personal representatives of the deceased as trustees for the dependants or, in certain circumstances, for </w:t>
      </w:r>
      <w:r>
        <w:rPr>
          <w:rFonts w:ascii="arial" w:eastAsia="arial" w:hAnsi="arial" w:cs="arial"/>
          <w:color w:val="000000"/>
          <w:sz w:val="20"/>
          <w:u w:val="single"/>
          <w:lang w:val="en-US" w:eastAsia="en-US" w:bidi="ar-SA"/>
        </w:rPr>
        <w:t>one or more of the dependants themselves to bring the action as trustee or trustees for all the dependants.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[My emphasis]</w:t>
            </w:r>
          </w:p>
        </w:tc>
        <w:tc>
          <w:tcPr>
            <w:tcW w:w="245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present case no personal representative commenced action, so the actions by the litigation guardian of the infant children and by Dr. Wiseman must be considered to be representative actions where the plaintiffs are trustees for all potential claimants. For the reasons I have given, I am satisfied that Dr. Wiseman, whether as trustee or otherwise, cannot sue himself, and I will henceforth deal only with the guardian's claim, Action No. 12207.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Bandechha submits that there is a close analogy to be drawn between the present case and actions by a personal representative of an estate against one of the beneficiaries, where an executor may quite properly maintain an action on behalf of the estate against one of several beneficiaries, even though the beneficiary will partially benefit, as beneficiary in the estate, from the loss he might sustain as an unsuccessful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the analogy is persuasive. In the estate case, counsel for an executor has no divided loyalties if he is instructed to sue a beneficiary, because his duty is to the executor, not to the beneficiaries the executor indirectly represents. Similarly, if Dr. Wiseman is included in the list of people on whose behalf a claim has been made by another representative plaintiff, in this case the guardian Ms. Heuther, counsel for the plaintiff faces no conflict of duty in prosecuting a claim against Dr. Wiseman because his client is Ms. Heuther, as trustee. The trustee herself owes a duty to the class of claimants as a whole, and can therefore prosecute an action against the one for the benefit of the whole, just like an executor, and would be no more required to heed the private interests of Dr. Wiseman, as opposed to the collective interests of the class, than would an executor be required to give effect to a defendant beneficiary's private interest in, for example, discontinuing or compromising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Counsel for Dr. Wiseman as defendant decries the estate litigation analogy, referring to </w:t>
      </w:r>
      <w:r>
        <w:rPr>
          <w:rFonts w:ascii="arial" w:eastAsia="arial" w:hAnsi="arial" w:cs="arial"/>
          <w:b/>
          <w:i/>
          <w:color w:val="000000"/>
          <w:sz w:val="20"/>
          <w:lang w:val="en-US" w:eastAsia="en-US" w:bidi="ar-SA"/>
        </w:rPr>
        <w:t>Byrn v. Paterson Steamships Ltd.</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[1936] O.R. 311</w:t>
        </w:r>
      </w:hyperlink>
      <w:r>
        <w:rPr>
          <w:rFonts w:ascii="arial" w:eastAsia="arial" w:hAnsi="arial" w:cs="arial"/>
          <w:color w:val="000000"/>
          <w:sz w:val="20"/>
          <w:lang w:val="en-US" w:eastAsia="en-US" w:bidi="ar-SA"/>
        </w:rPr>
        <w:t>, a decision of the Ontario High Court of Justice. The court there determined that an administrator bringing an action under Ontario's equivalent of s. 3(4) does not do so as a representative of the estate. This is undoubtedly true, but in my respectful opinion that fact does not detract from the utility of the analogy at 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essential point of comparison is that in both situations a representative of a group is purporting to maintain an action in her representative capacity for the group as a whole against an individual member of the group. An executor can do it, and so, in my respectful opinion, can Ms. Heuther.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It is true that Ms. Heuther may face some real dilemmas if Dr. Wiseman perceives his interests as diverging from his children's. But if this divergence of interest relates to the assessment of damages, then the dilemma is an unavoidable result of the law of the Province, being expressly and directly caused by s. 6 of the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and its insistence that only one action may be brought. Moreover, no scenario envisaging such a divergence of interest has been proposed to me. I certainly cannot rule out the possibility, but it is mere speculation, and in any event, as I have said, flows inexorably from the express provisions of the Act. The only appropriate way to deal with such speculation is to provide liberty to apply for directions, in the event that a particular problem does develop.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potential for a divergence of interest is more real when it comes to questions of liability. Here Mr. Pearkes did advance an entirely plausible scenario - an argument of inevitable accident would materially assist Dr. Wiseman, as defendant, and materially damage the prospects of his children as plaintiffs. In the words of Mr. Pearkes' written submissions, he, as counsel, must "be able to advocate liability issues as forcefully as is in Dr. Wiseman's best interests."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might speculate that here we may have the reason why this problem has surfaced now, and not arisen in other cases where a FCA claimant is also a defendant. Faced with the prospect of being found wholly or partially liable for the death of his wife, the mother of his children, it is absolutely understandable if Dr. Wiseman would go to extreme lengths to demonstrate that he was in fact blameless. Paying his own lawyer to argue liability, in case I.C.B.C. does not, in his opinion, do it forcefully enough (for example, by abandoning the extraordinarily difficult "inevitable accident" defence) would be a small price to pay if my speculation is accurate.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But no matter what the motivation, the answer - harsh but far from unsympathetic - must be that in law Dr. Wiseman has no standing, personally, to litigate questions of liability. His right to do so as a plaintiff has been mandatorily subsumed by s. 6 into the collective rights of all qualified survivors, while his right to do so as a defendant has been surrendered as a condition of his claim for indemnity under his contract of automobile insurance, and assigned to the insurer who has a duty to defend the case and the contractual right to do so as it sees fit.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the circumstances, I am satisfied that only one of the two current actions can continue. I am satisfied that in Action No. 12207 Ms. Heuther, as trustee for all persons entitled to claim under the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can properly act on behalf of Dr. Wiseman as well as his infant children. If he were to conclude that the trustee were acting contrary to his interests, strictly speaking he may have to commence a separate action for breach of trust. In the circumstances I think it is preferable to grant him standing and leave to bring an application for directions in this proceeding, but only with respect to a position taken or proposed by the representative plaintiffs. But in general I am satisfied that counsel for the trustee owes no duty to Dr. Wiseman and may examine him for discovery and cross-examine him at trial without hindrance.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do remain concerned about the ability of Mr. Spilker to obtain from Dr. Wiseman information advancing the survivors' claims for damages. But that problem seems to me to be inevitable, no matter which of the proposed solutions is adopted. I still think that it may be necessary to sever the issues of liability and damages, so that everyone can properly prepare to deal with quantum once the liability issues have been determined, but in view of the universal condemnation of my earlier suggestion to that effect, we will leave that issue for another day. And in fact the potential problems I foresee in the trustee's solicitor obtaining instructions from the defendant Dr. Wiseman may be no more fraught with difficulty than routine motor vehicle litigation where one driver is represented, as defendant, by counsel appointed by an insurer but is perfectly free to instruct his own counsel as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Some of the orders that I am about to make are not expressly included in the notices of motion, but the whole issue has been dealt with, essentially, as a motion for directions, and I am satisfied that the necessary orders and directions are authorized by Rule 1(12).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Action No. 12206 is stayed.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Action No. 12207 shall be amended to include Timothy Wiseman as one of the persons for whose benefit the action is brought.*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Costs incurred to date by any party to Action No. 12206 be taxed and paid as part of any costs awarded to that party in Action No. 12207.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Any party has liberty to apply for further directions, with particular leave to Dr. Wiseman as specified in paragraph 32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Costs of this application in the cause of Action No. 12207.</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BOLTON</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Zhu v. Aston Martin Lagonda Ltd., [2017] B.C.J. No. 1193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L. Muir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S153599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1193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1032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Jessica Ying Zhu, Plaintiff, and Aston Martin Lagonda Limited, Ford Motor Company, Visteon Systems, LLC, Pi Innovo Ltd. and Pi Innovo LLC, Defendants, and Ho International Airways Inc., 0880984 B.C. Ltd., dba MCL Motor Cars (2010),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5" w:name="Keywords_19"/>
      <w:bookmarkEnd w:id="125"/>
      <w:r>
        <w:rPr>
          <w:rFonts w:ascii="arial" w:eastAsia="arial" w:hAnsi="arial" w:cs="arial"/>
          <w:b/>
          <w:color w:val="000000"/>
          <w:sz w:val="20"/>
          <w:lang w:val="en-US" w:eastAsia="en-US" w:bidi="ar-SA"/>
        </w:rPr>
        <w:t>Civil litigation — Civil procedure — Discovery — Production and inspection of documents — Relevancy — Application by plaintiff for document production allowed in part — Plaintiff alleged her vehicle accelerated uncontrollably to speeds exceeding 220 kilometres per hour, causing multi-vehicle collision, multiple injuries, and one fatality — Plaintiff sought extensive document production from Ford Motor Company — Although plaintiff's request was overly broad and lacked specificity, Ford's production was insufficient — Ford was ordered to produce documents regarding knowledge of unintended acceleration between 2001 and 2005, incorporation and accident prevention properties of brake-throttle override systems, and software system maintenance up to 2007.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Discovery — Inspection of documents — Application by plaintiff for document production allowed in part — Plaintiff alleged her vehicle accelerated uncontrollably to speeds exceeding 220 kilometres per hour, causing multi-vehicle collision, multiple injuries, and one fatality — Plaintiff sought extensive document production from Ford Motor Company — Although plaintiff's request was overly broad and lacked specificity, Ford's production was insufficient — Ford was ordered to produce documents regarding knowledge of unintended acceleration between 2001 and 2005, incorporation and accident prevention properties of brake-throttle override systems, and software system maintenance up to 2007.</w:t>
      </w:r>
    </w:p>
    <w:p>
      <w:pPr>
        <w:jc w:val="both"/>
        <w:rPr>
          <w:rFonts w:ascii="arial" w:eastAsia="arial" w:hAnsi="arial" w:cs="arial"/>
          <w:sz w:val="20"/>
          <w:lang w:val="en-US" w:eastAsia="en-US" w:bidi="ar-SA"/>
        </w:rPr>
      </w:pPr>
      <w:bookmarkStart w:id="126" w:name="Legislation Cited_15"/>
      <w:bookmarkEnd w:id="1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2"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7-1(10), Rule 7-1(11), Rule 7-1(14)(b)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7" w:name="Counsel_19"/>
      <w:bookmarkEnd w:id="12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J.L. Thornback, and M.L. Segal.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Ford Motor Company: I. Giroday.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Aston Martin Lagonda Limited: J.D. Virgin.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0880984 B.C. Ltd. dba MCL Motor Cars (2010): J.A. Vamplew.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Visteon Systems, LLC, Pi Innovo Ltd. and Pi Innovo LLC, and Third Party, Ho International Airways Inc.: Not appearing for this application.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8" w:name="Judgment_19"/>
      <w:bookmarkEnd w:id="128"/>
      <w:r>
        <w:pict>
          <v:line id="_x0000_s1124"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9" w:name="MASTER L. MUIR"/>
            <w:bookmarkEnd w:id="129"/>
            <w:r>
              <w:rPr>
                <w:rFonts w:ascii="arial" w:eastAsia="arial" w:hAnsi="arial" w:cs="arial"/>
                <w:b/>
                <w:color w:val="000000"/>
                <w:sz w:val="30"/>
                <w:lang w:val="en-US" w:eastAsia="en-US" w:bidi="ar-SA"/>
              </w:rPr>
              <w:t>MASTER L. MUIR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for extensive production of documents from the defendant, Ford Motor Company ("Ford"), with respect to what are known generally as brake-throttle override ("BTO")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results from a motor vehicle accident that occurred on May 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driving her 2007 Aston Martin DB9 ("DB9") on Westminster Highway, Richmond, B.C., when it is alleged that the vehicle began to accelerate uncontrollably.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Despite efforts to stop or slow the vehicle, it accelerated to a speed approaching 220 kilometers per hour. The plaintiff attempted to avoid other traffic, but at the intersection with Knight Street, she was faced with idling traffic and she collided into the rear of a vehicle causing a chain reaction collision involving eight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alleged that the plaintiff, her passenger, and the occupant of another vehicle were critically injured and that the occupant of another vehicle was killed.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amended notice of civil claim filed June 23, 2016, it is alleged that the accident was caused by the lack of a BTO system and by defects in the DB9 that caused the unintended acceleration.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application is brought pursuant to Rule 7-1(14)(b)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which allows the court to order listing and production of documents demanded under Rules 7-1(10) or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Rule 7-1(11) provides for production of documents relating to any or all matters in question in the action. The test is closer to that under the former Rules, commonly known as the </w:t>
      </w:r>
      <w:r>
        <w:rPr>
          <w:rFonts w:ascii="arial" w:eastAsia="arial" w:hAnsi="arial" w:cs="arial"/>
          <w:i/>
          <w:color w:val="000000"/>
          <w:sz w:val="20"/>
          <w:lang w:val="en-US" w:eastAsia="en-US" w:bidi="ar-SA"/>
        </w:rPr>
        <w:t>Peruvian Guano</w:t>
      </w:r>
      <w:r>
        <w:rPr>
          <w:rFonts w:ascii="arial" w:eastAsia="arial" w:hAnsi="arial" w:cs="arial"/>
          <w:color w:val="000000"/>
          <w:sz w:val="20"/>
          <w:lang w:val="en-US" w:eastAsia="en-US" w:bidi="ar-SA"/>
        </w:rPr>
        <w:t xml:space="preserve"> test: see </w:t>
      </w:r>
      <w:r>
        <w:rPr>
          <w:rFonts w:ascii="arial" w:eastAsia="arial" w:hAnsi="arial" w:cs="arial"/>
          <w:i/>
          <w:color w:val="000000"/>
          <w:sz w:val="20"/>
          <w:lang w:val="en-US" w:eastAsia="en-US" w:bidi="ar-SA"/>
        </w:rPr>
        <w:t>Global Pacific Concepts Inc. v. Owners of Strata Plan NW 141</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2011 BCSC 1752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Here, the plaintiff seeks production of the following documents under both Rules 7-1(10) and 7-1(11):</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two weeks, Ford list and produce documents related to the reasons Ford decided to incorporate BTO systems into Ford and Ford subsidiary vehicles, including:</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summarizing the design intent of BTO systems, such as system design specifications or requirement specifications;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memos, emails, and other internal correspondence leading to the decisions to:</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develop or purchase BTO systems for Ford or Ford subsidiary vehicles, including:</w:t>
      </w:r>
    </w:p>
    <w:p>
      <w:pPr>
        <w:numPr>
          <w:numId w:val="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Ford's Brake Over Accelerator system ("BOA") for North American vehicles; and</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systems implemented for Ford of Europe vehicles;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incorporate BOA into all Ford vehicles manufactured after January 1, 2011;</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correspondence and newsletters provided to Ford dealers and members of Ford Fleet regarding the introduction of BTO systems;</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communications with regulators and media explaining why Ford decided to implement BTO systems;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marketing material explaining the purpose or safety benefits of BTO systems;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incident or accident investigations which consider the need for or recommend BTO systems.</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assessments that consider hazards of unintended acceleration and benefits of BTO systems.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research into the implementation of BTO by Ford competitors before 2011.</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two weeks, Ford list and produce documents related to the effectiveness of BTO systems in preventing accidents caused by unintended acceleration, including:</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summarizing the design intent of BTO systems, such as system design specifications or requirement specifications.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Tests and analysis aimed at determining the effectiveness of BTO systems in dealing with unintended acceleration at high speeds, including acceleration caused by stuck or misapplied accelerator pedals.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Correspondence with regulators, including NHTSA, about the need for and effectiveness of BTO systems in Ford and Ford subsidiary vehicles.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related to recalls of Ford vehicles because of unintended acceleration, including acceleration caused by floor mats, in which vehicles with BTO systems were treated differently than vehicles without BTO systems.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Marketing material which makes representations about the purpose, safety benefits, or effectiveness of BTO systems.</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Ford has agreed to produce, if located, the following:</w:t>
      </w:r>
      <w:r>
        <w:rPr>
          <w:rFonts w:ascii="arial" w:eastAsia="arial" w:hAnsi="arial" w:cs="arial"/>
          <w:sz w:val="20"/>
          <w:lang w:val="en-US" w:eastAsia="en-US" w:bidi="ar-SA"/>
        </w:rPr>
        <w:cr/>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from 2001 through 2005 discussing Ford's consideration of a mechanically stuck pedal BOA feature,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research regarding competitor mechanically stuck pedal BOA systems from 2001 through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Ford also takes the position that it does not possess any documents responsive to paragraph 2(d) of the notice of application. It is said that Ford has not conducted any recalls because of unintended acceleration regardless of whether those vehicles were equipped with Ford's stuck pedal BOA feature.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That is disputed by the plaintiff, who points to evidence of recalls on the National Highway Traffic Safety Administration ("NHTSA") website with respect to Ford floor mats where such a distinction was made. Ford's response was that those recalls did not come within the definition of unintended acceleration recalls.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submits this is evidence that Ford is evading its disclosure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Ford submits that it is reasonable that the parties take different views of what is relevant. Ford says that its definition of unintended acceleration is informed by litigation in the 1960s and on. Ford says unintended acceleration is both a perception by the driver that the vehicle is accelerating uncontrollably without their input and the brakes cannot bring the vehicle under control or there is a total failure of the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Ford says those are essential to the definition of unintended acceleration and although a floor mat entrapment can cause a vehicle to accelerate without the intention of the driver, it has no impact on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Ford says it knows that NHTSA recalls are on the web and that the plaintiff is likely aware of all these documents. They are not hiding these documents. However, Ford maintains that this is not an unintended acceleration recall -- it is a floor mat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difficult to see how Ford can take the position that there are no documents responsive to the request made by the plaintiff when the documents that the plaintiff has discovered from the NHTSA website show, for example, in 2014 there was a recall for 2011 Lincoln MKZ vehicles, where the issue is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Your vehicle was originally sold and equipped with optional Lincoln all weather floor mats ... If the driver's side all weather floor mat is not properly installed or moves out of position, it could interfere with the accelerator pedal, </w:t>
      </w:r>
      <w:r>
        <w:rPr>
          <w:rFonts w:ascii="arial" w:eastAsia="arial" w:hAnsi="arial" w:cs="arial"/>
          <w:b/>
          <w:color w:val="000000"/>
          <w:sz w:val="20"/>
          <w:lang w:val="en-US" w:eastAsia="en-US" w:bidi="ar-SA"/>
        </w:rPr>
        <w:t>potentially inhibiting the engine's return to idle, which could result in unintended vehicle speeds</w:t>
      </w:r>
      <w:r>
        <w:rPr>
          <w:rFonts w:ascii="arial" w:eastAsia="arial" w:hAnsi="arial" w:cs="arial"/>
          <w:color w:val="000000"/>
          <w:sz w:val="20"/>
          <w:lang w:val="en-US" w:eastAsia="en-US" w:bidi="ar-SA"/>
        </w:rPr>
        <w:t xml:space="preserve"> and increase the risk of a crash.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also a Defect Information Report about this safety recall which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Vehicles built at HAP after October 31, 2010 are not included in this safety recall action because they are equipped with the Brake Over Accelerator (BOA) feature which, on gasoline (non-hybrid) engine vehicles, reduces requested accelerator pedal engine torque when both the accelerator pedal and brake pedal are in an applied position and the vehicle speed is greater than approximately 10 mph.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Regardless of what definition Ford uses for unintended acceleration, it is clear that the plaintiff was requesting documents of a class that included these produced from the NHTSA website. To state that no such documents exist, without qualifying that statement in any way, is misleading. However, I would not go so far as to say there was any intention on the part of Ford or its counsel to avoid document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material facts relevant to this application are set out in the amended notice of civil claim, as follows:</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DB9 was designed by Aston Martin in cooperation with Ford and Ford subsidiaries. The development program began in 2001. The first production model DB9s were available in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DB9 engine is controlled by two Powertrain Control Modules ("PCMs"). The PCMs receive electronic signals from various sensors throughout the vehicle. The PCMs calculate required settings and transmit output signals to engine components. The PCMs use an electronic engine control design that is common to numerous other Aston Martin, Ford, and Ford subsidiary vehicles.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DB9 engine uses an electronic throttle control system. The accelerator pedal has position sensors which transmit signals to the PCMs. The PCMs calculate the required throttle position from a variety of inputs, including the accelerator pedal signal. The PCMs transmit signals to electric motors which open or close the throttles.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Companies involved in the design and development of the DB9 PCMs included Ford, Aston Martin, Visteon, and Pi Innovo.</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design and development of the DB9, Ford, Aston Martin, Visteon, and Pi Innovo had access to information in the possession of each other company and Ford subsidiaries related to:</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of engines, including electronic engine controls;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modes of electronic engine controls, including electronic throttle control systems,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safety life cycle and risk analysis;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 investigations;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unintended acceleration events;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safety systems, including brake-throttle override systems.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Ford. Aston Martin, Visteon, and Pi Innovo were aware of the following during the design and development of the DB9:</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electronic engine management systems are susceptible to hardware and software failures;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electronic throttle control systems are capable of causing unintended acceleration;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unintended acceleration events had occurred in other vehicles using Ford electronic engine management systems;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accidents, injuries, and death had occurred as a result of unintended acceleration;</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brake-throttle override systems had been implemented in other vehicles and were an effective and cost-efficient means to prevent accidents from occurring as a result of unintended acceleration;</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Ford and Ford subsidiaries had implemented brake-throttle override systems in other vehicles;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power-to-weight ratio of the DB9 was exceptionally high;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risks of an unintended acceleration event in the DB9 were elevated when compared to other vehicles because of the high power-to-weight ratio.</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Ford. Aston Martin, Visteon, and Pi Innovo ought to have implemented a brake- throttle override system in the DB9 but chose not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would not have occurred if Ford, Aston Martin, Visteon, or Pi Innovo had implemented a brake-throttle override in the DB9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its response to a demand for particulars, the defendant Aston Martin Lagonda Limited ("Aston Martin") alleges that Ford: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wrote all of the original software for the CB9 engine management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original engine management system software supplied for the first model year DB9 in 2004 and its calibration, were supplied by Ford Motor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engine management system software for the 2007 Model Year DB9 was the same as the original version supplied by Ford with some minor modifications that included additional vehicle security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can be seen, the plaintiff alleges that the cause of the unintended acceleration was a failure of the electronic engine management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Ford, in its response to civil claim filed May 25, 2016, pleads:</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Ford's knowledge, Ford designed electronic throttle controls do not have hardware or software failures that cause sudden or unintended acceleration. Ford's North American brake-throttle override system, known as "brake over accelerator" (BOA) was not implemented until 2011 and was introduced into Ford vehicles for reasons unrelated to "unintended acceleration events" as described in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claims Ford was negligent in,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failing to include a BTO system in the DB9 design and failing to recall the DB9's PCMs and install a BTO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says the production of the documents requested will allow it to investigate whether a BTO design existed or could have been developed that would have prevented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Further, the plaintiff argues that the documents sought are relevant whether they pre- or post-date the manufacture of the DB9 or the accident. They rely on such decisions as </w:t>
      </w:r>
      <w:r>
        <w:rPr>
          <w:rFonts w:ascii="arial" w:eastAsia="arial" w:hAnsi="arial" w:cs="arial"/>
          <w:i/>
          <w:color w:val="000000"/>
          <w:sz w:val="20"/>
          <w:lang w:val="en-US" w:eastAsia="en-US" w:bidi="ar-SA"/>
        </w:rPr>
        <w:t>Beazley v. Suzuki Motor Corporation</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2010 BCSC 681</w:t>
        </w:r>
      </w:hyperlink>
      <w:r>
        <w:rPr>
          <w:rFonts w:ascii="arial" w:eastAsia="arial" w:hAnsi="arial" w:cs="arial"/>
          <w:color w:val="000000"/>
          <w:sz w:val="20"/>
          <w:lang w:val="en-US" w:eastAsia="en-US" w:bidi="ar-SA"/>
        </w:rPr>
        <w:t xml:space="preserve"> for the propositions that:</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safety concerns, even about different vehicles, are relevant to the defendants' state of the art defence, and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subsequent redesign is relevant to whether the original design was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says that the documents requested are relevant to:</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of the art between the time of manufacture and the date of the accident;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knowledge Ford has about risks of unintended acceleration and potential solutions;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feasibility of designing an effective BTO system;</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effectiveness of BTO systems in preventing unintended acceleration accidents;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safety of the design of the DB9.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Ford says that the documents sought are irrelevant. Its position is that the development of its BOA system had no relationship to the development of the DB9.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Ford acknowledges that it was feasible for it to have developed and incorporated a mechanically stuck pedal BOA feature in the DB9, but says it was not specified or requested to do so by Aston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Further, Ford submits that a mechanically stuck pedal BOA would not have prevented the type of accident the plaintiff alleges occurred - that being unintended acceleration due to a failure in the electronic engine management system and therefore that the BOA system has no relevance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points out, however, that Ford has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placing or allowing to be placed an unanchored aftermarket floor mat on top of the original equipment floor mat in the driver's side foot well of the DB9;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Thus, the plaintiff submits that documents with respect to unintended acceleration caused by floor mats are relevant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Ford points out that after the release of the 2005 DB9, Aston Martin took over the DB9 program and Ford had no involvement with that model program or any subsequent models. Thus, Ford was not involved in the production of the plaintiff's vehicle and it says that it had no obligation to monitor or recall the plaintiff's, or any, DB9. Ford does indicate, however, that it continued to maintain the ETC software during the development of the 2007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Ford says that it did not implement a mechanically stuck pedal BOA feature in any ETC system that it developed in the 2000s.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Ford acknowledges, however, that there was a type of BOA feature incorporated into PCMs supplied by Ford subsidiary suppliers in Europe and that some Ford subsidiary vehicles manufactured in Europe included a BOA type feature. Ford says the plaintiff's requests for documents from Ford subsidiaries are overly broad, undefined, irrelevant, and that compliance with foreign privacy laws will be unduly burdensome to it. Further, many of the Ford subsidiaries involved are no longer related to 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Ford submits that the actions it took in developing the BOA feature for use in Ford vehicles in 2010, the performance of such Ford vehicles, and investigations into Ford vehicles as a whole have no bearing on the issues that arose in the development of the DB9.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Ford points out that the ETC system in the 2005 DB9 was new and unique and that no Ford passenger vehicle at the time or since has contained an ETC configuration like the 2005 DB9.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Ford says that it did not develop and incorporate its mechanically stuck BOA feature until 2010 as it determined that the ETC systems it produced were safe and it had not identified a stuck pedal issue in its vehicles. Ford says the implementation of the BOA feature was in response to its perception that the National Highway Traffic Safety Administration ("NHTSA") in the U.S. would mandate such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Ford notes, however, that neither Canada nor the U.S. has, then or since, mandated BTO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Ford says its development of the BOA system is too remote in time to be relevant to the issues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Ford distinguishes </w:t>
      </w:r>
      <w:r>
        <w:rPr>
          <w:rFonts w:ascii="arial" w:eastAsia="arial" w:hAnsi="arial" w:cs="arial"/>
          <w:i/>
          <w:color w:val="000000"/>
          <w:sz w:val="20"/>
          <w:lang w:val="en-US" w:eastAsia="en-US" w:bidi="ar-SA"/>
        </w:rPr>
        <w:t>Beazley</w:t>
      </w:r>
      <w:r>
        <w:rPr>
          <w:rFonts w:ascii="arial" w:eastAsia="arial" w:hAnsi="arial" w:cs="arial"/>
          <w:color w:val="000000"/>
          <w:sz w:val="20"/>
          <w:lang w:val="en-US" w:eastAsia="en-US" w:bidi="ar-SA"/>
        </w:rPr>
        <w:t xml:space="preserve"> type decisions that later redesign is relevant on the basis that there was no redesign by Ford of the ETC in the DB9. The implementation of the BOA system was predicated on Ford vehicles and had nothing to do with the ETC in the DB9.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do agree with Ford that the plaintiff's document requests are overly broad and in some cases lack specificity. In addition, many are irrelevant to the issues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What Ford has agreed to produce, however, is simply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Ford has agreed to produce documents in its possession from 2001 to 2005 dealing with mechanically stuck pedal BOA systems. That, however, is clearly only part of the puzzle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Paragraphs 28 and 29 of the amended notice of civil claim set out the plaintiff's allegations regarding the knowledge Ford had when developing the DB9 ETC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Those allegations, combined with Ford's admission that a BOA system could have been designed for the DB9, make many of the documents sought regarding knowledge of problems with unintended acceleration -- either due to malfunctioning ETC systems or otherwise, relevant for the period of production and perhaps prior. I will assume that covers the period 2001 to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Given, however, that Ford appears to have had some limited involvement in maintaining the software system up to development of the vehicle in 2007, in my view, its knowledge up to that point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says that documents after that date are relevant to the state of the art defence and that the development of the Ford BOA system falls into the </w:t>
      </w:r>
      <w:r>
        <w:rPr>
          <w:rFonts w:ascii="arial" w:eastAsia="arial" w:hAnsi="arial" w:cs="arial"/>
          <w:i/>
          <w:color w:val="000000"/>
          <w:sz w:val="20"/>
          <w:lang w:val="en-US" w:eastAsia="en-US" w:bidi="ar-SA"/>
        </w:rPr>
        <w:t>Beazley</w:t>
      </w:r>
      <w:r>
        <w:rPr>
          <w:rFonts w:ascii="arial" w:eastAsia="arial" w:hAnsi="arial" w:cs="arial"/>
          <w:color w:val="000000"/>
          <w:sz w:val="20"/>
          <w:lang w:val="en-US" w:eastAsia="en-US" w:bidi="ar-SA"/>
        </w:rPr>
        <w:t xml:space="preserve"> redesign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do not agree. Despite the pleading, there is no evidence that Ford was obliged in any way to continue to monitor or be responsible for the 2007 DB9. Ford's evidence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BOA system developed by Ford was much later in time, was dealing with a quite different ETC system, different vehicles and was specifically directed to mechanically stuck pedal issues. The development of that system, to my mind, is irrelevant to the issues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also says that the order should extend to documents in the possession of Ford subsidiaries. I do not agree. There is no evidence that Ford subsidiaries were involved in any way with the development of the DB9.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simple fact that Ford subsidiaries were incorporating ETCs containing BOAs into vehicles manufactured by them does not make their knowledge relevant, in my view, unless that came to Ford's attention and that would likely be discoverable by documents in Ford's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Of course, this can be further investigated on examinations for discovery, and if additional evidence is obtained there is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Those considerations make the following documents sought in paragraph 1 of the notice of application that are in Ford's possession relevant and producible for the period of 2001-2007:</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related to the reasons Ford decided to incorporate brake-throttle override ("BTO") systems into Ford vehicles, including:</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summarizing the design intent of BTO systems, such as system design specifications or requirement specifications;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marketing material explaining the purpose or safety benefits of BTO systems;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incident or accident investigations which consider the need for or recommend BTO systems.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Risk assessments that consider hazards of unintended acceleration and benefits of BTO systems.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research into the implementation of BTO by Ford competitors.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same considerations make the following documents sought in paragraph 2 of the notice of application that are in Ford's possession relevant and producible for the period 2001-2007:</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related to the effectiveness of BTO systems in preventing accidents caused by unintended acceleration, including: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Tests and analysis aimed at determining the effectiveness of BTO systems in dealing with unintended acceleration at high speeds, including acceleration caused by stuck or misapplied accelerator pedals.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Correspondence with regulators, including NHTSA, about the need for and effectiveness of BTO systems in Ford vehicles.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related to recalls of Ford vehicles because of unintended acceleration, including acceleration caused by floor mats, in which vehicles with BTO systems were treated differently than vehicles without BTO systems.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Marketing material which makes representations about the purpose, safety benefits, or effectiveness of BTO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These are not limited to Ford's definition of unintended acceleration, and specifically extend to documents related to mechanical interference with the accelerator.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Nor are they limited to mechanically stuck pedal BOA systems - but rather extend to documents relating to any BTO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These are limited, however, in that the order applies only to Ford, not to Ford subsidiaries.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Thus, the order will go for production of the following documents for the period 2001 through 2007 that are in the possession of Ford:</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related to the reasons Ford decided to incorporate brake-throttle override ("BTO") systems into Ford vehicles, including:</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summarizing the design intent of BTO systems, such as system design specifications or requirement specifications;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marketing material explaining the purpose or safety benefits of BTO systems;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incident or accident investigations which consider the need for or recommend BTO systems.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Risk assessments that consider hazards of unintended acceleration and benefits of BTO systems.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research into the implementation of BTO by Ford competitors.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related to the effectiveness of BTO systems in preventing accidents caused by unintended acceleration, including:</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Tests and analysis aimed at determining the effectiveness of BTO systems in dealing with unintended acceleration at high speeds, including acceleration caused by stuck or misapplied accelerator pedals.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Correspondence with regulators, including NHTSA, about the need for and effectiveness of BTO systems in Ford vehicles.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related to recalls of Ford vehicles because of unintended acceleration, including acceleration caused by floor mats, in which vehicles with BTO systems were treated differently than vehicles without BTO systems.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Marketing material which makes representations about the purpose, safety benefits, or effectiveness of BTO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of the view that the plaintiff was largely successful on this application and order that she have her costs of this application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0923063 B.C. Ltd. v. JM Food Services Ltd., [2019] B.C.J. No. 621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G.K. Macintosh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3-7, 2018; March 25-29,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S153190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621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553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89 B.L.R. (5th) 297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861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0923063 B.C. Ltd. and Tariq Waheed, Plaintiffs, and JM Food Services Ltd., Freshslice Properties Ltd., and RFSP Equipment &amp; Operating Inc., Defendants, and 0923063 B.C. Ltd.,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jc w:val="both"/>
        <w:rPr>
          <w:rFonts w:ascii="arial" w:eastAsia="arial" w:hAnsi="arial" w:cs="arial"/>
          <w:sz w:val="20"/>
          <w:lang w:val="en-US" w:eastAsia="en-US" w:bidi="ar-SA"/>
        </w:rPr>
      </w:pPr>
      <w:bookmarkStart w:id="130" w:name="Counsel_20"/>
      <w:bookmarkEnd w:id="1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6"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Defendant by Counterclaim: David W. Grunder.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as representative for the Defendants: Tom Horler.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1" w:name="Judgment_20"/>
      <w:bookmarkEnd w:id="131"/>
      <w:r>
        <w:pict>
          <v:line id="_x0000_s1127" style="position:absolute;z-index:251730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2" w:name="G.K. MACINTOSH J."/>
            <w:bookmarkEnd w:id="132"/>
            <w:r>
              <w:rPr>
                <w:rFonts w:ascii="arial" w:eastAsia="arial" w:hAnsi="arial" w:cs="arial"/>
                <w:b/>
                <w:color w:val="000000"/>
                <w:sz w:val="30"/>
                <w:lang w:val="en-US" w:eastAsia="en-US" w:bidi="ar-SA"/>
              </w:rPr>
              <w:t>G.K. MACINTOSH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 franchisee is suing a franchisor for breach of contract. The franchisor counterclaims in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October 18, 2011, the Plaintiff Company became the franchisee to sell Freshslice pizza, when it signed a Standard Franchise Agreement with the franchisor, JM Food Services Ltd. ("JM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Tariq Waheed owns the Plaintiff Company. He was born and educated in Pakistan. He obtained a degree there in economics and political science. He worked in marketing in Pakistan and, later, in London, England. He earned various certifications in marketing.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Waheed moved to Vancouver in February 2011, and soon met Ray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Russell is the founder of the Freshslice pizza business. At the relevant times, the business was operated by JM Food as the franchisor. Mr. Russell is the sole director and the president of that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Russell hired Mr. Waheed, in 2011, as the director of marketing and business development for the Freshslice business. Mr. Waheed worked in that role through part of 2011, but he left that position in October, when his company, the Plaintiff Company, became a Freshslice franchisee. Mr. Waheed had never owned or worked in a restaurant, but he was eager to start. The Plaintiff Company's franchise was located at 8211 Ackroyd Road in Richmond,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Russell testified that Freshslice pizza today has approximately 75 franchises held by 50 franchisees; 1,000 employees, including those working in each of the franchise locations; 20,000 customers a day; and $35 million in revenue annually. This year will be the operation's 20th anniversary.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Waheed guaranteed to JM Food the obligations of the Plaintiff Company. In addition, he is a Plaintiff because he has a stand-alone claim of $25,000 for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Freshslice Properties Ltd. was at the relevant times the entity which leased franchise sites from property owners, and in turn sub-leased them to the franchisees. On October 18, 2011, the day the Plaintiff Company signed the Standard Franchise Agreement, it also signed as the sub-tenant of the Ackroyd Road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RFSP Equipment &amp; Operating Inc. ("RFSP") plays no part in the case. It was named as a Defendant at an early stage, when the Plaintiffs thought it had played a part because the Defendants had accidentally used its letterhead in some relevant correspondence. No application was brought to have the case against RFSP discontinued, and so it remains on the style of cause. When I refer below to the Defendants collectively, the references will not include RFSP.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Notwithstanding the apparent size of the Freshslice operation, and the fact that the Plaintiffs' claims in total are not small (see below), the Defendants elected to be self-represented at trial. Mr. Horler, named beneath the style of cause at the start of these reasons, is not a lawyer. He is the director of franchising and real estate development for Freshslice Properties Ltd.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Financial Statements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Despite many requests from the Plaintiffs to the Defendants to have them to produce their financial statements in this case, the Defendants have never done so. When asked in cross-examination why they have not, Mr. Russell's excuse was that a disgruntled employee destroyed them in 2014 or 2015. That I find to be a fantastic explanation for an operation of this size. Mr. Russell offered no explanation for not producing financial statements after 2015, except to say that the Defendant companies have not operated the business since then, and that another company administers the franchisees today. When I asked Mr. Horler if he had anything to add about the financial information not having been produced, he said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did not bring an application at trial for further production of documents, I suspect in order to avoid a further adjournment of the trial, and they did not apply to add parties, and the case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Company seeks damages for JM Food's breach of duty of good faith, under three heads, in the following amounts:</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 to May 31, 2025 $239,474</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goodwill $100,000</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Waheed seeks damages for conversion in the amount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JM Food counterclaims against the Plaintiff Company, and Mr. Waheed as guarantor, for $40,450.16, as the balance owing on a promissory note to JM Food, plus the Plaintiff Company's unpaid expenses to suppliers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FURTHER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early stages of its franchise, in late 2011 and into 2012, the Plaintiff Company lost money. However, Mr. Waheed grew the business, and the Plaintiff Company generated a profit eventually.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Company was probably not the easiest franchisee for Mr. Russell to deal with. Mr. Waheed complained about the quality of the dough, and the price of some of the other supplies he was receiving from the franchisor. (The Standard Franchise Agreement obligated franchisees to receive their supplies from JM Food or suppliers designated by JM Food.) Both Mr. Waheed and Mr. Russell have strong personalities, with somewhat excitable natures. They disputed matters from time to time that other people could probably have addressed more amicably.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Waheed found that he could grow the Plaintiff Company's business by supplying halal products to meet the requests of the clientele, a significant portion of whom were Muslim. (Halal products, in this case meat products in particular, are those prepared in accordance with Islamic dietary laws.) The franchisor agreed to test halal products in its test kitchen, and, in February 2012, agreed that the Plaintiff Company could sell them. However, Mr. Waheed and Mr. Russell later argued about whether the Plaintiff Company could sell halal meat products exclusively. I find that Mr. Russell led Mr. Waheed to believe the Plaintiff Company could use halal meat products exclusively, although, at trial, Mr. Russell maintained that he never took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Waheed testified that the Plaintiff Company maintained its premises well, and that they were always clean. Witnesses for the Defendants testified that Mr. Waheed maintained the premises poorly, and that they were unsanitary. By February 2013, Mr. Waheed feared that the Defendants were wanting to get rid of the Plaintiff Company as a franchisee, so he took a video at that time which showed that the location was spotless. Of course such a video is not conclusive in proving that the premises were always clean. On that and other issues, defence witnesses always spoke as one at trial against whatever Mr. Waheed said in his testimony. I have not made findings as to credibility against Mr. Waheed based on the fact that two or sometimes three witnesses contradicted him from the other side, on such questions as the cleanliness of the premises. Mr. Russell was a strong leader who demanded loyalty, and I find that the uniformity in defence testimony was driven more by that reality than by what the objective evidence would indicate the facts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Disputes of the sort referred to above festered in the first half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Waheed's claim in conversion for $25,000 arose from events in 2012. I will address the facts related to that claim before carrying on with the narrative of events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summer of 2012, Mr. Waheed expressed interest in acquiring a second franchise. Mr. Russell told him he would have to provide $25,000 as "earnest" money, to show that he was serious in pursuing that possibility. Mr. Waheed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was some evidence that the $25,000 was the first payment for Mr. Waheed acquiring a particular franchise, located in Surrey, but no proposed agreement was ever recorded. The proposal for a second franchise never progressed beyond a general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By October of 2012, Mr. Waheed changed his mind about buying a second franchise. He asked for the return of his $25,000. Mr. Russell emailed later in October that he had no objections to that request. However, the money has never been returned. Mr. Waheed again requested his $25,000, but he learned that in January 2013, JM Food applied the $25,000 to reduce an existing loan from JM Food to the Plaintiff Company. Mr. Waheed never consented to his own $25,000 being used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unresolved dispute over the $25,000 remained as a further irritant between the parties leading into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Another tension from 2012 had arisen when JM Food switched from supplying its franchisees with fresh dough, to supplying them with frozen dough. That required the franchisees to purchase and pay for freezers, which they had not anticipated as an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January 2013, Mr. Waheed sent several emails to JM Food inquiring about the price increases he was experiencing for halal products. He reasonably believed at that time that JM Food accepted him selling halal products only. Even when JM Food, in 2013, raised as an issue that the Plaintiff Company could not supply only halal products, and needed to supply non-halal products as well, Mr. Waheed believed that the question could have been sorted out between the parties. It never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February 7, 2013, Mr. Waheed again wrote to JM Food, requesting the return of his $25,000. On February 16, 2013, JM Food wrote to the Plaintiffs the following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warning letter has been issued to you due to the following defaults as per Freshslice rules and regulations: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leave store with proper Manager to run store while on vacation (was told before hand) Person left in charge does not have any formal training in the Freshslice system which will damage the image of Freshslice due to improper practices. Must have qualified Personnel to run store.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advised not to schedule Mostapha as a regular staff, he is scheduled as an Assistant Manager, Please take off the schedule and find a New Manger [sic] ASAP.</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told to offer Regular meat toppings if they wanted to serve Halal meats, were only serving Halal meet toppings available. Must have both available or we will not allow Halal products.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review these issues ASAP and follow the Freshslice standards, protocols, policies, rule and regulations. I will follow up in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That was the first of three "warning" letters JM Food wrote to the Plaintiffs. "WARNING" was in fact written in large, bold type at the top of the first letter, as the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place great weight on the three warning letters because of their reliance on Article 9.02G of the Standard Franchise Agreement,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9.02 </w:t>
      </w:r>
      <w:r>
        <w:rPr>
          <w:rFonts w:ascii="arial" w:eastAsia="arial" w:hAnsi="arial" w:cs="arial"/>
          <w:b/>
          <w:color w:val="000000"/>
          <w:sz w:val="20"/>
          <w:lang w:val="en-US" w:eastAsia="en-US" w:bidi="ar-SA"/>
        </w:rPr>
        <w:t>Notice of Immediate Termination by FRANCHISOR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FRANCHISOR will have the right, at its option, to terminate this FRANCHISE AGREEMENT and all rights granted the FRANCHISEE hereunder, without affording the FRANCHISEE any opportunity to cure any default (Subject to any provincial laws to the contrary, where provincial law will prevail), effective upon receipt of notice by the FRANCHISEE, addressed as provided in Section 11, upon the occurrence of any of the following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FRANCHISEE has received three notices of material default of a serious nature from the FRANCHISOR within a 12 month period, regardless of whether the defaults were cured by the FRANCHISEE.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phrase, "material default of a serious nature", in paragraph G above, is not defined in the Standard Franchise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Points 1 and 2 in the first warning letter, above, address the same point. When Mr. Waheed was away on vacation, he had left a Mr. Mostapha Selmi in charge as the manager. Mr. Waheed considered Mr. Selmi to be well qualified to manage, and did not know that Mr. Selmi was a former Freshslice employee whom Mr. Russell did not want to have working at any franchise location. Later on, after Mr. Waheed learned that Mr. Russell did not want to have Mr. Selmi employed, he dismissed Mr. Selmi, albeit reluctantly.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Waheed met with Mr. Russell about point 3 in the first warning letter. He believed that Mr. Russell had accepted the Plaintiff Company using all halal products, since that was growing the Plaintiff Company's business, and therefore allowing JM Food to sell more dough, which was a key source of its revenue. JM Food took the position in the first warning letter, and at trial, that the Plaintiff Company had to offer non-halal products as well. The matter was not sorted out before the contractual relationship between the parties came to an end, in June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June 13, 2013, Mr. Waheed raised specific complaints about the quality of the frozen dough he had been receiving.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June 19, 2013, Mr. Russell and Behrad Mehrabkhani attended the Franchise.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attendance did not go well. Tempers flared. There was a physical altercation between Mr. Russell and Mr. Waheed. Mr. Waheed called the police, who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Waheed was taken to Richmond Hospital by ambulance following the physical altercation with Mr.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next day, June 20, 2013, JM Food sent a letter to the Plaintiffs, entitled, "Second Warning of Material Default &amp; Conduct of Franchise Agreement". (The letterhead for this second warning letter was "RFSP Equipment &amp; Operating Inc." but that was a mistake. JM Food was the intended author.) The second warning letter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investigating, meeting with Mr. Bahmanb Afshari, reviewing his note and your emails in regard to accident that happen Nov 15, 2012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June 19, 2013]. During Bahman full day Visit of your Freshslice restaurant, I documented several violations of the franchise agreement and Freshslice Operations Manual among JM Food Services Ltd. &amp; above named company and yourself, many of which had been communicated to you on prior occasions, which together amount to a material default of the Franchise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violations of Freshslice policies and procedures were identified: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Staff Wearing uncleaned uniforms</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Light bulbs out, not being changed in timely fashion</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Lots of product stored in the back blocking emergency/back door exit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Dirty bottom pans with months worth of build up of the Racks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Very expired dough being kept in the pizza prep table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 had physically grabbed CEO of company and started threatening him, Yelling with a very forceful tone telling him and other representatives from head office to get out.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Owner had called Police to location claiming he was being threatened and in danger, which is not the fact, Causing a big scene, ruining his image and that of Freshslice.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your second warning and have defaulted your franchise agreement by the above states items/ Issues. You must make changes asap to uphold the agreement you had read and signed when you started this Partnership. We would like to take a Professional Stance in this situation and Hope you will do the same. If you cannot further action will need to take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Waheed disputed the first five points in the second warning letter as being fabricated, or at least highly exaggerated. Points 6 and 7 refer to the June 19 visit, the facts of which are hotly disputed, each side accusing the other of improper behaviour. However, it is not disputed that Mr. Waheed called the police, and that he was taken to hospital by ambulance. He was discharged, I believe,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next day, June 21, 2013, Mr. Waheed received a phone call from Mark Kielpinski of Wallace &amp; Carey (the food distributor for JM Food), who advised that the Freshslice head office stopped Wallace and Carey from selling and supplying Freshslice products to the Plaintiff Company, with immediate effect. Franchisees were obligated under their agreements with JM Food to purchase their food supplies from Wallace &amp; Carey, except the dough, which I believe came from JM Food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Waheed asked Mr. Kielpinski to confirm in writing that the Plaintiff Company was cut off, which Mr. Kielpinski did in an email later that day. It read: "Hi Tariq, this email is to inform you that we will not be able to sell you any Fresh Slice proprietary or Fresh Slice contract items without permission from Fresh Slice head office. Thank you. Mark Kielpinski."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Kielpinski testified for the Defendants as their final witness. He testified that he did not telephone Mr. Waheed on June 21, and that instead, Mr. Waheed telephoned him that day to say he was going to open his own restaurant, and could he buy product for his new restaurant from Wallace &amp; Carey.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Mr. Kielpinski was mistaken in his testimony, and that he in fact called Mr. Waheed on June 21 to say that JM Food had instructed Wallace &amp; Carey to stop supplying the Plaintiff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reach that conclusion for several reasons, in addition to accepting Mr. Waheed's testimony at trial on that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Russell acknowledged in cross-examination at trial that when he was examined in discovery, on July 20, 2017, he accepted that someone from JM Food probably called Wallace &amp; Carey, and said not to continue delivering food supplies to the Plaintiff Company. He accepted in cross-examination at trial that he added the following evidence at his discovery: on June 20 or June 21, somebody at Freshslice contacted Mark Kielpinski at Wallace &amp; Carey, saying not to provide supplies to the Plaintiff Company's premises. The person who called Wallace &amp; Carey from JM Food head office said the Plaintiff Company was not a franchisee anymore. The call from Freshslice to Wallace &amp; Carey could have been made by a Mr. Damon Avey, or by the district manager, Mr. Mehrabkani. Both of them had the authority to advise Wallace &amp; Carey not to provide the supplies anymore to the Plaintiff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Russell changed his evidence at trial by saying that he learned, after he was examined in discovery, that Mr. Waheed had called Mr. Kielpinski because Mr. Waheed was in arrears with his payments to Wallace &amp; Carey. However, on June 21, the Plaintiffs were not in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 Notice to Admit to the Defendants, the Plaintiffs asked the Defendants to admit that Mr. Kielpinski had phoned Mr. Waheed to cut off the supplies to the Plaintiff Company, just as Mr. Waheed testified at trial, and Mr. Russell had testified in discovery. The Defendants made no response to the Notice to Admit.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it telling that on June 22, 2013, when the Defendants were tape recording Mr. Waheed without his knowledge, he said this about the telephone call with Wallace &amp; Carey the day before: "I received a call from Wallace &amp; Carey that the supplies has been stopped, which is a clear breach, clear breach, and I repeat a clear breach of my franchise agreement. Or else ... that everything, every loss in sales, everything is on Freshslice now." It was the Defendants who put the transcript of that tape recording into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Similarly, when Mr. Waheed wrote to the Defendants, also on June 22, 2013, he included the following in his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yesterday i.e. on 21st June 2013, I received a phone call followed by an email from Wallace &amp; Carey (The distributor) who advised me that the Freshslice Head Office has stopped them from selling me and supplying me with Freshslice products with immediate effect. This action is in clear breach of the Franchise agreement I signed with you therefore I will hold you responsible for any losses from daily sales, inventory, all supplier invoices, monthly rent, any breach of lease agreement with the land lord, operating costs, food costs, Labor cost and all other costs associated with the day to day running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Less important, in the sense that it was later in time after June 21, but still relevant, is Mr. Waheed's email to Mr. Russell on September 9,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you this email to see if you are prepared to amicably discuss the future of Ackroyd Road location and hoping our personal animosity will not interfere with rational judgement. Since the closure of Ackroyd Road location I have accumulated heavy debts which I owe to my creditors and had you not instructed Wallace &amp; Carey to stop supplies to my location I would still be running my store and had paid my dues to all creditors.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 me know your thoughts.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Tariq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During the more than five years leading to trial, the Defendants never contradicted the statements made by Mr. Waheed when he was being taped on June 22, and in his June 22 letter and September 9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To summarize, I find that Wallace &amp; Carey, on instructions from JM Food, phoned Mr. Waheed on June 21, 2013, and cut off the Plaintiff Company from receiving the supplies it needed in order to carry on business. Mr. Russell at trial tried to overcome his discovery evidence on the issue because, I expect, he realized by then that cutting the Plaintiff Company off from its supplies on June 21, 2013 was a breach of contract. I do not accept Mr. Russell's change in his evidence, and, as I said earlier, I believe Mr. Kielpinski was mistaken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Russell simply wanted to be rid of Mr. Waheed. By cutting off the Plaintiff Company, and terminating its franchise, he could re-sell the site, and obtain a new franchise fee from a new franchisee, which is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noted above, at para. [49], the secret taping by the Defendants of Mr. Waheed on June 22, 2013. Two senior representatives of JM Food attended the Plaintiff Company's site on that day, purportedly to inspect his premises. That was the day after JM Food, through Wallace &amp; Carey, had cut off the Plaintiff Company from receiving supplies. Mr. Waheed refused to let the JM Food representatives enter. He can be excused for doing so when JM Food had effectively put him out of business the day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Also on June 22, 2013, JM Food issued its "Third &amp; Final Warning of Material Default",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Waheed: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June 22nd I re-visited your location together with a member of the Head Office team, Bahman Afshari, to conduct and I.Q. with respect to the operational issues to be addressed and resolved. Upon arrival we not greeted in a professional manner and told to be seated in the dinning area so we would not enter the over counter area. Despite our request, permitted by the Franchise Agreement that governs, you refused any cooperation and barred the representatives from the property. Please be advised that it is a fundamental term of the Franchise Agreement that all franchisees comply with the Operations Manual as an essential aspect of its obligations: that includes acknowledging that the Franchisor's lawful representatives can attend any franchised location without notice to conduct inspections and administer to performance issues. It is this incident which causes us to issue another warning.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addition your location has been offering products not approved by the Franchisor by offer Halal beef and ham. Such action is a further contravention of the Franchise Agreement. 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your third and final warning and results in the default of the breach Franchise Agreement which triggers the remedial terms contained in clause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my view, the three warning letters were not sent intending to record "material default[s] of a serious nature", as contemplated in the Standard Franchise Agreement. Instead, they were instruments employed by JM Food to create a three-letter paper trail, calculated to get rid of a franchisee whom the Defendants were not prepared to work with in order to allow the franchisee to succeed. Even the complaints listed in the second warning letter were not made out on the evidence, and if they had been, would not have constituted material defaults of a serious nature standing on their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Waheed retained the law firm of Campbell Froh May &amp; Rice as his solicitors, who wrote as follows in the first paragraph of their letter dated July 5,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the solicitors for 0923063 B.C. Ltd as well as Tariq Waheed and in that capacity write to you with regard to your unilateral repudiation of the Standard Franchise Agreement signed with our client on October 18, 2011 (the "Agreement"). By instructing your designated suppliers not to deliver any products to our client's franchise location at 8211 Ackroyd Street, Richmond, BC, you have violated the Agreement and caused an interruption to our client's business operation. This interruption has caused financial losses to our client and made the continued operation of the business untenable.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Letters between Mr. Waheed's lawyers and staff lawyers for the Defendants went back and forth in the summer of 2013. Mr. Waheed left the premises after he had no supplies with which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DUTY OF GOOD FAITH,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found above that JM Food breached its agreement with the Plaintiff Company on June 21, 2013, when it stopped the provision of the necessary food supplies. The Plaintiffs submitted that JM Food breached its duty to deal honestly, fairly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Courts in Canada have come to recognize that a party to a commercial agreement has an enforceable duty of good faith over the course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1991, the Nova Scotia Supreme Court described the obligations of contractual parties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requires that parties to a contract exercise their rights under that agreement honesty, fairly and in good faith ... "Good faith" conduct is the guide to the manner in which the parties should pursue their mutual contractual objectives. Such conduct is breached when a party acts in "bad faith" - a conduct that is contrary to community standards of honesty, reasonableness or fairness.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Gateway Realty Ltd. v. Arton Holdings Ltd.</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[1991] N.S.J. No. 362</w:t>
        </w:r>
      </w:hyperlink>
      <w:r>
        <w:rPr>
          <w:rFonts w:ascii="arial" w:eastAsia="arial" w:hAnsi="arial" w:cs="arial"/>
          <w:color w:val="000000"/>
          <w:sz w:val="20"/>
          <w:lang w:val="en-US" w:eastAsia="en-US" w:bidi="ar-SA"/>
        </w:rPr>
        <w:t xml:space="preserve"> (S.C.)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requirement of good faith in the performance of a franchise agreement was found in </w:t>
      </w:r>
      <w:r>
        <w:rPr>
          <w:rFonts w:ascii="arial" w:eastAsia="arial" w:hAnsi="arial" w:cs="arial"/>
          <w:i/>
          <w:color w:val="000000"/>
          <w:sz w:val="20"/>
          <w:lang w:val="en-US" w:eastAsia="en-US" w:bidi="ar-SA"/>
        </w:rPr>
        <w:t>Shelanu Inc. v. Print Three Franchising Corp.</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[2003] O.J. No. 1919</w:t>
        </w:r>
      </w:hyperlink>
      <w:r>
        <w:rPr>
          <w:rFonts w:ascii="arial" w:eastAsia="arial" w:hAnsi="arial" w:cs="arial"/>
          <w:color w:val="000000"/>
          <w:sz w:val="20"/>
          <w:lang w:val="en-US" w:eastAsia="en-US" w:bidi="ar-SA"/>
        </w:rPr>
        <w:t xml:space="preserve"> (C.A.). Weiler J.A., writing on behalf of the Ontario Court of Appeal, said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a party under a duty of good faith has breached that duty will depend on all the circumstances of the case, including whether the party subject to a duty of good faith conducted itself fairly throughout the process. ... [Internal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Joo v. Shin</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2005 BCSC 902</w:t>
        </w:r>
      </w:hyperlink>
      <w:r>
        <w:rPr>
          <w:rFonts w:ascii="arial" w:eastAsia="arial" w:hAnsi="arial" w:cs="arial"/>
          <w:color w:val="000000"/>
          <w:sz w:val="20"/>
          <w:lang w:val="en-US" w:eastAsia="en-US" w:bidi="ar-SA"/>
        </w:rPr>
        <w:t>, Cole J. recognized the duty of good faith in the franchise setting in British Columbia. At para. 27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said, however, I am satisfied that the defendant, by his bad faith conduct, rescinded the agreement. In </w:t>
      </w:r>
      <w:r>
        <w:rPr>
          <w:rFonts w:ascii="arial" w:eastAsia="arial" w:hAnsi="arial" w:cs="arial"/>
          <w:i/>
          <w:color w:val="000000"/>
          <w:sz w:val="20"/>
          <w:lang w:val="en-US" w:eastAsia="en-US" w:bidi="ar-SA"/>
        </w:rPr>
        <w:t>Katotikidis v. Mr. Submarine Ltd</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(2002), 26 B.L.R. (3d) 140</w:t>
        </w:r>
      </w:hyperlink>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[2002] O.J. No. 1959</w:t>
        </w:r>
      </w:hyperlink>
      <w:r>
        <w:rPr>
          <w:rFonts w:ascii="arial" w:eastAsia="arial" w:hAnsi="arial" w:cs="arial"/>
          <w:color w:val="000000"/>
          <w:sz w:val="20"/>
          <w:lang w:val="en-US" w:eastAsia="en-US" w:bidi="ar-SA"/>
        </w:rPr>
        <w:t xml:space="preserve"> at para 67 (S.C.J.), Taliano J. quoted Nordheimer J. in </w:t>
      </w:r>
      <w:r>
        <w:rPr>
          <w:rFonts w:ascii="arial" w:eastAsia="arial" w:hAnsi="arial" w:cs="arial"/>
          <w:i/>
          <w:color w:val="000000"/>
          <w:sz w:val="20"/>
          <w:lang w:val="en-US" w:eastAsia="en-US" w:bidi="ar-SA"/>
        </w:rPr>
        <w:t>Shelanu Inc. v. Print Three Franchising Corp</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(2000), 11 B.L.R. (3d) 69</w:t>
        </w:r>
      </w:hyperlink>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[2000] O.J. No. 4129</w:t>
        </w:r>
      </w:hyperlink>
      <w:r>
        <w:rPr>
          <w:rFonts w:ascii="arial" w:eastAsia="arial" w:hAnsi="arial" w:cs="arial"/>
          <w:color w:val="000000"/>
          <w:sz w:val="20"/>
          <w:lang w:val="en-US" w:eastAsia="en-US" w:bidi="ar-SA"/>
        </w:rPr>
        <w:t xml:space="preserve"> at para 27 (S.C.J.) for the principle that in a franchise relationship, bad faith conduct may be sufficient to rescind a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...conduct by a franchisor or by a franchisee which demonstrates bad faith, or manifests an intention not to conduct itself fairly in its dealings with the other, would give rise to a claim for damages by the other party or would, in cases of more serious conduct, give rise to a right in the other party to terminate the franchise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duty of good faith in a franchise setting has been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The case law considered below provides guidance as to the meaning of the duty of good faith. In summary, the duty of good faith in franchise relationships requires the parties to act in the following manner:</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act self-interestedly, however in doing so that party must also have regard to the legitimate interests of the other party.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owes a duty of good faith to B, so long as A deals honestly and reasonably with B, B's interests are not necessarily paramount.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faith is a minimal standard, in the sense that the duty to act in good faith is only breached when a party acts in bad faith. Bad faith is conduct that is contrary to community standards of honesty, reasonableness or fairness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serious misrepresentations of material facts).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faith is a two way street. Whether a party under a duty of good faith has breached that duty will depend, in part, on whether the other party conducted itself fairly.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1117304 Ontario Inc. (c.o.b. Harvey's Restaurant) v.</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Cara Operations Ltd.</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[2008] O.J. No. 4370</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obligation of a franchisor to meet a standard of good faith has been applied to its exercise of discretionary decisions; see </w:t>
      </w:r>
      <w:r>
        <w:rPr>
          <w:rFonts w:ascii="arial" w:eastAsia="arial" w:hAnsi="arial" w:cs="arial"/>
          <w:i/>
          <w:color w:val="000000"/>
          <w:sz w:val="20"/>
          <w:lang w:val="en-US" w:eastAsia="en-US" w:bidi="ar-SA"/>
        </w:rPr>
        <w:t>362041 B.C. Ltd. v. Domino's Pizza</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2006 BCSC 792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evolution leading to the obligation for contracting parties to treat each other with good faith has, at this stage, culminated in Cromwell J.'s reasoning for the Court in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There, Cromwell J. first identified a gap in the existing law of contract, and then embarked on his analysis in order to fill that gap: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my view, it is time to take two incremental steps in order to make the common law less unsettled and piecemeal, more coherent and more just. The first step is to acknowledge that </w:t>
      </w:r>
      <w:r>
        <w:rPr>
          <w:rFonts w:ascii="arial" w:eastAsia="arial" w:hAnsi="arial" w:cs="arial"/>
          <w:color w:val="000000"/>
          <w:sz w:val="20"/>
          <w:u w:val="single"/>
          <w:lang w:val="en-US" w:eastAsia="en-US" w:bidi="ar-SA"/>
        </w:rPr>
        <w:t>good faith contractual performance is a general organizing principle of the common law of contract</w:t>
      </w:r>
      <w:r>
        <w:rPr>
          <w:rFonts w:ascii="arial" w:eastAsia="arial" w:hAnsi="arial" w:cs="arial"/>
          <w:color w:val="000000"/>
          <w:sz w:val="20"/>
          <w:lang w:val="en-US" w:eastAsia="en-US" w:bidi="ar-SA"/>
        </w:rPr>
        <w:t xml:space="preserve"> which underpins and informs the various rules in which the common law, in various situations and types of relationships, recognizes obligations of good faith contractual performance. The second is to recognize, as a further manifestation of this organizing principle of good faith, that </w:t>
      </w:r>
      <w:r>
        <w:rPr>
          <w:rFonts w:ascii="arial" w:eastAsia="arial" w:hAnsi="arial" w:cs="arial"/>
          <w:color w:val="000000"/>
          <w:sz w:val="20"/>
          <w:u w:val="single"/>
          <w:lang w:val="en-US" w:eastAsia="en-US" w:bidi="ar-SA"/>
        </w:rPr>
        <w:t>there is a common law duty which applies to all contracts to act honestly in the performance of contractual obligations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In my view, taking these two steps is perfectly consistent with the Court's responsibility to make incremental changes in the common law when appropriate. Doing so will put in place a duty that is just, that accords with the reasonable expectations of commercial parties and that is sufficiently precise that it will enhance rather than detract from commercial certainty.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paras. 42-58, he conducted what he called a "selective survey" (para. 59) of the law addressing the duty of good faith in the contract context. He created a new common law duty, under the broad umbrella of an organizing principle of good faith (honest) performance of contracts. (See paras. 72-91.)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paras. 92 and 93,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I conclude that at this point in the development of Canadian common law, adding a general duty of honest contractual performance is an appropriate incremental step, recognizing that the implications of the broader, organizing principle of good faith must be allowed to evolve according to the same incremental judicial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A summary of the principles is in order:</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general organizing principle of good faith that underlies many facets of contract law.</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general, the particular implications of the broad principle for particular cases are determined by resorting to the body of doctrine that has developed which gives effect to aspects of that principle in particular types of situations and relationships.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appropriate to recognize a new common law duty that applies to all contracts as a manifestation of the general organizing principle of good faith: a duty of honest performance, which requires the parties to be honest with each other in relation to the performance of their 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When I take into account the history of the dealing between the parties at the times the three warning letters were sent, and the contrived allegations contained in those letters, I find that the letters evidence a breach of JM Food's duty of good faith contractual performance within the meaning expressed in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JM Food's termination of the Plaintiff Company's food supplies on June 21, 2013, in my view, renders it liable under both the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analysis, requiring good faith performance, and a more traditional breach of contract analysis. In making the latter finding, I find JM Food to have breached its contractual obligations under Article 6.04 of the Standard Franchise Agreement, and, if required, as an implied term, to keep the Plaintiff Company provided with food supplies in the circumstances as they stood on June 21,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Justice Cromwell outlined the correct approach for assessing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[108] I have concluded that Can-Am's breach of contract consisted of its failure to be honest with Mr. Bhasin about its contractual performance and, in particular, with respect to its settled intentions with respect to renewal. It is therefore liable for damages calculated on the basis of what Mr. Bhasin's economic position would have been had Can-Am fulfilled that duty. While the trial judge did not assess damages on that basis given her different findings in relation to liability, she made findings that permit this Court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called Kevin Turnbull as an expert witness to give his opinion of the fair market value of the Plaintiff Company, and the past and future lost profits of the Plaintiff Company. I found Mr. Turnbull to be qualified to give those opinions, which were summarized in his two reports marked as Exhibits 4 and 5 at trial. Mr. Turnbull is a C.A., and a C.P.A., with his master's degree in economics. Although he does not carry the formal qualifications of a chartered business valuator, his day-to-day work, year in year out, includes business valuations of small businesses, including restaurants similar in size to the Plaintiff Company's franchise.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offered no expert evidence, or other evidence, addressing the value of the Plaintiff Company's franchise, or its past and future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his report of September 7, 2018 (Exhibit 5) Mr. Turnbull provided an opinion with respect to the Plaintiff Company's net income loss, which he calculated up to May 31, 2025.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Article 3.01 of the head lease (document 31, p. 6) sets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of this Lease shall be for Five (5) years, (the "Term") computed from 12:01 a.m. on the First (1st) day of June, 2010 (the "Commencement Date of the Term") and ending at 11:59 PM on the Thirty-First (31st) day of May, 2015, subject to paragraph 3 of Schedule "B" attached 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term of the Plaintiff Company's sublease, pursuant to Article 1 of the sublease, was the same as the term in the head lease, less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Article 19.01 of the head lease (Exhibit 2, document 31, p. 23) deals with renewal: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Tenant is not then in material default under the Lease, the Landlord, upon written request by the Tenant delivered not less than Six (6) months before the expiration of the immediately preceding term, shall grant to the Tenant Two (2) further terms of Five (5) years upon the same terms, covenants and condition as are herein contains except as to rent and except that there shall be no further right of renewal with all such renewal terms to be subject to paragraph 3 of Schedule "B" attached hereto.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I read Article 19.01 in the head lease, quoted above, it contemplated two separate renewal terms of five years each. The first of the five-year renewal terms would therefore end on May 31,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head lease and the sublease were not terminated before six months prior to May 31, 2015. The leases were renewed with a new franchisee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Katotikidis v. Mr. Submarine Ltd</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[2002] O.J. No. 1959</w:t>
        </w:r>
      </w:hyperlink>
      <w:r>
        <w:rPr>
          <w:rFonts w:ascii="arial" w:eastAsia="arial" w:hAnsi="arial" w:cs="arial"/>
          <w:color w:val="000000"/>
          <w:sz w:val="20"/>
          <w:lang w:val="en-US" w:eastAsia="en-US" w:bidi="ar-SA"/>
        </w:rPr>
        <w:t xml:space="preserve"> (S.C.J.), Taliano J., in a franchise dispute, addressed the length of time for measuring damages. Regarding the question of the lease renewal,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However, in cross-examination it became clear that all of the factors that are considered when deciding to renew an existing lease, favour the plaintiffs' position on this issue. There is a strong probability that the lease of Mr. Sub at LJS will be renewed when it expires. The existing operation, even though it is in its early stages, is already exceeding the average sales reported by other franchises in the area. The lease renewal clause requires the landlord to renew at then prevailing rates and this protection will ensure that future rents will be competitive with other food court operators. In addition, the profit reported by the existing operator is already in excess of the profits projected by the defendant's own cash flow pro forma, and the profit projections by both experts for this operation were described by Mr. Flynn himself as being excellent. Given that the defendant's own materials speak of having a long-term relationship with its franchisees, it is improbable that the defendant will fail to renew the existing lease. Accordingly, I have concluded that the term for calculating the plaintiffs' damages is twelve years. [Internal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Salah v. Timothy's Coffee of the World Inc.</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[2009] O.J. No. 4444</w:t>
        </w:r>
      </w:hyperlink>
      <w:r>
        <w:rPr>
          <w:rFonts w:ascii="arial" w:eastAsia="arial" w:hAnsi="arial" w:cs="arial"/>
          <w:color w:val="000000"/>
          <w:sz w:val="20"/>
          <w:lang w:val="en-US" w:eastAsia="en-US" w:bidi="ar-SA"/>
        </w:rPr>
        <w:t xml:space="preserve"> (S.C.J.); appeal dismissed, </w:t>
      </w:r>
      <w:hyperlink r:id="rId370" w:history="1">
        <w:r>
          <w:rPr>
            <w:rFonts w:ascii="arial" w:eastAsia="arial" w:hAnsi="arial" w:cs="arial"/>
            <w:i/>
            <w:color w:val="0077CC"/>
            <w:sz w:val="20"/>
            <w:u w:val="single"/>
            <w:shd w:val="clear" w:color="auto" w:fill="FFFFFF"/>
            <w:lang w:val="en-US" w:eastAsia="en-US" w:bidi="ar-SA"/>
          </w:rPr>
          <w:t>[2010] O.J. No. 4336</w:t>
        </w:r>
      </w:hyperlink>
      <w:r>
        <w:rPr>
          <w:rFonts w:ascii="arial" w:eastAsia="arial" w:hAnsi="arial" w:cs="arial"/>
          <w:color w:val="000000"/>
          <w:sz w:val="20"/>
          <w:lang w:val="en-US" w:eastAsia="en-US" w:bidi="ar-SA"/>
        </w:rPr>
        <w:t>; the Court awarded damages measured by what would have been the term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While the term of the possible future lease is relevant, I do not support the conclusion, adopted by Mr. Turnbull, that the Plaintiff Company's lease would have continued past a first five-year renewal. I find that it would have continued only to May 31, 2020, not to May 31, 2025. I recognize that my finding, in part because it is forward looking, cannot be made with certainty. In finding an end date of May 31, 2020, I have endeavoured to balance the trend of improved earnings the Plaintiff Company was experiencing, which directly benefitted both the Plaintiffs and the Defendants, against the history of difficulties between the parties, which, in my view, renders two five-year renewals as having been less than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Turnbull calculated the net present value of lost income at $239,474. That conclusion assumed the Plaintiff Company would be operating at the Ackroyd Road site until May 31, 2025. The calculation of $239,474 was also the result of adjusting for outstanding loans and other obligations between the parties, calculated as follows at paras. 194-198 in the Plaintiffs' written argument, which calculations I accept:</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plaintiff recognizes that its claim against JM Food Services Ltd. and Freshslice Properties Ltd. needs to be reduced to take into the outstanding amount of the loan agreement with JM Food Services Ltd. Murray L. Gendreau, Director of Legal Affairs for JM Food Services Ltd. dated June 25, 2013, writes to 0902363 BC Ltd. At page two of that letter Mr. Gendreau writes: "Finally our records show that the Franchisee is indebted to the Franchisor in the amount of $96,657.81. . ."</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review of that ledger shows at payment #20 the circled figure of $96,657.81. Between payments 15 and 16 it is a credit of $25,000 which corresponds to a payment of January 18, 2013. This conversion is more clearly shown in Exhibit 2, Document 7, page 2. This transaction shows JM Food Services Ltd. applying Mr. Waheed's $25,000 earnest money payment to the loan of 0923063 BC Ltd. 0923063 BC Ltd.'s position is that the $25,000 should not have been credited to its account. Rather than owing $96,657.81 to JM Food Services Ltd. as of June 25, 2013, it actually owed $25,000 more for a total of $121,657.81.</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Deducting $121,657.81 from $281,032 yields a figure of $159,374.19. This is not the end of the adjustments, however. As pointed out by Mr. Gendreau in his letter of June 25, 2013, JM Food Services Ltd. had an obligation to "make reasonable efforts to find a buyer for the location at the best price obtainable and remit to you any net proceeds remaining after payment of the debt owed to us."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23, 2013 JM Food Services Ltd. sold the franchise in question to Anapalagan and Kousalya Namasivayam for $80,100.</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Accordingly, the $159,374.19 figure must be adjusted upwards by $80,100 to $239,474.19 to take into account the proceeds realized JM Food Services Ltd. on the sale of 0923063 B.C. Ltd.'s Franchise.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[Internal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Company now needs to reduce the figure of $239,474 to take into account the shorter tenancy I have found, ending on May 31, 2020, rather than 2025. If there is dispute about that recalculation, the parties can appear before me to settle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Company also claims $100,000 for loss of goodwill. Mr. Turnbull derived that number as seen at page 8 of his second report, Exhibit 5. In examining that report, I prefer and adopt his goodwill calculation at $83,000, being the averaging of two to three times net income, as opposed to the increase in annual revenue, which had supported the $100,000 claim. The claim for lost goodwill is allowed at $83,000.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Before turning to punitive damages, I summarize the damages payable to the Plaintiff Company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95"/>
        <w:gridCol w:w="241"/>
        <w:gridCol w:w="4378"/>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Loss of income to May 31, 2020 $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239,474 to be reduced for the earlier end date of the tenancy (2020 instead of 2025)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Loss of goodwill $ 83,000</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Company seeks $300,000 as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Binnie J., writing for the majority, provided the following guidance with respect to awarding and assessing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94 To this end, not only should the pleadings of punitive damages be more rigorous in the future than in the past (see para. 87 above), but it would be helpful if the trial judge's charge to the jury included words to convey an understanding of the following points, even at the risk of some repetition for emphasis. (1) Punitive damages are very much the exception rather than the rule, (2) imposed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if there has been high-handed, malicious, arbitrary or highly reprehensible misconduct that departs to a marked degree from ordinary standards of decent behaviour. (3) Where they are awarded, punitive damages should be assessed in an amount reasonably proportionate to such factors as the harm caused, the degree of the misconduct, the relative vulnerability of the plaintiff and any advantage or profit gained by the defendant, (4) having regard to any other fines or penalties suffered by the defendant for the misconduct in question. (5) Punitive damages are generally given only where the misconduct would otherwise be unpunished or where other penalties are or are likely to be inadequate to achieve the objectives of retribution, deterrence and denunciation. (6) Their purpose is not to compensate the plaintiff, but (7) to give a defendant his or her just desert (retribution), to deter the defendant and others from similar misconduct in the future (deterrence), and to mark the community's collective condemnation (denunciation) of what has happened. (8) Punitive damages are awarded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where compensatory damages, which to some extent are punitive, are insufficient to accomplish these objectives, and (9) they are given in an amount that is no greater than necessary to rationally accomplish their purpose. (10) While normally the state would be the recipient of any fine or penalty for misconduct, the plaintiff will keep punitive damages as a "windfall" in addition to compensatory damages. (11) Judges and juries in our system have usually found that moderate awards of punitive damages, which inevitably carry a stigma in the broader community, are generally sufficient.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Applying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while punitive damages are to be rare in contract disputes, there can be a place for them. For example, punitive damages were awarded in </w:t>
      </w:r>
      <w:r>
        <w:rPr>
          <w:rFonts w:ascii="arial" w:eastAsia="arial" w:hAnsi="arial" w:cs="arial"/>
          <w:i/>
          <w:color w:val="000000"/>
          <w:sz w:val="20"/>
          <w:lang w:val="en-US" w:eastAsia="en-US" w:bidi="ar-SA"/>
        </w:rPr>
        <w:t>Katotikidis v. Mr. Submarine Ltd.</w:t>
      </w:r>
      <w:r>
        <w:rPr>
          <w:rFonts w:ascii="arial" w:eastAsia="arial" w:hAnsi="arial" w:cs="arial"/>
          <w:color w:val="000000"/>
          <w:sz w:val="20"/>
          <w:lang w:val="en-US" w:eastAsia="en-US" w:bidi="ar-SA"/>
        </w:rPr>
        <w:t>, cited earlier. Taliano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I am therefore driven to this conclusion. Given the nature of their relationship, the complete abandonment of the plaintiffs by the defendant when they were experiencing such serious difficulties in the operation of their Eaton Centre franchise was a serious breach of the defendant's obligation to assist the plaintiffs when storm clouds gathered. When the plaintiffs themselves found a potential solution and presented it the defendant, it was incumbent on the defendant to do what it could to assist the plaintiffs to salvage what was left of their business. Based on the practices which had been followed up to that time, and based on the promises contained in the promotional material, the defendant had a legal obligation to assist the plaintiffs and offer LJS to them. The breach of that obligation constituted an actionable wrong. The defendant went two steps further. By actually opening a new restaurant in unreasonably close competitive proximity to the plaintiffs and then awarding the restaurant to someone else, the defendant violated the implied duties of good faith and fair dealing contained in their franchise agreement and promotional materials and thereby betrayed the trust that epitomizes the relationship between a franchisor and franchisee. The defendant's behaviour constitutes an additional, independent, actionable wrong which satisfies the test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With respect to the defendant's submission that the award of punitive damages will provide the plaintiffs with an unnecessary double recovery, that is not warranted by the circumstances, I am not persuaded that the seriousness of the defendant's behaviour can be so summarily excused. It is unfair and inequitable that a franchisee, who has worked with a franchisor over a period of ten years to develop a presence in a given location, should be ignored in the decision to open a competing business in such close proximity to them. The custom of giving the next closest franchisee the first right of refusal to operate a new franchise demonstrates that the franchiser's rights were not absolute. Particularly is this true when the defendant did not trouble themselves to do market studies to determine whether the opening of a new franchise would impact on the plaintiff's business. In the absence of such a study, it can only be presumed that the defendant was indifferent, callously and recklessly so in the circumstances of this case, to the impact that another restaurant opening less that 1500 feet away would have. One certainly could have assumed that the impact would have been negative and it was. The opening of a competing restaurant so close to the plaintiffs' operation and awarding it to someone else when the plaintiffs' were already heavily impacted by declining revenues was quite simply, an act of corporate callousness, in the circumstances of this case, and constituted such a serious breach of the good faith and the fair dealing requirements of the franchise agreement that the defendant's behaviour should be condemned by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This is all the more true when the plaintiffs' injury was exacerbated by the defendant insisting that the plaintiffs honour their restrictive covenant not to compete for two years within two miles of an existing Mr. Sub. The defendants had unfairly created a competing restaurant within 1500 feet of the plaintiff's restaurant yet was now insisting that the plaintiffs not complete within two miles of any existing Mr. Sub. This was highly offensive corporate behaviour and its impact on the plaintiffs was overwhelming.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The plaintiffs had been effectively put out of business and because of the restrictive covenant, she was prevented from earning a living in the only way she was trained to do, except in compliance with the terms of the franchise agreement, which the defendant itself had so flagrantly violated. That behaviour should and will attract punitive damages to deter other franchisors from similar forms of insensitive, high-handed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Since an award of punitive damages must be proportionate to an award of compensatory or non-pecuniary damages, I will fix those damages only after I have received further submissions on the revision of the calculations that this judgment dictates.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 dispute somewhat similar to the one before me was litigated in </w:t>
      </w:r>
      <w:r>
        <w:rPr>
          <w:rFonts w:ascii="arial" w:eastAsia="arial" w:hAnsi="arial" w:cs="arial"/>
          <w:i/>
          <w:color w:val="000000"/>
          <w:sz w:val="20"/>
          <w:lang w:val="en-US" w:eastAsia="en-US" w:bidi="ar-SA"/>
        </w:rPr>
        <w:t>Triple 3 Holdings Inc. v. Jan</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2004 CanLII 66300</w:t>
        </w:r>
      </w:hyperlink>
      <w:r>
        <w:rPr>
          <w:rFonts w:ascii="arial" w:eastAsia="arial" w:hAnsi="arial" w:cs="arial"/>
          <w:color w:val="000000"/>
          <w:sz w:val="20"/>
          <w:lang w:val="en-US" w:eastAsia="en-US" w:bidi="ar-SA"/>
        </w:rPr>
        <w:t xml:space="preserve"> (ON SC). After reviewing the events of the franchisee's termination in that case, Paisley J.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There was no basis for the termination of the franchise. I am satisfied that the franchisor was aware that it had backed the franchisee against the wall and was abusing its power to try to force the franchise to be terminated improperly, using its contractual right to do so for breaches which did not exist.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conduct was planned and deliberate. This was a scheme. The motivation of the franchisor? Profit. It persisted in its outrageous conduct over a lengthy period of time, including the discovery stage. The defendants awareness that what was being done was wrong? Absolutely. No question. Whether the defendant profited from its misconduct? I can not be exact but easily over $150,000 was gained by overcharging the Jans, then taking their equity and selling it to another without justification. Was the interest violated known to be deeply personal? How could it not be. This was the workplace of the Jans. This was not a small and insignificant taking. This was a large and harmful taking from vulnerable individuals, and there was most certainly a power imbalance.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Paisley J. awarded the franchisee $224,457 in damages for the breach, plus $350,000 in punitive damages. He said, at paras. 38 and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It is submitted in sum that the conduct of the franchisor was high-handed and abusive throughout, and I 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Commercial activities cannot be conducted like piracy on the high seas. It is not "victory to the strong" and "push off to the weak." The court will not countenance such conduct and will provide an appropriate remedy. The remedy that is sought in this case is punitive damages. In my view, this is a clear case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conduct of the franchisor before me has been high-handed and malicious. In an email from Mr. Russell to Mr. Kielpinski, dated September 17, 2013, Mr. Russell wrote, in response to an inquiry as to whether the franchise had been sold: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I did, we financed him, he owes us more money than selling price. Please send him to collection, I want him to pay for it or screw up his credit.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harm caused to Mr. Waheed was the loss of the franchise. He had paid $160,000 for that franchise. He had little money, but he sunk further funds into developing it. He devoted a year and a half of his life to the business. During that time, he was living far from his wife and children, who were in London, with the hope of making the franchise a success. By prohibiting Wallace &amp; Carey from delivering supplies to the franchise, the Defendants intentionally put the franchise out of business. The harm to Mr. Waheed and the Plaintiff Company was substantial and was inflicted with complete indifference.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my view, the Plaintiff Company is entitled to punitive damages, which I allow at $125,000. In my view, JM Food conducted an unauthorized, malicious campaign, calculated to get rid of a lawful franchisee, inventing causes for termination, and on June 21, 2013, unlawfully cutting off the food supplies upon which it knew the Plaintiff Company was wholly dependent.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correct measure for punitive damages is almost always impossible to determine with anything like precision. In awarding $125,000, I have endeavoured to take into account factors set out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as quoted earlier, including proportionality to the harm caused, the degree of misconduct, the vulnerability of Mr. Waheed and the profit gain for JM Food in reselling the franchise and gaining a new franchise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WAHEED'S CLAIM IN CONVERSION FOR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 definition of conversion is found in </w:t>
      </w:r>
      <w:r>
        <w:rPr>
          <w:rFonts w:ascii="arial" w:eastAsia="arial" w:hAnsi="arial" w:cs="arial"/>
          <w:i/>
          <w:color w:val="000000"/>
          <w:sz w:val="20"/>
          <w:lang w:val="en-US" w:eastAsia="en-US" w:bidi="ar-SA"/>
        </w:rPr>
        <w:t>Boma Manufacturing Ltd. Canadian Imperial Bank of Commerce</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[1996] 3 S.C.R. 727</w:t>
        </w:r>
      </w:hyperlink>
      <w:r>
        <w:rPr>
          <w:rFonts w:ascii="arial" w:eastAsia="arial" w:hAnsi="arial" w:cs="arial"/>
          <w:color w:val="000000"/>
          <w:sz w:val="20"/>
          <w:lang w:val="en-US" w:eastAsia="en-US" w:bidi="ar-SA"/>
        </w:rPr>
        <w:t xml:space="preserve"> at para. 31:</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tort of conversion involves a wrongful interference with the goods of another, such as taking, using or destroying these goods in a manner inconsistent with the owner's right of possession. The tort is one of strict liability, and accordingly, it is no defence that the wrongful act was committed in all innocence. Diplock L.J. asserted this principle in </w:t>
      </w:r>
      <w:r>
        <w:rPr>
          <w:rFonts w:ascii="arial" w:eastAsia="arial" w:hAnsi="arial" w:cs="arial"/>
          <w:i/>
          <w:color w:val="000000"/>
          <w:sz w:val="20"/>
          <w:lang w:val="en-US" w:eastAsia="en-US" w:bidi="ar-SA"/>
        </w:rPr>
        <w:t>Marfani &amp; Co. v. Midland Bank, Ltd.</w:t>
      </w:r>
      <w:r>
        <w:rPr>
          <w:rFonts w:ascii="arial" w:eastAsia="arial" w:hAnsi="arial" w:cs="arial"/>
          <w:color w:val="000000"/>
          <w:sz w:val="20"/>
          <w:lang w:val="en-US" w:eastAsia="en-US" w:bidi="ar-SA"/>
        </w:rPr>
        <w:t>, [1968] 2 All E.R. 573, at pp. 577-78: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moral concept of fault in the sense of either knowledge by the doer of an act that is likely to cause injury, loss or damage to another, or lack of reasonable care to avoid causing injury, loss or damage to another, plays no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customer is not entitled to the cheque which he delivers to his banker for collection, the banker, however, innocent and careful he might have been, would at common law be liable to the true owner of the cheque for the amount of which he receives payment, either as damages for conversion or under the cognate cause of action, based historically on assumpsit, for money had and received.</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liability for the tort of conversion is strict suggests that the respondent's submission that the appellants were contributorily negligent must fail. The matter was raised before the Court of Appeal, and was dismissed without reasons. While this argument would be available in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notion of strict liability involved in an action for conversion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antithetical to the concept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Waheed provided $25,000 to JM Food as earnest money to show that he had means, and was serious about exploring the possibility of purchasing a second Freshslice franchise. Mr. Waheed changed his mind about the purchase. On October 12, 2012, Mr. Russell wrote to Mr. Waheed that, "I do not have an issue to return the 25 K but I have a serious issue on going forward if I do not have confidence." Rather than returning the $25,000 to Mr. Waheed, JM Food converted those funds, by applying them to its loan with the Plaintiff Company, late in January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Waheed has proved that JM Food converted his $25,000. He never authorized his own money to be kept and applied by JM Food as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COUNTERCLAIM BY JM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JM Food claims a total of $40,450.16 in its counterclaim, which it says is the balance remaining on the Plaintiff Company's loan of $102,152.41, plus payments JM Food made (1) to the head landlord for July-September 2013 rent, (2) to food suppliers for food supplied having a total value of $4,847, and (3) site restoration and locksmith expenses totalling $6,735. JM Food recognizes that the Plaintiff Company has an offset of $80,100 against these claims, which was due to the Plaintiff Company on the resale of its franchise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main difficulty JM Food faces in its counterclaim is that the Plaintiffs have already correctly taken into account most of the counterclaim in deriving the net amount payable to the Plaintiff Company, as seen at paras. 194-198 of the Plaintiffs' argument, quoted at para. [84]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Beyond that, JM Food is not entitled to claim the July-September 2013 rent because it breached the agreement in June 2013, and in essence forced the Plaintiff Company out of business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only parts of the counterclaim which are probably valid, and which I allow, are $4,847 for unpaid food supplies, and $6,735 to alter the site for the new franchisee. JM Food submitted that the $6,735 expense showed that the Plaintiff Company had caused the site to deteriorate beyond normal wear and tear, but there is no reliable evidence to support that. However, as I have said, I conclude that the Plaintiff Company will be responsible for that expense, as a deduction from the amount owing to it on the re-sale of the franchise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total therefore, I allow the counterclaim in the total amount of $4,847 plus $6,735, equalling $11,582.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summary, the Plaintiff Company is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900"/>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Damages for loss of income to May 31, 2020 $</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be calculated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Loss of goodwill $</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83,000.00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Punitive damages $</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Less the counterclaim payable $</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11,582.00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considered awarding special costs against the Defendants because they were cavalier in not producing financial information in the case, as they were obligated to do. However, there was to my knowledge no order compelling the further listing or production of documents, and otherwise, through Mr. Horler, the Defendants were not unreasonable in the conduct of their defence. I have therefore decided not to order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costs issue in the case arises because of Article 11.07 in the Standard Franchise Agreement,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11.07 Legal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event of any default on the part of any party to this FRANCHISE AGREEMENT in addition to all other remedies, the party in default will pay the aggrieved party or parties all amount due and all damages, costs and expenses, </w:t>
      </w:r>
      <w:r>
        <w:rPr>
          <w:rFonts w:ascii="arial" w:eastAsia="arial" w:hAnsi="arial" w:cs="arial"/>
          <w:color w:val="000000"/>
          <w:sz w:val="20"/>
          <w:u w:val="single"/>
          <w:lang w:val="en-US" w:eastAsia="en-US" w:bidi="ar-SA"/>
        </w:rPr>
        <w:t>including reasonable legal fees, incurred by the aggrieved party or parties in any legal action</w:t>
      </w:r>
      <w:r>
        <w:rPr>
          <w:rFonts w:ascii="arial" w:eastAsia="arial" w:hAnsi="arial" w:cs="arial"/>
          <w:color w:val="000000"/>
          <w:sz w:val="20"/>
          <w:lang w:val="en-US" w:eastAsia="en-US" w:bidi="ar-SA"/>
        </w:rPr>
        <w:t>, arbitration or other proceeding as a result of such default, plus interest at the highest rate allowable by law, accruing from the date of such default. Each party will pay its own legal fees in connection with the preparation, negotiation, execution and documentation of this FRANCHISE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Were it not for that provision, ordinary costs would be called for in this case, without further analysis, considering that the matter overall was one of ordinary complexity.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governing authority for considering a costs provision in the applicable contract appears to be </w:t>
      </w:r>
      <w:r>
        <w:rPr>
          <w:rFonts w:ascii="arial" w:eastAsia="arial" w:hAnsi="arial" w:cs="arial"/>
          <w:i/>
          <w:color w:val="000000"/>
          <w:sz w:val="20"/>
          <w:lang w:val="en-US" w:eastAsia="en-US" w:bidi="ar-SA"/>
        </w:rPr>
        <w:t>P&amp;T Shopping Centre Holdings Ltd. v. Cineplex Odeon Corp.</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[1995] B.C.J. No. 330</w:t>
        </w:r>
      </w:hyperlink>
      <w:r>
        <w:rPr>
          <w:rFonts w:ascii="arial" w:eastAsia="arial" w:hAnsi="arial" w:cs="arial"/>
          <w:color w:val="000000"/>
          <w:sz w:val="20"/>
          <w:lang w:val="en-US" w:eastAsia="en-US" w:bidi="ar-SA"/>
        </w:rPr>
        <w:t xml:space="preserve"> (C.A.). There, Southin J.A. addressed court-awarded costs when the lease between the parties obligated the tenant in default to pay the landlord "the complete legal costs incurred by the landlord". Southin J.A. held that the landlord had to chose between suing on the costs provision in the lease while receiving no court-awarded costs, or receiving ordinary (party and party) costs by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their submission before me, the Plaintiffs elected to rely on the costs provision quoted above from the Standard Franchise Agreement. Given that election, relatively recent authority of this Court has, in effect, removed the need to sue on the costs provision under the contract, and instead simply permits the Court to make the following order, which I make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direct that the Registrar of the Supreme Court conduct an assessment under Rule 18-1(1)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determine the amounts recoverable by the Plaintiffs under the Standard Franchise Agreement for reasonable legal fees and expenses, as costs of the action, in accordance with these Reasons for Judgment. I direct that the Registrar certify the result of the assessment pursuant to Rule 18-1(2). (See, </w:t>
      </w:r>
      <w:r>
        <w:rPr>
          <w:rFonts w:ascii="arial" w:eastAsia="arial" w:hAnsi="arial" w:cs="arial"/>
          <w:i/>
          <w:color w:val="000000"/>
          <w:sz w:val="20"/>
          <w:lang w:val="en-US" w:eastAsia="en-US" w:bidi="ar-SA"/>
        </w:rPr>
        <w:t>Freshslice Properties Ltd. v. RTM Holdings Ltd.</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2013 BCSC 135</w:t>
        </w:r>
      </w:hyperlink>
      <w:r>
        <w:rPr>
          <w:rFonts w:ascii="arial" w:eastAsia="arial" w:hAnsi="arial" w:cs="arial"/>
          <w:color w:val="000000"/>
          <w:sz w:val="20"/>
          <w:lang w:val="en-US" w:eastAsia="en-US" w:bidi="ar-SA"/>
        </w:rPr>
        <w:t>, at para. 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G.K. MACINTOSH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7821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0984394 B.C. Ltd. v. Sticky's Candy Holdings Ltd., [2017] B.C.J. No. 1962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Iyer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22,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S166396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1962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1760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0984394 B.C. Ltd., 0985620 B.C. Ltd., and Laurie Larson, Plaintiffs, and Sticky's Candy Holdings Ltd., Robin Burnette, Michael Anderson and Northern Vision Realty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9"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3" w:name="Keywords_20"/>
      <w:bookmarkEnd w:id="133"/>
      <w:r>
        <w:rPr>
          <w:rFonts w:ascii="arial" w:eastAsia="arial" w:hAnsi="arial" w:cs="arial"/>
          <w:b/>
          <w:color w:val="000000"/>
          <w:sz w:val="20"/>
          <w:lang w:val="en-US" w:eastAsia="en-US" w:bidi="ar-SA"/>
        </w:rPr>
        <w:t>Civil litigation — Civil procedure — Pleadings — Striking out pleadings or allegations — Grounds — False, frivolous, vexatious or abuse of process — Application by defendant to strike part of claim dismissed — Plaintiff claimed that she was induced by defendant's misrepresentations to enter into franchise agreements — Plaintiff pleaded that, in furtherance of scheme for soliciting investments, defendant represented to her and other potential franchisees that he started and expanded business and made 14 very specific representations set out in claim to them — Similar facts pleaded were sufficiently similar to alleged treatment of plaintiff — Supreme Court Civil Rules, Rule 9-5(1)(b).</w:t>
      </w:r>
    </w:p>
    <w:p>
      <w:pPr>
        <w:jc w:val="both"/>
        <w:rPr>
          <w:rFonts w:ascii="arial" w:eastAsia="arial" w:hAnsi="arial" w:cs="arial"/>
          <w:sz w:val="20"/>
          <w:lang w:val="en-US" w:eastAsia="en-US" w:bidi="ar-SA"/>
        </w:rPr>
      </w:pPr>
      <w:bookmarkStart w:id="134" w:name="Legislation Cited_16"/>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0"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3-7, Rule 3-7(1), Rule 3-7(18), Rule 9-5(1)(b), Rule 9-5(1)(c)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5" w:name="Counsel_21"/>
      <w:bookmarkEnd w:id="1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1"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 Hewitt.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Sticky's Candy Holdings Ltd. and Robin Burnette: D. Dorey, M. Bujar.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21"/>
      <w:bookmarkEnd w:id="136"/>
      <w:r>
        <w:pict>
          <v:line id="_x0000_s1132"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IYER J. (orally)"/>
            <w:bookmarkEnd w:id="137"/>
            <w:r>
              <w:rPr>
                <w:rFonts w:ascii="arial" w:eastAsia="arial" w:hAnsi="arial" w:cs="arial"/>
                <w:b/>
                <w:color w:val="000000"/>
                <w:sz w:val="30"/>
                <w:lang w:val="en-US" w:eastAsia="en-US" w:bidi="ar-SA"/>
              </w:rPr>
              <w:t>IYER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application the defendant applicants seek to strike out particular paragraphs of the plaintiffs' amended notice of civil claim that plead similar facts. The defendants say these paragraphs are unnecessary, scandalous, frivolous or vexatious, and/or are prejudicial, embarrassing or will delay the fair trial of the proceeding contrary to Rule 9-5(1)(b) and (c)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no uncertainty about the test for striking part of a pleading under this rule. The determination must be based on the pleadings alone and the applicant faces a high bar. It must be plain and obvious that the disputed paragraphs are not properly pleaded. A part of a pleading may be struck if it does not advance the pleading party's claim or defence. Rule 3-7 sets out the requirements of pleadings generally. Subsection (1), which bars the pleading of evidence, and (18), which requires full particulars to be pleaded where a party relies on misrepresentation, are germane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Briefly this dispute concerns candy store franchises. The plaintiff, Laurie Larson, claims that she was induced by the defendant Robin Burnette's negligent misrepresentations to enter into franchise agreements for Sticky's Candy stores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plead that Mr. Burnette, through the defendant franchiser Sticky's Holdings, "developed a scheme by which he would solicit investments by misrepresenting details of Sticky's Candy Franchises for their own financial benefit" (at para. 9). The plaintiffs claim that, in furtherance of this scheme, Mr. Burnette made representations similar to those claimed to have been made to Ms. Larson to "other potential, current, and former Sticky's Candy franchisees" (at paras. 2, 15 and 18). In Part 3 of the amended notice of claim, the plaintiffs state that they "plead and rely on similar fact evidence relating to the scheme."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their amended response to civil claim, the defendant applicants entirely deny making any of the misrepresentations alleged in the amended notice of civil claim. However, they also admit making particular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applicants seek to strike out these four paragraphs on the basis that the allegation of similar facts is irrelevant and unnecessary to the negligent misrepresentation claim because proof of that claim only requires evidence of the representations made to the plaintiffs, not to non-party franchisees. They say that these paragraphs are not legally probative of the claim because of the individual nature of a negligent misrepresentation claim, and they say that the paragraphs are prejudicial to the defendants because they are only intended to establish a propensity to mislead other franchisees and are simply an attack on Mr. Burnette's credibility. They also say that these paragraphs will unduly expand and prolong discovery and the trial, which is already set for 20 days in October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my view the impugned paragraphs are properly pleaded and I would dismiss the application to strike them. The law relating to the pleading of similar facts in the context of civil cases is well summarized in </w:t>
      </w:r>
      <w:r>
        <w:rPr>
          <w:rFonts w:ascii="arial" w:eastAsia="arial" w:hAnsi="arial" w:cs="arial"/>
          <w:i/>
          <w:color w:val="000000"/>
          <w:sz w:val="20"/>
          <w:lang w:val="en-US" w:eastAsia="en-US" w:bidi="ar-SA"/>
        </w:rPr>
        <w:t>Saed v. Wittenberg</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2010 BCSC 910</w:t>
        </w:r>
      </w:hyperlink>
      <w:r>
        <w:rPr>
          <w:rFonts w:ascii="arial" w:eastAsia="arial" w:hAnsi="arial" w:cs="arial"/>
          <w:color w:val="000000"/>
          <w:sz w:val="20"/>
          <w:lang w:val="en-US" w:eastAsia="en-US" w:bidi="ar-SA"/>
        </w:rPr>
        <w:t xml:space="preserve">, which was decided after the Supreme Court of Canada's decision in </w:t>
      </w:r>
      <w:r>
        <w:rPr>
          <w:rFonts w:ascii="arial" w:eastAsia="arial" w:hAnsi="arial" w:cs="arial"/>
          <w:i/>
          <w:color w:val="000000"/>
          <w:sz w:val="20"/>
          <w:lang w:val="en-US" w:eastAsia="en-US" w:bidi="ar-SA"/>
        </w:rPr>
        <w:t>R. v. Handy</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[2002] 2 SCR 908</w:t>
        </w:r>
      </w:hyperlink>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2002 SCC 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Saed</w:t>
      </w:r>
      <w:r>
        <w:rPr>
          <w:rFonts w:ascii="arial" w:eastAsia="arial" w:hAnsi="arial" w:cs="arial"/>
          <w:color w:val="000000"/>
          <w:sz w:val="20"/>
          <w:lang w:val="en-US" w:eastAsia="en-US" w:bidi="ar-SA"/>
        </w:rPr>
        <w:t xml:space="preserve"> concerned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oral surgeon. The plaintiff alleged that the defendant had previously been the subject of founded and unfounded complaints by other patients of his and that similar fact evidence was necessary both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aggravated and punitive damages. Justice Ross referred to the factors in </w:t>
      </w:r>
      <w:r>
        <w:rPr>
          <w:rFonts w:ascii="arial" w:eastAsia="arial" w:hAnsi="arial" w:cs="arial"/>
          <w:i/>
          <w:color w:val="000000"/>
          <w:sz w:val="20"/>
          <w:lang w:val="en-US" w:eastAsia="en-US" w:bidi="ar-SA"/>
        </w:rPr>
        <w:t>Prism Data Services Ltd. v. Neopost Inc.</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[2003] O.J. No. 2994</w:t>
        </w:r>
      </w:hyperlink>
      <w:r>
        <w:rPr>
          <w:rFonts w:ascii="arial" w:eastAsia="arial" w:hAnsi="arial" w:cs="arial"/>
          <w:color w:val="000000"/>
          <w:sz w:val="20"/>
          <w:lang w:val="en-US" w:eastAsia="en-US" w:bidi="ar-SA"/>
        </w:rPr>
        <w:t>, governing the pleading of similar fact evidence. They are as follows:</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allegations are proper as long as the added complexity resulting therefrom does not outweigh the probative value;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 acts are not probative if there is not a sufficient degree of similarity;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similarity must be provable without prolonged inquiry, although inevitably, the litigation process will be lengthened to some extent as a result of proper similar fact allegations;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added complexity should not lead to undue oppression or unfairness;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system or scheme of conduct is alleged, the past similar acts must have sufficient common features to constitute the system or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Although she did not refer expressly to </w:t>
      </w:r>
      <w:r>
        <w:rPr>
          <w:rFonts w:ascii="arial" w:eastAsia="arial" w:hAnsi="arial" w:cs="arial"/>
          <w:i/>
          <w:color w:val="000000"/>
          <w:sz w:val="20"/>
          <w:lang w:val="en-US" w:eastAsia="en-US" w:bidi="ar-SA"/>
        </w:rPr>
        <w:t>Handy</w:t>
      </w:r>
      <w:r>
        <w:rPr>
          <w:rFonts w:ascii="arial" w:eastAsia="arial" w:hAnsi="arial" w:cs="arial"/>
          <w:color w:val="000000"/>
          <w:sz w:val="20"/>
          <w:lang w:val="en-US" w:eastAsia="en-US" w:bidi="ar-SA"/>
        </w:rPr>
        <w:t xml:space="preserve">, the five </w:t>
      </w:r>
      <w:r>
        <w:rPr>
          <w:rFonts w:ascii="arial" w:eastAsia="arial" w:hAnsi="arial" w:cs="arial"/>
          <w:i/>
          <w:color w:val="000000"/>
          <w:sz w:val="20"/>
          <w:lang w:val="en-US" w:eastAsia="en-US" w:bidi="ar-SA"/>
        </w:rPr>
        <w:t>Prism Data Services</w:t>
      </w:r>
      <w:r>
        <w:rPr>
          <w:rFonts w:ascii="arial" w:eastAsia="arial" w:hAnsi="arial" w:cs="arial"/>
          <w:color w:val="000000"/>
          <w:sz w:val="20"/>
          <w:lang w:val="en-US" w:eastAsia="en-US" w:bidi="ar-SA"/>
        </w:rPr>
        <w:t xml:space="preserve"> factors enumerated by Justice Ross are consistent with the application of </w:t>
      </w:r>
      <w:r>
        <w:rPr>
          <w:rFonts w:ascii="arial" w:eastAsia="arial" w:hAnsi="arial" w:cs="arial"/>
          <w:i/>
          <w:color w:val="000000"/>
          <w:sz w:val="20"/>
          <w:lang w:val="en-US" w:eastAsia="en-US" w:bidi="ar-SA"/>
        </w:rPr>
        <w:t>Handy</w:t>
      </w:r>
      <w:r>
        <w:rPr>
          <w:rFonts w:ascii="arial" w:eastAsia="arial" w:hAnsi="arial" w:cs="arial"/>
          <w:color w:val="000000"/>
          <w:sz w:val="20"/>
          <w:lang w:val="en-US" w:eastAsia="en-US" w:bidi="ar-SA"/>
        </w:rPr>
        <w:t xml:space="preserve"> in a civil context. See </w:t>
      </w:r>
      <w:r>
        <w:rPr>
          <w:rFonts w:ascii="arial" w:eastAsia="arial" w:hAnsi="arial" w:cs="arial"/>
          <w:i/>
          <w:color w:val="000000"/>
          <w:sz w:val="20"/>
          <w:lang w:val="en-US" w:eastAsia="en-US" w:bidi="ar-SA"/>
        </w:rPr>
        <w:t>Randhawa v. 420413 B.C. Ltd.</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2009 BCCA 602</w:t>
        </w:r>
      </w:hyperlink>
      <w:r>
        <w:rPr>
          <w:rFonts w:ascii="arial" w:eastAsia="arial" w:hAnsi="arial" w:cs="arial"/>
          <w:color w:val="000000"/>
          <w:sz w:val="20"/>
          <w:lang w:val="en-US" w:eastAsia="en-US" w:bidi="ar-SA"/>
        </w:rPr>
        <w:t xml:space="preserve"> at para. 49 to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both civil and criminal contexts the concern is with ensuring that probative value outweighs prejudicial effect, which turns on the question of whether there is sufficient similarity between the conduct alleged and the claimed similar facts. The similarity must be such that the evidence goes beyond a claim of a general propensity of bad character and becomes probative of a specific propensity to engage in the conduct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Randhawa</w:t>
      </w:r>
      <w:r>
        <w:rPr>
          <w:rFonts w:ascii="arial" w:eastAsia="arial" w:hAnsi="arial" w:cs="arial"/>
          <w:color w:val="000000"/>
          <w:sz w:val="20"/>
          <w:lang w:val="en-US" w:eastAsia="en-US" w:bidi="ar-SA"/>
        </w:rPr>
        <w:t>, the BC Court of Appeal quoted Justice Rosenberg on this point at para. 56 and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A useful comment of the correct approach to similar fact evidence was provided by Mr. Justice Rosenberg in </w:t>
      </w:r>
      <w:r>
        <w:rPr>
          <w:rFonts w:ascii="arial" w:eastAsia="arial" w:hAnsi="arial" w:cs="arial"/>
          <w:i/>
          <w:color w:val="000000"/>
          <w:sz w:val="20"/>
          <w:lang w:val="en-US" w:eastAsia="en-US" w:bidi="ar-SA"/>
        </w:rPr>
        <w:t>Law Society of Upper Canada, Special Lectures 2003: The Law of Evidence</w:t>
      </w:r>
      <w:r>
        <w:rPr>
          <w:rFonts w:ascii="arial" w:eastAsia="arial" w:hAnsi="arial" w:cs="arial"/>
          <w:color w:val="000000"/>
          <w:sz w:val="20"/>
          <w:lang w:val="en-US" w:eastAsia="en-US" w:bidi="ar-SA"/>
        </w:rPr>
        <w:t>, (Toronto: Irwin Law, 2004) at 401. He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propensity underlies the probative value of true similar fact evidence, the breaking point between general propensity and specific propensity is most easily understood as depending upon the objective improbability of coincidence. This in turn depends upon the circumstances of the particular case and the critical features of nexus or connectedness.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Saed</w:t>
      </w:r>
      <w:r>
        <w:rPr>
          <w:rFonts w:ascii="arial" w:eastAsia="arial" w:hAnsi="arial" w:cs="arial"/>
          <w:color w:val="000000"/>
          <w:sz w:val="20"/>
          <w:lang w:val="en-US" w:eastAsia="en-US" w:bidi="ar-SA"/>
        </w:rPr>
        <w:t>, Justice Ross found that the pleading of past complaints against the defendant did not meet the requirement of sufficient similarity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there is no particularity provided by which the court could conclude whether there was a sufficient degree of similarity. The pleading is very broad, encompassing founded and unfounded claims with no limitation with respect to the 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contrast the similar facts pleaded in this case are sufficiently similar to the defendants' alleged treatment of the plaintiffs. The plaintiffs allege that Mr. Burnette had a scheme for soliciting investments through the misrepresentations to Ms. Larson and others. The representations he is alleged to have made to Ms. Larson and other potential current or former franchisees are: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had started and expanded the Sticky's name and business in Canada and continued to be involved in day-to-day operations;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had specialized know how, experience and systems;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made the 14 very specific representations set out in para. 16 of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Assuming, as I am required to do, that these facts are true, I find that they would be probative of whether Mr. Burnette had a scheme as alleged and that he made the representations to Ms. Larson. They could also be relevant to the quantum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do not agree that permitting the pleadings to stand will prolong the pre-trial or trial proceedings to the extent claimed by the defendants. No inquiry of non-party franchisees about their reliance on the alleged misrepresentations is required. The similar facts to be proved only concern the making of the alleged misrepresentations to others, not whether the defendants committed the tort of negligent misrepresentation against non-parties.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With respect to prejudicial effect, the defendants relied on </w:t>
      </w:r>
      <w:r>
        <w:rPr>
          <w:rFonts w:ascii="arial" w:eastAsia="arial" w:hAnsi="arial" w:cs="arial"/>
          <w:i/>
          <w:color w:val="000000"/>
          <w:sz w:val="20"/>
          <w:lang w:val="en-US" w:eastAsia="en-US" w:bidi="ar-SA"/>
        </w:rPr>
        <w:t>Northmark Mechanical Systems Inc. v. King (Estate)</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2009 BCSC 1237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Jane Doe v. Escobar</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[2004] O.J. No. 2760</w:t>
        </w:r>
      </w:hyperlink>
      <w:r>
        <w:rPr>
          <w:rFonts w:ascii="arial" w:eastAsia="arial" w:hAnsi="arial" w:cs="arial"/>
          <w:color w:val="000000"/>
          <w:sz w:val="20"/>
          <w:lang w:val="en-US" w:eastAsia="en-US" w:bidi="ar-SA"/>
        </w:rPr>
        <w:t xml:space="preserve"> (ON SCJ). Neither case is applicable here. In </w:t>
      </w:r>
      <w:r>
        <w:rPr>
          <w:rFonts w:ascii="arial" w:eastAsia="arial" w:hAnsi="arial" w:cs="arial"/>
          <w:i/>
          <w:color w:val="000000"/>
          <w:sz w:val="20"/>
          <w:lang w:val="en-US" w:eastAsia="en-US" w:bidi="ar-SA"/>
        </w:rPr>
        <w:t>Northmark</w:t>
      </w:r>
      <w:r>
        <w:rPr>
          <w:rFonts w:ascii="arial" w:eastAsia="arial" w:hAnsi="arial" w:cs="arial"/>
          <w:color w:val="000000"/>
          <w:sz w:val="20"/>
          <w:lang w:val="en-US" w:eastAsia="en-US" w:bidi="ar-SA"/>
        </w:rPr>
        <w:t xml:space="preserve"> the impugned pleading simply went to bad character. It alleged that the plaintiff had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pattern of providing misleading and mistaken testimony to his siblings, the executrixes and/or to the Court with respect to financial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is a bald allegation of dishonest character and is not analogous to the similar facts pleaded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Escobar</w:t>
      </w:r>
      <w:r>
        <w:rPr>
          <w:rFonts w:ascii="arial" w:eastAsia="arial" w:hAnsi="arial" w:cs="arial"/>
          <w:color w:val="000000"/>
          <w:sz w:val="20"/>
          <w:lang w:val="en-US" w:eastAsia="en-US" w:bidi="ar-SA"/>
        </w:rPr>
        <w:t xml:space="preserve"> was an application before a master in the Ontario Superior Court of Justice. The plaintiff alleged that the defendant had sexually assaulted her after drugging her drink. She claimed that he had previously engaged in similar conduct with other women. The initial application to strike this sentence had been denied, but an order for particulars had been made with a caveat that if they were not given in compliance with the order, the impugned sentence would be struck. Leave to appeal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Particulars were provided, and the matter came before Master Dash. He found the particulars grossly inadequate because they provided no details whatsoever of other assaults. He declined to strike the pleading on the basis that it was frivolous, vexatious or scandalous because he found it could be relevant to the quantum of punitive damages. However, he ordered that the sentence be struck on the basis that it would prejudice the fairness of the trial because its prejudicial effect far outweighed its probative value. He cited the </w:t>
      </w:r>
      <w:r>
        <w:rPr>
          <w:rFonts w:ascii="arial" w:eastAsia="arial" w:hAnsi="arial" w:cs="arial"/>
          <w:i/>
          <w:color w:val="000000"/>
          <w:sz w:val="20"/>
          <w:lang w:val="en-US" w:eastAsia="en-US" w:bidi="ar-SA"/>
        </w:rPr>
        <w:t>Prism Data Services</w:t>
      </w:r>
      <w:r>
        <w:rPr>
          <w:rFonts w:ascii="arial" w:eastAsia="arial" w:hAnsi="arial" w:cs="arial"/>
          <w:color w:val="000000"/>
          <w:sz w:val="20"/>
          <w:lang w:val="en-US" w:eastAsia="en-US" w:bidi="ar-SA"/>
        </w:rPr>
        <w:t xml:space="preserve"> factors finding that a bald allegation of similar past conduct not supported by particulars made it impossible to determine whether there was any similarity with the alleged conduct so as to constitute a system or scheme (at paera.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That is entirely different from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did not argue abuse of process in their oral submissions, although it is referred to in their notice of application. If I were required to address this issue, I would find that the impugned pleading is not an abuse of process because it has been properly pleaded for the reasons I have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Bearing in mind Rule 3-7 and the high bar for striking a pleading, the application is dismissed with costs to the plaintiffs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IYER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3"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Al-Hendawi v. Sidhu, [2008] B.C.J. No. 33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W.G. Baker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14 and 29,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10,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M023092</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33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35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163 A.C.W.S. (3d) 526</w:t>
      </w:r>
    </w:p>
    <w:p>
      <w:pPr>
        <w:spacing w:before="120" w:line="260" w:lineRule="atLeast"/>
        <w:rPr>
          <w:lang w:val="en-US" w:eastAsia="en-US" w:bidi="ar-SA"/>
        </w:rPr>
      </w:pPr>
      <w:r>
        <w:rPr>
          <w:rFonts w:ascii="arial" w:eastAsia="arial" w:hAnsi="arial" w:cs="arial"/>
          <w:color w:val="000000"/>
          <w:sz w:val="20"/>
          <w:lang w:val="en-US" w:eastAsia="en-US" w:bidi="ar-SA"/>
        </w:rPr>
        <w:t>Between Dr. Natheir Al-Hendawi, Plaintiff, and Manjit Singh Sidhu,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4" style="position:absolute;z-index:2516817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38" w:name="Keywords_21"/>
      <w:bookmarkEnd w:id="138"/>
      <w:r>
        <w:rPr>
          <w:rFonts w:ascii="arial" w:eastAsia="arial" w:hAnsi="arial" w:cs="arial"/>
          <w:b/>
          <w:color w:val="000000"/>
          <w:sz w:val="20"/>
          <w:lang w:val="en-US" w:eastAsia="en-US" w:bidi="ar-SA"/>
        </w:rPr>
        <w:t>Civil litigation — Civil procedure — Costs — Particular orders — Against solicitor personally — Application by the defendant for an award of special costs against plaintiff's counsel dismissed — The plaintiff successfully sued the defendant for damages for injuries suffered in a motor vehicle accident — The defendant submitted that plaintiff's counsel misrepresented the availability of the plaintiff's medical records, and attempted to influence the evidence of a witness through intimidation — The court found that the non-disclosure was inadvertent, and that there was no evidence to support a finding of witness intimidation.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39" w:name="Case Summary_16"/>
            <w:bookmarkEnd w:id="13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Sidhu, for an order that each of the plaintiff's three trial counsel, Sheddy, Parsons and Vecchio, be jointly and liable for an award of special costs -- The plaintiff, Al-Hendawi, was awarded damages of $795,000 for injuries suffered in a motor vehicle accident caused by the defendant -- The plaintiff, a physician, resided and received medical treatment in Jordan -- Counsel contended that there was a Jordanian custom in which physicians provided medical treatment to one another free of charge and did not keep medical records in such instance -- Jordanian medical witnesses corroborated the custom -- However, it became apparent during the treating physician's testimony that clinical notes were made during the treatment of the plaintiff, were in the possession of counsel, and were not disclosed to the defendant -- The defendant submitted that plaintiff's counsel misrepresented the availability of the plaintiff's medical records, and attempted to influence the evidence of a witness through intimidation -- At trial, the judge dismissed the defendant's request for special costs against the plaintiff -- Counsel denied the allegation of witness intimidation and stated that the failure to disclose the records was due to inadvertence -- HELD: Application dismissed -- The evidence did not substantiate that the witness felt a need to defend himself physically against plaintiff's counsel -- There was no evidence that counsel engaged in physically threatening behaviour towards the witness or improperly attempted to influence or intimidate the witness -- The failure to produce the records was not deliberate and was due to a lack of organization -- The conduct of plaintiff's counsel did not warrant an award of special costs against them. </w:t>
            </w:r>
            <w:r>
              <w:rPr>
                <w:lang w:val="en-US" w:eastAsia="en-US" w:bidi="ar-SA"/>
              </w:rPr>
              <w:cr/>
            </w:r>
          </w:p>
          <w:p>
            <w:pPr>
              <w:rPr>
                <w:lang w:val="en-US" w:eastAsia="en-US" w:bidi="ar-SA"/>
              </w:rPr>
            </w:pPr>
          </w:p>
        </w:tc>
      </w:tr>
    </w:tbl>
    <w:p>
      <w:pPr>
        <w:jc w:val="both"/>
        <w:rPr>
          <w:lang w:val="en-US" w:eastAsia="en-US" w:bidi="ar-SA"/>
        </w:rPr>
      </w:pPr>
      <w:bookmarkStart w:id="140" w:name="Counsel_22"/>
      <w:bookmarkEnd w:id="14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5" style="position:absolute;z-index:2517329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Applicant/Defendant, Manjit Singh Sidhu, Mary-Helen Wright and J.W. Joudrey.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Respondents, Richard Parsons and Anthony Vecchio, Art Vertlieb, Q.C.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Lee Murray Sheddy, appeared on his own behalf.</w:t>
      </w:r>
      <w:r>
        <w:rPr>
          <w:lang w:val="en-US" w:eastAsia="en-US" w:bidi="ar-SA"/>
        </w:rPr>
        <w:cr/>
      </w:r>
    </w:p>
    <w:p>
      <w:pPr>
        <w:spacing w:after="240"/>
        <w:rPr>
          <w:lang w:val="en-US" w:eastAsia="en-US" w:bidi="ar-SA"/>
        </w:rPr>
      </w:pPr>
      <w:bookmarkStart w:id="141" w:name="Judgment_22"/>
      <w:bookmarkEnd w:id="141"/>
      <w:r>
        <w:pict>
          <v:line id="_x0000_s1136" style="position:absolute;z-index:25178419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Ruling on Costs</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42" w:name="W.G. BAKER J."/>
            <w:bookmarkEnd w:id="142"/>
            <w:r>
              <w:rPr>
                <w:rFonts w:ascii="arial" w:eastAsia="arial" w:hAnsi="arial" w:cs="arial"/>
                <w:b/>
                <w:color w:val="000000"/>
                <w:sz w:val="30"/>
                <w:lang w:val="en-US" w:eastAsia="en-US" w:bidi="ar-SA"/>
              </w:rPr>
              <w:t>W.G. 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Manjit Singh Sidhu is seeking an order that each of the plaintiff's three trial counsel -- the respondents Sheddy, Parsons and Vecchio -- be jointly and severally liable to the defendant for a portion of the defence costs of the action between Dr. Al-Hendawi and Mr. Sidhu, to be assessed as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Defendant's counsel submit that the respondent lawyers misrepresented certain matters to defendant's counsel and to the Court relating to the availability of medical records from one of the plaintiff's treating physicians. They also allege that one of the respondents, Mr. Parsons, "... attempted to influence the evidence of a witness ... to such an extent that ... (the witness) ... thought he may need to defend himself physically."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previously dismissed an application brought by the defendant Mr. Sidhu for costs against the plaintiff, Dr. Al-Hendawi on similar grounds. For the reasons that follow, I have concluded that the defendant's application for costs against plaintiff's counsel shall also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action arose out of a motor vehicle accident that happened on August 18, 2000. The plaintiff, Dr. Al-Hendawi, had recently immigrated to Canada from Jordan to join his wife, who had earlier immigrated here, and their child. He was a passenger in a vehicle that was struck from the rear by the defendant's vehicle. I concluded in Reasons for Judgment issued March 30, 2006 that the accident caused the herniation of one of Dr. Al-Hendawi's lumbar discs. The symptoms of pain and disability worsened to the point that Dr. Al-Hendawi required surgery. The surgery was performed in Jordan, by a neurosurgeon, Dr. Munir Elias. Following the surgery Dr. Al-Hendawi developed a severe infection at the surgical site and was almost totally incapacitated and in great pain for several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Not long after the motor vehicle accident, Dr. Al-Hendawi retained Mr. Sheddy to assist him in pursuing a claim against the defendant for compensation for his injuries. Not long before trial, which commenced in February 2005, Mr. Vecchio and Mr. Parsons were also retained to assist Mr. Sheddy with the conduct of this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Wright and her associate, Mr. Cahan, were retained by the defendant's insurer to defend Dr. Al-Hendawi's claim and acted as counsel for the defendant at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stated above, the trial commenced February 7, 2005. Unfortunately the days reserved for trial were insufficient and the trial was adjourned four times before it concluded on June 3, 2005. In total, the trial occupied 28 hearing days. The defendant disputed liability; and both causation and the quantum of damages were very much in dispute. I reserved judgment and on March 30, 2006 released written Reasons. I found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the sole cause of the accident; I concluded that the accident had caused the herniation of the plaintiff's lumbar disc and I awarded the plaintiff damages totalling $794,375.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final two paragraphs of the Reasons deal with the issue of costs, and I reproduce those two paragraphs here: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[309] Both parties sought an order for special costs, the plaintiff on the grounds that the defendant had suggested that the plaintiff was a malingerer, and the defendants on the grounds that the plaintiff or his counsel had failed to produce relevant documents, had made misrepresentations about the existence of certain documents, and had attempted to intimidate one of the defendant's witnesses.</w:t>
      </w:r>
    </w:p>
    <w:p>
      <w:pPr>
        <w:spacing w:before="120" w:line="260" w:lineRule="atLeast"/>
        <w:ind w:left="720"/>
        <w:rPr>
          <w:lang w:val="en-US" w:eastAsia="en-US" w:bidi="ar-SA"/>
        </w:rPr>
      </w:pPr>
      <w:r>
        <w:rPr>
          <w:rFonts w:ascii="arial" w:eastAsia="arial" w:hAnsi="arial" w:cs="arial"/>
          <w:color w:val="000000"/>
          <w:sz w:val="20"/>
          <w:lang w:val="en-US" w:eastAsia="en-US" w:bidi="ar-SA"/>
        </w:rPr>
        <w:t>[310] In my view, none of these alleged transgressions warrant an award of special costs. Unless there are factors of which I am presently unaware, such as offers of settlement, I see no reason why the plaintiff should not have his costs, nor why the costs should be other than costs on Scale 3. If there are factors relating to costs that the parties believe have not yet been drawn to my attention, and should be considered, they are invited to submit written submissions about costs no later than May 15, 2006. If no submissions have been received by that date, costs shall be awarded to the plaintiff on Scale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paragraph 310 explicitly states that counsel were ... "invited to submit written submissions", no written submissions were provided to the Court by any party on or before the specified deadline of May 15,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21, 2007, Mr. Joudrey, who appears to have replaced Mr. Cahan as co-counsel for the defendant on this matter, appeared before me on applications by the defendant to apportion certain trial costs between the defendant and the plaintiff, and to deny the plaintiff his costs of a report prepared by an occupational therapist on his behalf. The defendant alleged that the plaintiff should be denied costs for a portion of the trial because he had failed to produce information about applications he had made to the Canadian Resident Matching Service. Dr. Al-Hendawi had testified he had not retained copies of his application and there is no evidence that this assertion was false.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also submitted that the award of damages to the plaintiff was "clearly well below the amount sought by the plaintiff" and that the outcome of the action should therefore be regarded as one of divided success. The defendant also submitted that the defendant should be awarded costs for unnecessarily having prepared to cross-examine an occupational therapist that plaintiff's counsel said would testify at trial but ultimately did not testify. The defendant also submitted that the plaintiff should be denied the disbursement for the cost of the attendance at trial of another of the plaintiff's experts, on the grounds that cross-examination had demonstrated this witness to be biased.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queried on February 21, 2007 about the failure of counsel to make submissions about costs by the specified deadline of May 14, 2006, the Court was given to understand that defendant's counsel had made a request to the Court registry to appear before me to make oral submissions, but that the request had been submitted after May 15, 2006. In brief oral Reasons, I dismissed the defendant's application to deny the plaintiff his costs for a portion of the trial, or to consider the outcome to be one of "divided success". I advised counsel that the question of costs and disbursements related to expert witnesses was a matter best left to the Registrar on a taxation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my Reasons for dismissing the defendant's application, I referred to the defendant's application in relation to costs having been brought out of time; as I understood that no submission had been made on or before May 15, 2006, the deadline for submissions referred to in my Reasons for Judgment following trial. I am informed that following this Ruling, counsel settled the matter of costs as between the plaintiff and the defendant. However, the defendant gave notice to plaintiff's counsel of its intention to seek an award of solicitor and client costs as against plaintiff's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the defendant's application for costs against Messrs. Sheddy, Parsons and Vecchio was heard on June 14, 2007, counsel for the defendants informed the Court that although no written submissions had been provided prior to May 15, 2006, counsel for the defendant had been in contact with the Court Registry on May 11, 2006, requesting an opportunity to appear before me to make oral submissions about costs. Counsel did not explain why they chose to pursue this route given my direction regarding submissions in writing. In any event, I was made aware on June 14, 2007 that on May 11, 2006, Ms. Wright had sent an e-mail to the Court Registry requesting a two-hour hearing. Under the heading "Nature of Application", the following information is provided: "several costs issues (costs related to divided success and disbursements, and special costs"). Under the heading "Available Dates", defendant's counsel provided dates in the third and fourth weeks of July,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hearing regarding costs was eventually scheduled for September 8, 2006. Mr. Vertlieb was retained to represent Messrs. Parsons and Vecchio shortly before that date, and the hearing was adjourned by consent at Mr. Vertlieb's request. The matter of solicitor and client costs against plaintiff's counsel eventually came on for hearing on June 14,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Plaintiff's counsel made submissions about the deadline of May 15, 2006 having been missed, but appeared to concede that the issue of solicitor and client costs against counsel was not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the defendant pointed to passages in his copy of the trial transcript indicating that the Court had agreed during the trial with Ms. Wright's suggestion that her submissions about the issue of special costs against plaintiff's counsel could await the delivery of Reasons. Of course, even this aspect of costs should have been addressed by written submissions provided by May 15, 2006. However, because some confusion may have arisen out of the exchange between Ms. Wright and the Court, and because defendant's counsel did contact the Registry before May 15, 2006, I agreed to allow the parties to submit further written submissions concerning the defendant's application for special costs against plaintiff's counsel, and to consider the matter afresh.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Defendant's counsel filed written submissions and a book of authorities on July 20, 2007. Mr. Vertlieb filed written submissions and a book of authorities on behalf of respondents Mr. Parsons and Mr. Vecchio on August 13, 2007. Mr. Sheddy filed written submissions and the affidavit of J. Chan on August 15, 2007. Defendant's counsel filed reply submissions on August 31,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ALLEGED INTIMIDATION OF A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shall begin with the allegation that one of plaintiff's counsel, Mr. Parsons, attempted to intimidate a witness. I note that I addressed this issue in relation to the defendant's application for special costs against the plaintiff in paragraphs 309 and 310 of my March 30, 2006 Reasons and concluded that the conduct referred to did not warrant an award of special costs against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the defendant has renewed this application in relation to plaintiff's counsel, Mr. Parsons, I shall address the issue in more detail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Leslie Sloan was called as a witness for the defendant. Earlier in the trial, the defendant had testified that before his vehicle struck the rear of the vehicle in which the plaintiff was a passenger, he did not notice the brake lights of the vehicle illuminate. The defendant asked the Court to infer, in other words, that the vehicle in which the plaintiff was a passenger was mechanically defective and that the accident was caused not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following too closely behind, but as a result of a mechanical defect in the vehicle in which the plaintiff was a passenger.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had made no reference to the absence of brake lights in a call he had made to his father shortly after the accident; had not mentioned brake lights in a written statement he provided to his insurer; and had not mentioned brake lights in a conversation with an insurance adjuster who advised him he would be considered to be solely at fault for the accident. I concluded that the defendant was mistaken in his trial testimony when he said he had not observed the illumination of brake lights on the vehicle in which the plaintiff was a passenger.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response to the suggestion that the brake lights of their vehicle were not functioning, Dr. Al-Hendawi's sister-in-law and brother-in-law both testified that the street lighting in the area of their home was not bright, and that they believed they would have noticed if the brake lights of their vehicle were malfunctioning.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called as a witness, Mr. Sloan, who lives on the same street as Dr. Al-Hendawi's wife's sister and her husband. Mr. Sloan testified that he lives across the street from Dr. Al-Hendawi's relatives and "a couple of doors up". Mr. Sloan's opinion about the lighting on the street differed somewhat from that of the plaintiff's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outset of the direct examination of Mr. Sloan, Ms. Wright asked Mr. Sloan about his previous conversations with someone in her office and with someone from plaintiff's counsel's office. She also asked Mr. Sloan about a conversation he had had with Mr. Parsons outside the courtroom just prior to giving his testimony. Mr. Sloan agreed with Ms. Wright that he had been meeting with her outside the courtroom and that Mr. Parsons approached and asked to speak to Mr. Sloan and that Ms. Wright had said to Mr. Parsons that she wished to be present during that conversation. In direct examination of Mr. Sloan at trial, Ms. Wright asked Mr. Sloan what was said and the following exchange took place between Ms. Wright and Mr. Sloan: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Ms. Wright: And when I said that I wanted to join the two of you for your discussion, what was said?</w:t>
      </w:r>
    </w:p>
    <w:p>
      <w:pPr>
        <w:spacing w:before="120" w:line="260" w:lineRule="atLeast"/>
        <w:ind w:left="720"/>
        <w:rPr>
          <w:lang w:val="en-US" w:eastAsia="en-US" w:bidi="ar-SA"/>
        </w:rPr>
      </w:pPr>
      <w:r>
        <w:rPr>
          <w:rFonts w:ascii="arial" w:eastAsia="arial" w:hAnsi="arial" w:cs="arial"/>
          <w:color w:val="000000"/>
          <w:sz w:val="20"/>
          <w:lang w:val="en-US" w:eastAsia="en-US" w:bidi="ar-SA"/>
        </w:rPr>
        <w:t>Mr. Sloan: I think he basically told you to get out of here.</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Right. And in what tone?</w:t>
      </w:r>
    </w:p>
    <w:p>
      <w:pPr>
        <w:spacing w:before="120" w:line="260" w:lineRule="atLeast"/>
        <w:ind w:left="720"/>
        <w:rPr>
          <w:lang w:val="en-US" w:eastAsia="en-US" w:bidi="ar-SA"/>
        </w:rPr>
      </w:pPr>
      <w:r>
        <w:rPr>
          <w:rFonts w:ascii="arial" w:eastAsia="arial" w:hAnsi="arial" w:cs="arial"/>
          <w:color w:val="000000"/>
          <w:sz w:val="20"/>
          <w:lang w:val="en-US" w:eastAsia="en-US" w:bidi="ar-SA"/>
        </w:rPr>
        <w:t>Mr. Sloan: An abrasive tone.</w:t>
      </w:r>
    </w:p>
    <w:p>
      <w:pPr>
        <w:spacing w:before="120" w:line="260" w:lineRule="atLeast"/>
        <w:ind w:left="720"/>
        <w:rPr>
          <w:lang w:val="en-US" w:eastAsia="en-US" w:bidi="ar-SA"/>
        </w:rPr>
      </w:pPr>
      <w:r>
        <w:rPr>
          <w:rFonts w:ascii="arial" w:eastAsia="arial" w:hAnsi="arial" w:cs="arial"/>
          <w:color w:val="000000"/>
          <w:sz w:val="20"/>
          <w:lang w:val="en-US" w:eastAsia="en-US" w:bidi="ar-SA"/>
        </w:rPr>
        <w:t>Mr. Wright: And I had -- let the two of you go away and you joined Mr. Parsons?</w:t>
      </w:r>
    </w:p>
    <w:p>
      <w:pPr>
        <w:spacing w:before="120" w:line="260" w:lineRule="atLeast"/>
        <w:ind w:left="720"/>
        <w:rPr>
          <w:lang w:val="en-US" w:eastAsia="en-US" w:bidi="ar-SA"/>
        </w:rPr>
      </w:pPr>
      <w:r>
        <w:rPr>
          <w:rFonts w:ascii="arial" w:eastAsia="arial" w:hAnsi="arial" w:cs="arial"/>
          <w:color w:val="000000"/>
          <w:sz w:val="20"/>
          <w:lang w:val="en-US" w:eastAsia="en-US" w:bidi="ar-SA"/>
        </w:rPr>
        <w:t>Mr. Sloan: Yes.</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How did you feel as you were meeting with Mr. Parsons just now?</w:t>
      </w:r>
    </w:p>
    <w:p>
      <w:pPr>
        <w:spacing w:before="120" w:line="260" w:lineRule="atLeast"/>
        <w:ind w:left="720"/>
        <w:rPr>
          <w:lang w:val="en-US" w:eastAsia="en-US" w:bidi="ar-SA"/>
        </w:rPr>
      </w:pPr>
      <w:r>
        <w:rPr>
          <w:rFonts w:ascii="arial" w:eastAsia="arial" w:hAnsi="arial" w:cs="arial"/>
          <w:color w:val="000000"/>
          <w:sz w:val="20"/>
          <w:lang w:val="en-US" w:eastAsia="en-US" w:bidi="ar-SA"/>
        </w:rPr>
        <w:t>Mr. Sloan: At one point I thought he was trying to intimidate me into saying what he wanted me ... wanted him for me to say [sic].</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Have you ever been treated in that fashion by any member of the bar of British Columbia?</w:t>
      </w:r>
    </w:p>
    <w:p>
      <w:pPr>
        <w:spacing w:before="120" w:line="260" w:lineRule="atLeast"/>
        <w:ind w:left="720"/>
        <w:rPr>
          <w:lang w:val="en-US" w:eastAsia="en-US" w:bidi="ar-SA"/>
        </w:rPr>
      </w:pPr>
      <w:r>
        <w:rPr>
          <w:rFonts w:ascii="arial" w:eastAsia="arial" w:hAnsi="arial" w:cs="arial"/>
          <w:color w:val="000000"/>
          <w:sz w:val="20"/>
          <w:lang w:val="en-US" w:eastAsia="en-US" w:bidi="ar-SA"/>
        </w:rPr>
        <w:t>Mr. Sloan: No.</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Is that of any concern to you, how you were treated outside?</w:t>
      </w:r>
    </w:p>
    <w:p>
      <w:pPr>
        <w:spacing w:before="120" w:line="260" w:lineRule="atLeast"/>
        <w:ind w:left="720"/>
        <w:rPr>
          <w:lang w:val="en-US" w:eastAsia="en-US" w:bidi="ar-SA"/>
        </w:rPr>
      </w:pPr>
      <w:r>
        <w:rPr>
          <w:rFonts w:ascii="arial" w:eastAsia="arial" w:hAnsi="arial" w:cs="arial"/>
          <w:color w:val="000000"/>
          <w:sz w:val="20"/>
          <w:lang w:val="en-US" w:eastAsia="en-US" w:bidi="ar-SA"/>
        </w:rPr>
        <w:t>Mr. Sloan: Well, I -- considering what I'm here for, I felt that it was uncalled for.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cross-examination of Mr. Sloan, Mr. Vecchio asked Mr. Sloan about a short telephone conversation Mr. Sloan had had with Mr. Parsons the previous day. Mr. Sloan said that Mr. Parsons' call had awakened him from sleep. He said that Mr. Parsons tried to get him to say that it was dark down at the end of the street. Mr. Sloan said the telephone conversation with Mr. Parsons had lasted a couple of minutes only and that he had ended the conversation by saying to Mr. Parsons that he had to go back to sleep.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Later in the cross-examination, the following exchange took place between Mr. Sloan and Mr. Vecchio:</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Vecchio: I want to go back to this conversation you had with Mr. Parsons at the -- at the -- outside. When Mr. Parsons came up to you and asked you about the street light or asked you about the events, is it fair to say you didn't really want to talk to him about these events?</w:t>
      </w:r>
    </w:p>
    <w:p>
      <w:pPr>
        <w:spacing w:before="120" w:line="260" w:lineRule="atLeast"/>
        <w:ind w:left="720"/>
        <w:rPr>
          <w:lang w:val="en-US" w:eastAsia="en-US" w:bidi="ar-SA"/>
        </w:rPr>
      </w:pPr>
      <w:r>
        <w:rPr>
          <w:rFonts w:ascii="arial" w:eastAsia="arial" w:hAnsi="arial" w:cs="arial"/>
          <w:color w:val="000000"/>
          <w:sz w:val="20"/>
          <w:lang w:val="en-US" w:eastAsia="en-US" w:bidi="ar-SA"/>
        </w:rPr>
        <w:t>Mr. Sloan: I was talking to him until he got -- what I felt aggressive, and I told him at the point --</w:t>
      </w:r>
    </w:p>
    <w:p>
      <w:pPr>
        <w:spacing w:before="120" w:line="260" w:lineRule="atLeast"/>
        <w:ind w:left="720"/>
        <w:rPr>
          <w:lang w:val="en-US" w:eastAsia="en-US" w:bidi="ar-SA"/>
        </w:rPr>
      </w:pPr>
      <w:r>
        <w:rPr>
          <w:rFonts w:ascii="arial" w:eastAsia="arial" w:hAnsi="arial" w:cs="arial"/>
          <w:color w:val="000000"/>
          <w:sz w:val="20"/>
          <w:lang w:val="en-US" w:eastAsia="en-US" w:bidi="ar-SA"/>
        </w:rPr>
        <w:t>Mr. Vecchio: When you say he was "aggressive", the only exchange that happened between you and Mr. Parsons, to be fair, is that he asked you about -- and it was just you and him there, correct --</w:t>
      </w:r>
    </w:p>
    <w:p>
      <w:pPr>
        <w:spacing w:before="120" w:line="260" w:lineRule="atLeast"/>
        <w:ind w:left="720"/>
        <w:rPr>
          <w:lang w:val="en-US" w:eastAsia="en-US" w:bidi="ar-SA"/>
        </w:rPr>
      </w:pPr>
      <w:r>
        <w:rPr>
          <w:rFonts w:ascii="arial" w:eastAsia="arial" w:hAnsi="arial" w:cs="arial"/>
          <w:color w:val="000000"/>
          <w:sz w:val="20"/>
          <w:lang w:val="en-US" w:eastAsia="en-US" w:bidi="ar-SA"/>
        </w:rPr>
        <w:t>Mr. Sloan: Yes.</w:t>
      </w:r>
    </w:p>
    <w:p>
      <w:pPr>
        <w:spacing w:before="120" w:line="260" w:lineRule="atLeast"/>
        <w:ind w:left="720"/>
        <w:rPr>
          <w:lang w:val="en-US" w:eastAsia="en-US" w:bidi="ar-SA"/>
        </w:rPr>
      </w:pPr>
      <w:r>
        <w:rPr>
          <w:rFonts w:ascii="arial" w:eastAsia="arial" w:hAnsi="arial" w:cs="arial"/>
          <w:color w:val="000000"/>
          <w:sz w:val="20"/>
          <w:lang w:val="en-US" w:eastAsia="en-US" w:bidi="ar-SA"/>
        </w:rPr>
        <w:t>Mr. Vecchio: -- when he asked you about, "... didn't you tell me this last night?"</w:t>
      </w:r>
    </w:p>
    <w:p>
      <w:pPr>
        <w:spacing w:before="120" w:line="260" w:lineRule="atLeast"/>
        <w:ind w:left="720"/>
        <w:rPr>
          <w:lang w:val="en-US" w:eastAsia="en-US" w:bidi="ar-SA"/>
        </w:rPr>
      </w:pPr>
      <w:r>
        <w:rPr>
          <w:rFonts w:ascii="arial" w:eastAsia="arial" w:hAnsi="arial" w:cs="arial"/>
          <w:color w:val="000000"/>
          <w:sz w:val="20"/>
          <w:lang w:val="en-US" w:eastAsia="en-US" w:bidi="ar-SA"/>
        </w:rPr>
        <w:t>Mr. Sloan: First off, he didn't tell me anything last night. I was at work.</w:t>
      </w:r>
    </w:p>
    <w:p>
      <w:pPr>
        <w:spacing w:before="120" w:line="260" w:lineRule="atLeast"/>
        <w:ind w:left="720"/>
        <w:rPr>
          <w:lang w:val="en-US" w:eastAsia="en-US" w:bidi="ar-SA"/>
        </w:rPr>
      </w:pPr>
      <w:r>
        <w:rPr>
          <w:rFonts w:ascii="arial" w:eastAsia="arial" w:hAnsi="arial" w:cs="arial"/>
          <w:color w:val="000000"/>
          <w:sz w:val="20"/>
          <w:lang w:val="en-US" w:eastAsia="en-US" w:bidi="ar-SA"/>
        </w:rPr>
        <w:t>Mr. Vecchio: Or I mean -- sorry. I'm very sorry. The time that you talked?</w:t>
      </w:r>
    </w:p>
    <w:p>
      <w:pPr>
        <w:spacing w:before="120" w:line="260" w:lineRule="atLeast"/>
        <w:ind w:left="720"/>
        <w:rPr>
          <w:lang w:val="en-US" w:eastAsia="en-US" w:bidi="ar-SA"/>
        </w:rPr>
      </w:pPr>
      <w:r>
        <w:rPr>
          <w:rFonts w:ascii="arial" w:eastAsia="arial" w:hAnsi="arial" w:cs="arial"/>
          <w:color w:val="000000"/>
          <w:sz w:val="20"/>
          <w:lang w:val="en-US" w:eastAsia="en-US" w:bidi="ar-SA"/>
        </w:rPr>
        <w:t>Mr. Sloan: Correct. He had tried to -- and I told him at that point -- he had said "Well, isn't this ..." and I said "No, that's what you were trying to get me to say ..." and he got -- started to get aggressive with me at that point, and I told him that I didn't ...</w:t>
      </w:r>
    </w:p>
    <w:p>
      <w:pPr>
        <w:spacing w:before="120" w:line="260" w:lineRule="atLeast"/>
        <w:ind w:left="720"/>
        <w:rPr>
          <w:lang w:val="en-US" w:eastAsia="en-US" w:bidi="ar-SA"/>
        </w:rPr>
      </w:pPr>
      <w:r>
        <w:rPr>
          <w:rFonts w:ascii="arial" w:eastAsia="arial" w:hAnsi="arial" w:cs="arial"/>
          <w:color w:val="000000"/>
          <w:sz w:val="20"/>
          <w:lang w:val="en-US" w:eastAsia="en-US" w:bidi="ar-SA"/>
        </w:rPr>
        <w:t>Mr. Vecchio: "Aggressive" meaning he asked you again the question?</w:t>
      </w:r>
    </w:p>
    <w:p>
      <w:pPr>
        <w:spacing w:before="120" w:line="260" w:lineRule="atLeast"/>
        <w:ind w:left="720"/>
        <w:rPr>
          <w:lang w:val="en-US" w:eastAsia="en-US" w:bidi="ar-SA"/>
        </w:rPr>
      </w:pPr>
      <w:r>
        <w:rPr>
          <w:rFonts w:ascii="arial" w:eastAsia="arial" w:hAnsi="arial" w:cs="arial"/>
          <w:color w:val="000000"/>
          <w:sz w:val="20"/>
          <w:lang w:val="en-US" w:eastAsia="en-US" w:bidi="ar-SA"/>
        </w:rPr>
        <w:t>Mr. Sloan: No, it was his tone.</w:t>
      </w:r>
    </w:p>
    <w:p>
      <w:pPr>
        <w:spacing w:before="120" w:line="260" w:lineRule="atLeast"/>
        <w:ind w:left="720"/>
        <w:rPr>
          <w:lang w:val="en-US" w:eastAsia="en-US" w:bidi="ar-SA"/>
        </w:rPr>
      </w:pPr>
      <w:r>
        <w:rPr>
          <w:rFonts w:ascii="arial" w:eastAsia="arial" w:hAnsi="arial" w:cs="arial"/>
          <w:color w:val="000000"/>
          <w:sz w:val="20"/>
          <w:lang w:val="en-US" w:eastAsia="en-US" w:bidi="ar-SA"/>
        </w:rPr>
        <w:t>Mr. Vecchio: Just the tone?</w:t>
      </w:r>
    </w:p>
    <w:p>
      <w:pPr>
        <w:spacing w:before="120" w:line="260" w:lineRule="atLeast"/>
        <w:ind w:left="720"/>
        <w:rPr>
          <w:lang w:val="en-US" w:eastAsia="en-US" w:bidi="ar-SA"/>
        </w:rPr>
      </w:pPr>
      <w:r>
        <w:rPr>
          <w:rFonts w:ascii="arial" w:eastAsia="arial" w:hAnsi="arial" w:cs="arial"/>
          <w:color w:val="000000"/>
          <w:sz w:val="20"/>
          <w:lang w:val="en-US" w:eastAsia="en-US" w:bidi="ar-SA"/>
        </w:rPr>
        <w:t>Mr. Sloan: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Wright returned to the subject during re-examination of Mr. Sloan, and the following exchange took place: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Ms. Wright: My friend asked you, sir, some questions about the exchange before you started being interviewed by Mr. Parsons before taking the stand just now. You were asked about where you were when Mr. Parsons approached the two of us. Where was I when Richard Parsons approached you for the first time this morning? Where was I in relation to you when he approached?</w:t>
      </w:r>
    </w:p>
    <w:p>
      <w:pPr>
        <w:spacing w:before="120" w:line="260" w:lineRule="atLeast"/>
        <w:ind w:left="720"/>
        <w:rPr>
          <w:lang w:val="en-US" w:eastAsia="en-US" w:bidi="ar-SA"/>
        </w:rPr>
      </w:pPr>
      <w:r>
        <w:rPr>
          <w:rFonts w:ascii="arial" w:eastAsia="arial" w:hAnsi="arial" w:cs="arial"/>
          <w:color w:val="000000"/>
          <w:sz w:val="20"/>
          <w:lang w:val="en-US" w:eastAsia="en-US" w:bidi="ar-SA"/>
        </w:rPr>
        <w:t>Mr. Sloan: We were walking in and you were behind and I was coming in and Mr. Parsons asked to speak to me.</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M'mm-hmm. And then what was said?</w:t>
      </w:r>
    </w:p>
    <w:p>
      <w:pPr>
        <w:spacing w:before="120" w:line="260" w:lineRule="atLeast"/>
        <w:ind w:left="720"/>
        <w:rPr>
          <w:lang w:val="en-US" w:eastAsia="en-US" w:bidi="ar-SA"/>
        </w:rPr>
      </w:pPr>
      <w:r>
        <w:rPr>
          <w:rFonts w:ascii="arial" w:eastAsia="arial" w:hAnsi="arial" w:cs="arial"/>
          <w:color w:val="000000"/>
          <w:sz w:val="20"/>
          <w:lang w:val="en-US" w:eastAsia="en-US" w:bidi="ar-SA"/>
        </w:rPr>
        <w:t>Mr. Sloan: There was some back and forth between the two of you of whether he had already spoken to me yesterday.</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Yes.</w:t>
      </w:r>
    </w:p>
    <w:p>
      <w:pPr>
        <w:spacing w:before="120" w:line="260" w:lineRule="atLeast"/>
        <w:ind w:left="720"/>
        <w:rPr>
          <w:lang w:val="en-US" w:eastAsia="en-US" w:bidi="ar-SA"/>
        </w:rPr>
      </w:pPr>
      <w:r>
        <w:rPr>
          <w:rFonts w:ascii="arial" w:eastAsia="arial" w:hAnsi="arial" w:cs="arial"/>
          <w:color w:val="000000"/>
          <w:sz w:val="20"/>
          <w:lang w:val="en-US" w:eastAsia="en-US" w:bidi="ar-SA"/>
        </w:rPr>
        <w:t>Mr. Sloan: And he stated, well, he hadn't had enough time.</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Yes. Did I -- did I say I would like to join the two of you during this discussion?</w:t>
      </w:r>
    </w:p>
    <w:p>
      <w:pPr>
        <w:spacing w:before="120" w:line="260" w:lineRule="atLeast"/>
        <w:ind w:left="720"/>
        <w:rPr>
          <w:lang w:val="en-US" w:eastAsia="en-US" w:bidi="ar-SA"/>
        </w:rPr>
      </w:pPr>
      <w:r>
        <w:rPr>
          <w:rFonts w:ascii="arial" w:eastAsia="arial" w:hAnsi="arial" w:cs="arial"/>
          <w:color w:val="000000"/>
          <w:sz w:val="20"/>
          <w:lang w:val="en-US" w:eastAsia="en-US" w:bidi="ar-SA"/>
        </w:rPr>
        <w:t>Mr. Sloan: Yes. Outside the door, yes, you did.</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And he said, "Get lost, Mary-Helen"?</w:t>
      </w:r>
    </w:p>
    <w:p>
      <w:pPr>
        <w:spacing w:before="120" w:line="260" w:lineRule="atLeast"/>
        <w:ind w:left="720"/>
        <w:rPr>
          <w:lang w:val="en-US" w:eastAsia="en-US" w:bidi="ar-SA"/>
        </w:rPr>
      </w:pPr>
      <w:r>
        <w:rPr>
          <w:rFonts w:ascii="arial" w:eastAsia="arial" w:hAnsi="arial" w:cs="arial"/>
          <w:color w:val="000000"/>
          <w:sz w:val="20"/>
          <w:lang w:val="en-US" w:eastAsia="en-US" w:bidi="ar-SA"/>
        </w:rPr>
        <w:t>Mr. Sloan: Something to that effect, yes.</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And that was said in a loud, stern and angry voice?</w:t>
      </w:r>
    </w:p>
    <w:p>
      <w:pPr>
        <w:spacing w:before="120" w:line="260" w:lineRule="atLeast"/>
        <w:ind w:left="720"/>
        <w:rPr>
          <w:lang w:val="en-US" w:eastAsia="en-US" w:bidi="ar-SA"/>
        </w:rPr>
      </w:pPr>
      <w:r>
        <w:rPr>
          <w:rFonts w:ascii="arial" w:eastAsia="arial" w:hAnsi="arial" w:cs="arial"/>
          <w:color w:val="000000"/>
          <w:sz w:val="20"/>
          <w:lang w:val="en-US" w:eastAsia="en-US" w:bidi="ar-SA"/>
        </w:rPr>
        <w:t>Mr. Sloan: It surprised me.</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Now, sir, you said that then you went and had a further discussion with Mr. Parsons, and you explained to Mr. Vecchio that you were starting to feel uncomfortable, and you said, "I told him at that point," but you didn't get a chance to finish your sentence. Was there something more you said?</w:t>
      </w:r>
    </w:p>
    <w:p>
      <w:pPr>
        <w:spacing w:before="120" w:line="260" w:lineRule="atLeast"/>
        <w:ind w:left="720"/>
        <w:rPr>
          <w:lang w:val="en-US" w:eastAsia="en-US" w:bidi="ar-SA"/>
        </w:rPr>
      </w:pPr>
      <w:r>
        <w:rPr>
          <w:rFonts w:ascii="arial" w:eastAsia="arial" w:hAnsi="arial" w:cs="arial"/>
          <w:color w:val="000000"/>
          <w:sz w:val="20"/>
          <w:lang w:val="en-US" w:eastAsia="en-US" w:bidi="ar-SA"/>
        </w:rPr>
        <w:t>Mr. Sloan: I told him at that point that if he was -- if he was going to come at me, that I would shut down on him.</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All right.</w:t>
      </w:r>
    </w:p>
    <w:p>
      <w:pPr>
        <w:spacing w:before="120" w:line="260" w:lineRule="atLeast"/>
        <w:ind w:left="720"/>
        <w:rPr>
          <w:lang w:val="en-US" w:eastAsia="en-US" w:bidi="ar-SA"/>
        </w:rPr>
      </w:pPr>
      <w:r>
        <w:rPr>
          <w:rFonts w:ascii="arial" w:eastAsia="arial" w:hAnsi="arial" w:cs="arial"/>
          <w:color w:val="000000"/>
          <w:sz w:val="20"/>
          <w:lang w:val="en-US" w:eastAsia="en-US" w:bidi="ar-SA"/>
        </w:rPr>
        <w:t>Mr. Sloan: Because I was feeling uncomfortable. I had, in all fairness, a preconceived idea, because my wife had talked to --</w:t>
      </w:r>
    </w:p>
    <w:p>
      <w:pPr>
        <w:spacing w:before="120" w:line="260" w:lineRule="atLeast"/>
        <w:ind w:left="720"/>
        <w:rPr>
          <w:lang w:val="en-US" w:eastAsia="en-US" w:bidi="ar-SA"/>
        </w:rPr>
      </w:pPr>
      <w:r>
        <w:rPr>
          <w:rFonts w:ascii="arial" w:eastAsia="arial" w:hAnsi="arial" w:cs="arial"/>
          <w:color w:val="000000"/>
          <w:sz w:val="20"/>
          <w:lang w:val="en-US" w:eastAsia="en-US" w:bidi="ar-SA"/>
        </w:rPr>
        <w:t>Mr. Vecchio: Well, hang on a second.</w:t>
      </w:r>
    </w:p>
    <w:p>
      <w:pPr>
        <w:spacing w:before="120" w:line="260" w:lineRule="atLeast"/>
        <w:ind w:left="720"/>
        <w:rPr>
          <w:lang w:val="en-US" w:eastAsia="en-US" w:bidi="ar-SA"/>
        </w:rPr>
      </w:pPr>
      <w:r>
        <w:rPr>
          <w:rFonts w:ascii="arial" w:eastAsia="arial" w:hAnsi="arial" w:cs="arial"/>
          <w:color w:val="000000"/>
          <w:sz w:val="20"/>
          <w:lang w:val="en-US" w:eastAsia="en-US" w:bidi="ar-SA"/>
        </w:rPr>
        <w:t>Mr. Sloan: -- one of their lawyers and --</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Hang on a second.</w:t>
      </w:r>
    </w:p>
    <w:p>
      <w:pPr>
        <w:spacing w:before="120" w:line="260" w:lineRule="atLeast"/>
        <w:ind w:left="720"/>
        <w:rPr>
          <w:lang w:val="en-US" w:eastAsia="en-US" w:bidi="ar-SA"/>
        </w:rPr>
      </w:pPr>
      <w:r>
        <w:rPr>
          <w:rFonts w:ascii="arial" w:eastAsia="arial" w:hAnsi="arial" w:cs="arial"/>
          <w:color w:val="000000"/>
          <w:sz w:val="20"/>
          <w:lang w:val="en-US" w:eastAsia="en-US" w:bidi="ar-SA"/>
        </w:rPr>
        <w:t>Mr. Vecchio: Hang on a second. I don't think we should get into this, My Lady.</w:t>
      </w:r>
    </w:p>
    <w:p>
      <w:pPr>
        <w:spacing w:before="120" w:line="260" w:lineRule="atLeast"/>
        <w:ind w:left="720"/>
        <w:rPr>
          <w:lang w:val="en-US" w:eastAsia="en-US" w:bidi="ar-SA"/>
        </w:rPr>
      </w:pPr>
      <w:r>
        <w:rPr>
          <w:rFonts w:ascii="arial" w:eastAsia="arial" w:hAnsi="arial" w:cs="arial"/>
          <w:color w:val="000000"/>
          <w:sz w:val="20"/>
          <w:lang w:val="en-US" w:eastAsia="en-US" w:bidi="ar-SA"/>
        </w:rPr>
        <w:t>Ms. Wright: Yes, That's fine, sir. Thank you, sir. Those are my questions.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defendant's written submissions, defendant's counsel referred to this as "... the misconduct of Mr. Parsons in attempting to influence the evidence of a witness ... to such an extent that Mr. Sloan thought he may need to defend himself physically". In the defendant's reply submissions, defendant's counsel submitted that Mr. Parsons' conduct in relation to Mr. Sloan was "... physically threatening behaviour".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does not substantiate the submission by defendant's counsel that Mr. Sloan thought he might need to defend himself physically, and no evidence that Mr. Parsons engaged in physically threatening behaviour towards Mr. Sloan, and neither of these submissions should have been made to this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most, Mr. Sloan suggested that he said to Mr. Parsons that if Mr. Parsons was going to come at him, he would shut down. Mr. Sloan did not say that Mr. Parsons had actually "come at him" in the physical sense, and Mr. Sloan did not say that Mr. Parsons had acted in a physically intimidating manner towards him, let alone having engaged in physically threatening behaviour.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Sloan agreed in cross-examination that when he used the word "aggressive" in relation to Mr. Parsons, he was referring to Mr. Parsons' "tone". Mr. Sloan did not describe Mr. Parsons' tone of voice. He had earlier described Mr. Parsons' tone in speaking to Ms. Wright as "abrasive". He was invited by Ms. Wright to adopt her suggestion that Mr. Parsons had spoken to her in a loud, stern and angry voice. Mr. Sloan did not expressly adopt her suggestion, instead responding merely "I was surprised." He was not asked to explain what he meant by that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All witnesses deserve to be treated with the utmost respect, particularly by counsel. All counsel must recognize that some witnesses will be nervous about involvement in court proceedings and should be careful in the manner in which a potential witness is approached and interviewed. Some witnesses may perceive pointed, firm or sceptical questioning as an attempt to influence. Some witnesses are unusually sensitive. Judges occasionally see witnesses who become angry, upset or contentious during what appears to judges and lawyers to be a relatively mild or certainly not unusually aggressive cross-examination. Some witnesses regard any suggestion that they might be mistaken in some aspect of their testimony as an attack on their integrity or a deliberate affront.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this case, Mr. Sloan's perceptions of Mr. Parsons' questions may have been exacerbated by the exchange he witnessed between Ms. Wright and Mr. Parsons, and that is unfortunate. It appears that he was also influenced by some earlier contact his wife had had with someone. There is no doubt Mr. Sloan was irritated about having been awakened from his sleep by the earlier phone call from Mr. Parsons. During his testimony, however, Mr. Sloan did not appear emotionally upset or disturbed, let alone nervous or afraid. In describing his interactions with Mr. Parsons, and the interaction he had observed between Mr. Parsons and Ms. Wright he spoke in a matter of fact tone. By the end of the re-examination, Mr. Sloan appeared to be seeking to put his earlier evidence about his response to Mr. Parsons' interviews in some fairer perspective.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Clearly the interaction between Mr. Sloan and Mr. Parsons in the hallway outside the courtroom was unsatisfactory from Mr. Sloan's perspective, but I am not persuaded that Mr. Parsons improperly attempted to influence or intimidate Mr. Sloan and I am satisfied that Mr. Parsons did not engage in physically threatening behaviour. Accordingly, no award of costs against Mr. Parsons is warranted.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NON-DISCLOSURE OF DOCUMENTS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turn now to the submissions relating to the failure by plaintiff's counsel to provide copies of Dr. Munir Elias' notes to defendant's counsel prior to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 made detailed submissions regarding the failure on the part of the plaintiff and his counsel to disclose to defendant's counsel, prior to trial, the existence of some clinical notes and records concerning Dr. Al-Hendawi that had been provided to plaintiff's counsel by Dr. Munir Elias a month or so prior to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January 2005, plaintiff's counsel travelled to Jordan, where Dr. Al-Hendawi was residing at that time, and met with Dr. Al-Hendawi and interviewed a number of potential witnesses, including physicians who had provided medical care to Dr. Al-Hendawi in Jordan. These potential witnesses included Dr. Elias, who was the neurosurgeon who had performed the surgical repair to Dr. Al-Hendawi's herniated lumbar disc. Plaintiff's counsel met with Dr. Elias on January 17, 2005, approximately three weeks before the trial began.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Plaintiff's counsel told the Court during the trial that there is a custom among physicians in Jordan to provide medical treatment to other physicians free of charge; and that in such circumstances many Jordanian physicians do not keep medical records in respect of their physician patients. This assertion was confirmed by several of the plaintiff's medical witnesses who testified by video-link from Jordan.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a failure to keep clinical notes and records in respect of a patient appears highly unusual from the perspective of persons familiar with the practices of Canadian doctors, plausible explanations were provided for the custom in Jordan.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Plaintiff's counsel concedes, however, that Dr. Elias, unlike most of his Jordanian colleagues, did have a few pages of clinical notes respecting his treatment of Dr. Al-Hendawi. They concede that when they had met with Dr. Elias in Jordan in mid-January 2005, he had his assistant prepare photocopies of his clinical notes and gave them to plaintiff's counsel. Plaintiff's counsel concede that copies of these notes were not listed on any List of Documents, (although a supplementary List was provided to defendant's counsel fairly close to the trial date); and that defendant's counsel were unaware of the existence of these documents until Dr. Elias actually referred to the clinical notes during his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this occurred, questions were asked about the documents to which Dr. Elias was referring. Mr. Vecchio, who was conducting the direct examination of Dr. Elias, appeared to believe that plaintiff's counsel did not have copies of these documents. Dr. Elias was asked to send copies by facsimile and did so. It was subsequently determined that plaintiff's counsel were already in possession of these documents and had not disclosed them to defendant's counsel. I do not recall how many pages there were -- I accept the assertion of defendant's counsel that there were 13 pages -- some referred to test results and a report of the surgery itself, as I recall, and there were also notes made of the various occasions on which Dr. Elias had seen Dr. Al-Hendawi.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referred in my Reasons of March 30, 2006 to the fact that Dr. Al-Hendawi's recollection of when he first saw Dr. Elias, and some other specific dates were inconsistent with Dr. Elias' records. These inconsistencies were understandable, however, and did not cast doubt on Dr. Al-Hendawi's credibility. The inconsistencies suggest to me, moreover, that Dr. Al-Hendawi had also forgotten about the fact that his counsel had copies of Dr. Elias' notes. Clearly plaintiff's counsel had not made use of these notes to prepare Dr. Al-Hendawi to testify at trial, suggesting that plaintiff's counsel were truthful when they asserted that the failure to produce copies of the records to defendant's counsel was mere inadvertence and not a deliberate act of non-disclosure.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submits that I should conclude that plaintiff's counsel intentionally failed to disclose the existence of these documents and attempted to mislead both defendant's counsel and the Court about the existence of the records and the fact that plaintiff's counsel were in possession of them prior to trial. They point to repeated requests made by defendant's counsel for production of medical records relating to treatment received by Dr. Al-Hendawi in Jordan; and Mr. Vecchio's statements to the Court during trial that physicians in Jordan do not keep records in relation to professional services provided to their medical colleagues.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Plaintiff's counsel maintained at trial, as they did in their submissions relating to this application for special costs, that the failure to produce Dr. Elias' records prior to trial was wrong, but the result of inadvertence, and not an attempt to steal a march on the defendant or his counsel. I have already said that the fact that Dr. Al-Hendawi did not appear to have consulted the records during preparation for trial suggests he and his counsel had forgotten about these records. Mr. Vecchio's initial confusion about what the documents were when Dr. Elias referred to them also supports the assertion that it was poor organization on the part of counsel, rather than intentional failure to disclose, that was involved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obligation on a party and that party's counsel to comply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governing disclosure of documents is an important one, and a failure to comply may be visited upon a party by an award of costs to another party, or a denial of costs to an otherwise successful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Dr. Elias' notes were clearly relevant and that is conceded. Plaintiff's counsel had the documents in their possession prior to trial and that is conceded. Plaintiff's counsel had the obligation under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to disclose the documents and failed to do so and those things are also conceded.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documents were helpful to the Court in the sense of establishing the chronology of Dr. Al-Hendawi's visits to Dr. Elias. They were not in any sense "a smoking gun", however, or of particular or potential value to the defendant. I am satisfied that the failure to produce the documents was not the result of a deliberate decision on the part of plaintiff's counsel to withhold the documents.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had the impression during trial that plaintiff's counsel were, as Mr. Vecchio in effect conceded, scrambling to get the plaintiff's case organized and underway. Mr. Vecchio and Mr. Parsons were relatively new to the file. It was a fairly complex piece of litigation, complicated by the international aspects of the matter; in particular, the time differences and cultural and language difficulties posed by the number of witnesses located in Jordan.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None of those factors excuse the failure of plaintiff's counsel to disclose the Elias notes to the defendant. They are factors that I am entitled and obliged to consider, however, when determining whether the conduct of counsel deserves rebuke in the form of a highly unusual award of special costs against counsel personally.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have considered the submissions of defendant's counsel and the authorities to which they referred in those submissions. I am not persuaded, however, that this is a case warranting an award of costs -- in particular, special costs -- against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for the defendant also referred to an x-ray that was produced only very shortly before trial. For the reasons referred to above, I am also satisfied that the failure to disclose this document earlier was the result of a lamentable lack of organization and attention, but not a deliberate attempt to conceal evidence; and that an award of special costs against counsel personally is not warranted.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defendant's application for an award of special costs is dismissed. The general rule is that costs follow the event. Given, however, that there was a failure to produce the documents of Dr. Elias and therefore a failure to comply with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I have determined that each party involved shall bear his own costs of this application.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W.G. BAKER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34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Beauchamp v. Insurance Corp. of British Columbia, [2005] B.C.J. No. 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L041296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2005 BCSC 63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18 C.C.L.I. (4th) 278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136 A.C.W.S. (3d) 536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Beauchamp, petitioner, and Insurance Corporation of British Columbia,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8"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3" w:name="Keywords_22"/>
      <w:bookmarkEnd w:id="143"/>
      <w:r>
        <w:rPr>
          <w:rFonts w:ascii="arial" w:eastAsia="arial" w:hAnsi="arial" w:cs="arial"/>
          <w:b/>
          <w:color w:val="000000"/>
          <w:sz w:val="20"/>
          <w:lang w:val="en-US" w:eastAsia="en-US" w:bidi="ar-SA"/>
        </w:rPr>
        <w:t>Civil procedure — Appeals — From masters' decisions — Insurance law — Automobile insurance — Compulsory government schemes — Uninsured or underinsured motorist coverage.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4" w:name="Case Summary_17"/>
            <w:bookmarkEnd w:id="1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Insurance Corporation of British Columbia from a Master's order ordering an arbitration. Beauchamp was injured when the stolen vehicle in which he was a passenger overturned. Beauchamp commenced an action in tort against the driver of the vehicle. As the vehicle was stolen, the driver was not insured and Beauchamp claimed that the driver did not have sufficient assets to satisfy a potential tort judgment. Beauchamp applied to the Insurance Corporation under the underinsured motorist protection scheme. The Insurance Corporation refused to provide the coverage and claimed that it was not bound to proceed to arbitration on the matter until the determination of the tort action. Beauchamp successfully applied for a Master's order forcing an arbitration.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5" w:name="Holdings of Court_12"/>
            <w:bookmarkEnd w:id="145"/>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legislation required that the tort action be decided before a claim for underinsured motorist protection could be made. The tort action was necessary in order to determine that the driver of the vehicle was underinsured and unable to satisfy the judgment. The Insurance Corporation was not compelled to participate in arbitration until the prerequisites for underinsured motorist protection coverage were satisfied.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6" w:name="Legislation Cited_17"/>
      <w:bookmarkEnd w:id="1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9"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404" w:history="1">
        <w:r>
          <w:rPr>
            <w:rFonts w:ascii="arial" w:eastAsia="arial" w:hAnsi="arial" w:cs="arial"/>
            <w:i/>
            <w:color w:val="0077CC"/>
            <w:sz w:val="20"/>
            <w:u w:val="single"/>
            <w:shd w:val="clear" w:color="auto" w:fill="FFFFFF"/>
            <w:lang w:val="en-US" w:eastAsia="en-US" w:bidi="ar-SA"/>
          </w:rPr>
          <w:t>R.S.B.C. 1996, c. 231, s. 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Revised Regulation (1984) under the Insurance (Motor Vehicle) Act, </w:t>
      </w:r>
      <w:hyperlink r:id="rId405" w:history="1">
        <w:r>
          <w:rPr>
            <w:rFonts w:ascii="arial" w:eastAsia="arial" w:hAnsi="arial" w:cs="arial"/>
            <w:i/>
            <w:color w:val="0077CC"/>
            <w:sz w:val="20"/>
            <w:u w:val="single"/>
            <w:shd w:val="clear" w:color="auto" w:fill="FFFFFF"/>
            <w:lang w:val="en-US" w:eastAsia="en-US" w:bidi="ar-SA"/>
          </w:rPr>
          <w:t>B.C. Reg 447/83, ss. 148</w:t>
        </w:r>
      </w:hyperlink>
      <w:r>
        <w:rPr>
          <w:rFonts w:ascii="arial" w:eastAsia="arial" w:hAnsi="arial" w:cs="arial"/>
          <w:color w:val="000000"/>
          <w:sz w:val="20"/>
          <w:lang w:val="en-US" w:eastAsia="en-US" w:bidi="ar-SA"/>
        </w:rPr>
        <w:t>, 148.1(1), 148.2, 148.2(1).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7" w:name="Counsel_23"/>
      <w:bookmarkEnd w:id="1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0"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Petitioner/Respondent: W.D. Mussio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Respondent/Appellant: R.F. Hungerford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23"/>
      <w:bookmarkEnd w:id="148"/>
      <w:r>
        <w:pict>
          <v:line id="_x0000_s1141"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9" w:name="GOEPEL J."/>
            <w:bookmarkEnd w:id="149"/>
            <w:r>
              <w:rPr>
                <w:rFonts w:ascii="arial" w:eastAsia="arial" w:hAnsi="arial" w:cs="arial"/>
                <w:b/>
                <w:color w:val="000000"/>
                <w:sz w:val="30"/>
                <w:lang w:val="en-US" w:eastAsia="en-US" w:bidi="ar-SA"/>
              </w:rPr>
              <w:t>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Insurance Corporation of British Columbia ("ICBC") appeals from a Master's order appointing an arbitrator pursuant to s. 148.2 of the Revised Regulation (1984) Under the Insurance (Motor Vehicle) Act, </w:t>
      </w:r>
      <w:hyperlink r:id="rId406"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(the "Regulation"). The issue is whether a claim for underinsured motorist protection ("UMP") can proceed while the underlying tort action remains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order was made pursuant to a petition commenced on May 26, 2004. The petition contains the following statements of fact:</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30, 1995, the Petitioner was a passenger of a 1991 Cheverolet [sic] Blazer licence plate number 975565 (the "Blazer") operated by Timothy Alexander Smith ("Mr. Smith").</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Smith was driving the Blazer on Observation Mountain, near the City of Grand Forks, in the Province of British Columbia when he lost control of the Blazer causing it to roll (the "Accident").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Smith had acquired possession of the Blazer by stealing the Blazer from ABH Car Sales Ltd. from a sales lot in the City of Grand Forks, in the Province of British Columbia.</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was a passenger in the Blazer driven by Mr. Smith and suffered injuries as a result of the Accident.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Blazer was owned by ABH Car Sales Ltd., and insured under a Garage Policy effective from January 11, 1994 to October 31, 1995.</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21, 1997, the Petitioner, by his Guardian ad Litem, Margaret Beauchamp, commenced an action against Mr. Smith, claiming damages arising from the Accident (Michael Beauchamp, by his Guardian Ad Litem, Margaret Beauchamp v. Timothy Alexander Smith, Supreme Court of British Columbia, Vancouver Registry No. B971892 (the "Action").</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letter dated November 10, 1998, the solicitor for the Respondent stated that the position of the Respondent was that the Petitioner was not entitled to benefits under the uninsured and/or underinsured vehicle provisions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"Act"), and was not entitled to Part VII benefits under the Act.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23, 1999, the Respondent Insurance Corporation of British Columbia commenced an action against the Petitioner (Insurance Corporation of British Columbia v. Michael Beauchamp, Supreme Court of British Columbia, Vancouver Registry No. B992654 (the "ICBC Action").</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ICBC Action, the Respondent claimed that the Petitioner was not entitled to payment of damages pursuant to section 20 of the Act.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was required by the Revised Regulation (1984) under the Act to obtain a determination of section 20 coverage before being able to proceed with an Underinsured Motorist Protection ("UMP") claim.</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a letter dated February 27, 2002, the position of the Respondent was outlined by counsel for the Respondent: "UMP does not apply until it has been determined that the claim is against an uninsured motorist, someone who is unable to pay the full damages awarded to the claimant, which in this case has not yet been determined."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ICBC Action concluded with the Petitioner agreeing that he was not entitled to section 20 coverage as the Accident did not occur on a "highway" as required by section 20 of the Act.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9, 2003, a Consent Order was entered in the Vancouver Registry of the Supreme Court of British Columbia declaring that the Accident did not occur on a "highway" for the purposes of section 20 of the Act, and that the Petitioner is not a "claimant" as defined in section 20 of the Act.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letter dated January 26, 2004, Wes Mussio, solicitor for the Petitioner, wrote to the solicitor for the Respondent, Robert Hungerford. Mr. Mussio stated that given the Respondent's position that the Petitioner was not entitled to UMP coverage, pursuant to section 148 of the Regulations, the dispute with respect to the Petitioner's entitlement to UMP coverage should be submitted to an arbitrator pursuant to the Commercial Arbitration Act. Mr. Mussio requested that Mr. Hungerford provide the names of three arbitrators acceptable to the Respondent.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a letter dated February 6, 2004, Mr. Hungerford advised Mr. Mussio that the position of the Respondent was that the Petitioner had not pursued "all other remedies available to him" and therefore was not qualified to claim underinsured motorist protection. The position of the Respondent was that given that the Respondent [sic] "has not satisfied this fundamental prerequisite, any arbitrator appointed to hear this matter would lack requisite jurisdiction."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an email sent February 10, 2004, Mr. Mussio informed Mr. Hungerford that the Petitioner had pursued all avenues to receive compensation "including seeking damages from Timothy Alexander Smith and seeking coverage under Section 20. Mr. Smith is without assets to satisfy any judgment and it has been determined by Court Order that Mr. Beauchamp is not entitled to payment under Section 20." Mr. Mussio again informed Mr. Hungerford that any disagreement should be decided by an arbitrator, and again requested the Respondent's choice of arbitrators.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a letter dated February 13, 2004, Mr. Hungerford informed Mr. Mussio that the Respondent took the position that the Petitioner had not satisfied the requirements of the UMP provisions under the Regulations, and that Section 148.2 of the Regulations did not apply as there was no unsatisfied judgment in the underlying tort action, so there was to "underinsured motorist." Mr. Hungerford further advised that the position of the Respondent was that the fact that Mr. Smith was without assets did not fulfil "what is a fundamental precondition for the UMP arbitration."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 letter dated April 19, 2004, Mr. Mussio made another request to Mr. Hungerford for the Respondent[']s choice of arbitrators, and informed Mr. Hungerford that if no response was received, an application would be made.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response to Mr. Mussio's letter of April 19, 2004 has been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Beauchamp's tort action against Mr. Smith has moved slowly. Although the writ was issued on March 21, 1997, the statement of claim was not filed until May 5, 2004. The statement of defence was filed May 25,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is contested in the tort action. The statement of defence alleges that Mr. Beauchamp and Mr. Smith were engaged in a criminal enterprise and that the legal principles of ex turpi causa non oritur actio and volenti non fit injuria are complete answers to the Mr. Beauchamp's claim. The defence also pleads that Mr. Beauchamp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tort action is to be heard by a jury. It is estimated that the trial will take 20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Part 10, Division (2) of the Regulation provides for UMP coverage. The provisions relevant to this application include:</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"underinsured motorist" means an owner or operator of a vehicle who is legally liable for the injury or death of an insured but is unable, when the injury or death occurs, to pay the full amount of damages recoverable by the insured or his personal representative in respect of the injury or death.</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death or injury of an insured is caused by an accident that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arises out of the use or operation of a vehicle by an underinsured motorist,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occurs in Canada or the United States of America or on a vessel travelling between Canada and the United States of America,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shall, subject to subsections (1), (5) and (6) and section 148.4, compensate the insured, or a person who has a claim in respect of the death of the insured, for any amount he is entitled to recover from the underinsured motorist as damages for the injury or death.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148.2(1) The determination as to whether an insured provided underinsured motorist protection under section 148.1 is entitled to compensation and, if so entitled, the amount of compensation, shall be made by agreement between the insured and the corporation, but any dispute as to whether the insured is entitled to compensation or as to the amount of compensation shall be submitted to arbitration under the Commercial Arbitration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Beauchamp submits that his entitlement to UMP coverage should be arbitrated before the tort claim is resolved. He says that if he is not entitled to UMP coverage, it is unlikely that the tort action will proceed. He submits that he should not have to incur the cost and expense of a trial if ultimately he will be unable to recover the amounts that might be awarded to him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ICBC submits that a claim for UMP coverage cannot proceed until it is established that the insured was injured in an accident arising out of the operation of a vehicle by an underinsured motorist. This requires a determination of both legal liability and inability to pay damages on the part of the operator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ICBC relies on Dahl v. Whitehill </w:t>
      </w:r>
      <w:hyperlink r:id="rId407" w:history="1">
        <w:r>
          <w:rPr>
            <w:rFonts w:ascii="arial" w:eastAsia="arial" w:hAnsi="arial" w:cs="arial"/>
            <w:i/>
            <w:color w:val="0077CC"/>
            <w:sz w:val="20"/>
            <w:u w:val="single"/>
            <w:shd w:val="clear" w:color="auto" w:fill="FFFFFF"/>
            <w:lang w:val="en-US" w:eastAsia="en-US" w:bidi="ar-SA"/>
          </w:rPr>
          <w:t>(1996), 17 B.C.L.R. (3d) 226</w:t>
        </w:r>
      </w:hyperlink>
      <w:r>
        <w:rPr>
          <w:rFonts w:ascii="arial" w:eastAsia="arial" w:hAnsi="arial" w:cs="arial"/>
          <w:color w:val="000000"/>
          <w:sz w:val="20"/>
          <w:lang w:val="en-US" w:eastAsia="en-US" w:bidi="ar-SA"/>
        </w:rPr>
        <w:t xml:space="preserve"> (S.C.). In Dahl, the parties agreed that the plaintiff was entitled to UMP coverage. The dispute was in regard to compensation. In his decision, Hogarth J. noted at [paragraph] 7 that s. 148.2(1):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relates to the preceding section, 148.1, and presumes before the application of the arbitration provision comes into effect, that the "insured" is an "insured" as defined by the earlier section and that an "underinsured motorist" is the cause of the injuries for which compensation is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Hogarth J. went on to hold at [paragraph]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subsection 148.2 does not apply until it has already been determined that the person claiming, the "insured", is claiming as a consequence of an accident with an "underinsured motorist", that is, someone who is unable to pay the full damages awarded to the insured. This amount can only be claimed in the action and after a trial or an assessment. The Third Party can defend the action in the stead of the Defendant if it so desires and raise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before any claim can be made under the provisions of an UMP the final amount in the action is to be determined, as until then there is no "underinsured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 OF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Master distinguished Dahl. He held that Dahl did not lay down an absolute rule that an arbitrator can have no jurisdiction until a judgment has been made. He noted that the Regulation does not make any reference as to when the arbitration should take place and held that, given the lack of specificity, the court had discretion to make whatever order seemed most appropriate in the circumstances, taking into account potential prejudice to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Master assessed the prejudice that each side might face and determined that the balance of convenience favoured the petitioner. Although acknowledging the logic of ICBC's submission that it was under no obligation to pay UMP compensation until judgment had been obtained in the tort action and it was established that the tortfeasor could not pay it, he held that such a process might involve everyone in an extremely lengthy and expensive jury trial which may prove to be a completely useless exercise if Mr. Beauchamp succeeds in establishing liability, but an arbitrator later rules that there was no entitlement to UMP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result, the Master ordered that an arbitrator be appointed to determine Mr. Beauchamp's entitlement to UMP coverage on the assumption that judgment had been obtained against the tortfeasor and on the further assumption that the tortfeasor was unable to satisfy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SCOPE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ICBC submits that because the order is final in nature and fully disposes of all issues raised in the petition the Master did not have jurisdiction to hear the petition. If the Master had jurisdiction, ICBC submits that the order was vital to the final outcome of the proceeding or is a pure question of law, and therefore the proper forum of review is a re-hearing: Abermin Corp. v. Granges Exploration Ltd. </w:t>
      </w:r>
      <w:hyperlink r:id="rId165"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(S.C.). Alternatively, ICBC submits that the Master's conclusion was clearly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jurisdiction, I share the concerns of ICBC as to whether or not the Master had jurisdiction to make the order in question. As I am satisfied that the proper forum for review is a re-hearing, I need not decide the jurisdiction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is, with respect, not a case of balancing prejudices. Mr. Beauchamp's tort claim against Mr. Smith is a separate proceeding from his UMP claim. They are not parallel proceedings; they must proceed sequentially. Resolution of the tort claim is a prerequisite to UMP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UMP coverage is only available when the tortfeasor is an "underinsured motorist". That term, as previously noted, is defined in the Regulation and requires that the tortfeasor be an owner or operator of a vehicle, legally liable for the death or injury of an insured, but unable to pay the full amount of the insured's damage. There is no UMP coverage unless a tortfeasor meets these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agree with the comments of Hogarth J. in Dahl that s. 148.2 does not apply until the existence of an underinsured motorist is determined. In this case, that requires a determination that Mr. Smith is legally liable for Mr. Beauchamp's injuries and is unable to pay the full amount of damages awarded in respect of those injuries. Legal liability and damages can only be decided in the tort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UMP is available to persons injured or killed in accidents with underinsured motorists. The entitlement is a contractual one as between an injured party who meets certain prerequisites (the "insured") and ICBC. Coverage is not absolute. Disputes about whether an insured is entitled to compensation and the amount of compensation are resolved by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ICBC cannot be compelled to participate in an arbitration concerning UMP coverage until the prerequisite for such coverage has been established. The Master was clearly wrong in ordering an arbitration based on hypothetical or assumed facts which may never come into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result, the appeal is allowed. The petition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2"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B.G. v. British Columbia, [2002] B.C.J. No. 2246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S001252, S006674, S005324,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S013712, S004768, S005845, S006656, S013688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2246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1417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221 D.L.R. (4th) 751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398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B.G., also known as B.C.R. and as B.V.G., A.G., R.P., and I.S., plaintiffs, and Her Majesty the Queen in Right of the Province of British Columbia and John Doe (a person unknown), defendants (Vancouver Registry No. S001252) And between R.A., plaintiff, and Her Majesty the Queen in Right of the Province of British Columbia, defendant (Vancouver Registry No. S006674) And between L.D., plaintiff, and Her Majesty the Queen in Right of the Province of British Columbia, defendant (Vancouver Registry No. S005324) And between G.R.G., plaintiff, and Her Majesty the Queen in Right of the Province of British Columbia, defendant (Vancouver Registry No. S013712) And between R.H., plaintiff, and Her Majesty the Queen in Right of the Province of British Columbia, defendant (Vancouver Registry No. S004768) And between L.W.O., plaintiff, and Her Majesty the Queen in Right of the Province of British Columbia, defendant (Vancouver Registry No. S005845) And between R.C.S., plaintiff, and Her Majesty the Queen in Right of the Province of British Columbia, defendant (Vancouver Registry No. S006656) And between J.A.T. also known as R.B.T., plaintiff, and Her Majesty the Queen in Right of the Province of British Columbia, defendant (Vancouver Registry No. S013688)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3"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0" w:name="Keywords_23"/>
      <w:bookmarkEnd w:id="150"/>
      <w:r>
        <w:rPr>
          <w:rFonts w:ascii="arial" w:eastAsia="arial" w:hAnsi="arial" w:cs="arial"/>
          <w:b/>
          <w:color w:val="000000"/>
          <w:sz w:val="20"/>
          <w:lang w:val="en-US" w:eastAsia="en-US" w:bidi="ar-SA"/>
        </w:rPr>
        <w:t>Practice — Conduct of trial — Ban on publication — When available.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1" w:name="Case Summary_18"/>
            <w:bookmarkEnd w:id="1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Crown to ban the publication of the names or identifying information of former personnel of the Brannan Lake School for Boys until the court issued a final judgment in the matter. The action was for damages arising out of sexual and physical assaults of BG and the other plaintiffs by school employees allegedly committed while they were attending the school. It was alleged that other employees learned of the occurrences and had failed to respond to them. Some of the staff members against whom allegations were made were dead. A small number of the former staff members were still living. None of the staff had been personally sued and none had been criminally charged or convicted.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2" w:name="Holdings of Court_13"/>
            <w:bookmarkEnd w:id="15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partial publication ban was ordered to protect the identities of the former staff accused of perpetrating the assaults. The protection of the innocent exception to the general principle of openness applied to those individuals. It was imperative to prevent irreparable harm to their reputations unless and until the allegations had been proved. However, the deceased staff members were not precluded from having their identities protected. The plaintiffs' case would not be prejudiced by the ban. A ban was not ordered for the former staff accused of failing to respond or for the witnesses for the Crown who were not accused of any wrongdoing. It could not be said that those people would suffer such damage to their private interests such that the exception to the general rule ought to be invoked. The allegations of failing to respond were not in the same category as the allegations of abuse.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3" w:name="Legislation Cited_18"/>
      <w:bookmarkEnd w:id="1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4"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ss. 2(b), 11(d).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4" w:name="Counsel_24"/>
      <w:bookmarkEnd w:id="1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5"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Megan R. Ellis, for the plaintiff/respondents. Joan M. Young, for the defendant/applicants.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5" w:name="Judgment_24"/>
      <w:bookmarkEnd w:id="155"/>
      <w:r>
        <w:pict>
          <v:line id="_x0000_s1146" style="position:absolute;z-index:2518364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March 14, 2003.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6" w:name="WONG J."/>
            <w:bookmarkEnd w:id="156"/>
            <w:r>
              <w:rPr>
                <w:rFonts w:ascii="arial" w:eastAsia="arial" w:hAnsi="arial" w:cs="arial"/>
                <w:b/>
                <w:color w:val="000000"/>
                <w:sz w:val="30"/>
                <w:lang w:val="en-US" w:eastAsia="en-US" w:bidi="ar-SA"/>
              </w:rPr>
              <w:t>WONG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Crown, to ban the publication of the names or identifying information of former personnel of Brannan Lake School for Boys (hereinafter BLS) until this court issues final judgment in this matter. Specifically, the Crown seeks an order preventing the media from publishing the names or identities of the former personnel. The Crown is not seeking to restrain the media from publishing the evidence; nor is it seeking to enjoin the plaintiffs from referring to the names of these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action is for damages arising out of alleged sexual and physical assaults of the plaintiffs committed while they were attending BLS - a facility for boys involved in juvenile delinquency proceedings or on probation. The plaintiffs allege that the Crown is vicariously liable for the acts of abuse perpetrated against the plaintiffs by a number of former staff of BLS; that it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it is liable by virtue of breaching a fiduciary duty owed to each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allegations against some of the former BLS personnel are that they committed acts of physical and sexual abuse; the allegations against other former personnel are that they failed to respond adequately when told of the occurrences of abuse. At least nine former staff against whom allegations of either sexual or physical misconduct have been made are deceased, and one former staff person is incompetent by reason of having dementia. A small number of former staff members against whom allegations have been made are still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Recently, there have been a number of media stories about the BLS litigation in which the allegations against former BLS staff have been published. Two names have been included in the stories in connection with the claims for sexual and/or physical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Crown is concerned about the fairness of having very serious allegations against former staff of BLS published before any finding of wrongdoing has been made in relation to that person. Their concern is accentuated by the fact that none of the staff alleged to have committed the assaults has been sued personally in the eight lawsuits before the court, nor have any of them been charged or convicted of any criminal offences relating to BLS. The Crown submitted that the former personnel are entitled to be considered "innocent" against the very serious allegations made against them until they have been proven in court. The Crown also submitted that those against whom no allegations of wrongdoing have been made ought to be protected from possible reprisals that may occur should their identities become known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oppose the application, on the basis that it does not meet the test required to order a publication ban. Counsel for the plaintiffs submitted that the ban requested would amount to an unprecedented restriction on publication on the basis that no precedent exists for protecting the identity of a deceased person, that it is not appropriate to protect the identities of public employees accused of wrongdoing, and that it is even less appropriate to protect the identities of public employees against whom no allegations of wrongdoing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Should a partial publication ban be ordered to protect the identities of the following categories of individuals?</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former BLS personnel accused of perpetrating physical and/or sexual assault against the plaintiffs.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issue necessitates a consideration of the effect, if any, that the fact many of the alleged abusers are deceased has on the decision to grant a partial publication ban.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former BLS personnel accused of learning of the occurrences of abuse, and failing to respond to them.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Witnesses who will testify for the Crown who are not accused of any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concluded that the answer to category 1 is yes; the answers to categories 2 and 3 are no. The following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starting point in considering the question of the necessity of proceedings being conducted in open courts is the decision of the House of Lords in Scott v. Scott, [1913] A.C. 417. This decision sets out the "open court" principle and is now considered authority for the proposition that, subject to certain exceptions, courts must, as between parties, administer justice in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Supreme Court of Canada has also made it clear that freedom of expression, an open court, and judicial accountability are principles of a free and democratic society. A publication ban, or an order banning the publication of any name or feature of a case which might disclose the identity of a litigant, curtails the public's right to know, and judicial accountability: Nova Scotia (Attorney General) v. MacIntyre, </w:t>
      </w:r>
      <w:hyperlink r:id="rId415" w:history="1">
        <w:r>
          <w:rPr>
            <w:rFonts w:ascii="arial" w:eastAsia="arial" w:hAnsi="arial" w:cs="arial"/>
            <w:i/>
            <w:color w:val="0077CC"/>
            <w:sz w:val="20"/>
            <w:u w:val="single"/>
            <w:shd w:val="clear" w:color="auto" w:fill="FFFFFF"/>
            <w:lang w:val="en-US" w:eastAsia="en-US" w:bidi="ar-SA"/>
          </w:rPr>
          <w:t>[1982] 1 S.C.R. 175</w:t>
        </w:r>
      </w:hyperlink>
      <w:r>
        <w:rPr>
          <w:rFonts w:ascii="arial" w:eastAsia="arial" w:hAnsi="arial" w:cs="arial"/>
          <w:color w:val="000000"/>
          <w:sz w:val="20"/>
          <w:lang w:val="en-US" w:eastAsia="en-US" w:bidi="ar-SA"/>
        </w:rPr>
        <w:t xml:space="preserve">; Dagenais v. Canadian Broadcasting Corporation, </w:t>
      </w:r>
      <w:hyperlink r:id="rId416" w:history="1">
        <w:r>
          <w:rPr>
            <w:rFonts w:ascii="arial" w:eastAsia="arial" w:hAnsi="arial" w:cs="arial"/>
            <w:i/>
            <w:color w:val="0077CC"/>
            <w:sz w:val="20"/>
            <w:u w:val="single"/>
            <w:shd w:val="clear" w:color="auto" w:fill="FFFFFF"/>
            <w:lang w:val="en-US" w:eastAsia="en-US" w:bidi="ar-SA"/>
          </w:rPr>
          <w:t>[1994] 3 S.C.R. 835</w:t>
        </w:r>
      </w:hyperlink>
      <w:r>
        <w:rPr>
          <w:rFonts w:ascii="arial" w:eastAsia="arial" w:hAnsi="arial" w:cs="arial"/>
          <w:color w:val="000000"/>
          <w:sz w:val="20"/>
          <w:lang w:val="en-US" w:eastAsia="en-US" w:bidi="ar-SA"/>
        </w:rPr>
        <w:t>. Publication bans, which restrict public accessibility, are therefore an exception to the general presumption in favour of an open court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Publication bans may be authorised by the common law as well as the legislature. In Dagenais, supra, the Supreme Court of Canada considered the common law rule governing the issuance of publication bans. The case involved a challenge to an order delaying the broadcasting of a CBC "docudrama" entitled "The Boys of St. Vincent." The allegedly fictional account of physical and sexual abuse of young boys at a Catholic institution was to air at the same time that trials of four members of the Christian Brothers, charged with similar offences, were proceeding and/or pending.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Writing for the majority, Lamer C.J. outlined the procedure and considerations pertinent in granting or refusing publication bans. He established that the pre-Charter common law rule governing publication bans emphasized the right to a fair trial over the free expression interests of those affected by the ban. This, in effect, created a hierarchy of rights which, in his view, was unsustainable given the equal status afforded to freedom of expression in s. 2(b) and the right to a fair trial, and to be presumed innocent until proven guilty in s. 11(d) of the Charter. When two protected rights come into conflict, Charter principles require a balance to be achieved that fully respects the importance of both rights. The new rule as set out by Lamer C.J.C. seeks to strike a balance between these two sets of rights as follows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publication ban should only be ordered when: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 ban is necessary in order to prevent a real and substantial risk to the fairness of the trial because reasonably available alternative measures will not prevent the risks;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salutary effects of the publication ban outweigh the deleterious effects to the free expression of those affected by the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Thus Dagenais, supra, establishes that the decision to grant a publication ban under the common law requires the balancing of competing interests. The decision is at the discretion of the presiding judge, and if ordered, the publication ban can be wide-ranging or extremely limited, depending on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free access has been considered essential for maintaining public confidence in the judicial system, there are recognized exceptions to the "open court" principle. In MacIntyre, supra, Dickson J., as he then was, said at p. 186-187: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curtailment of public accessibility can only be justified where there is present the need to protect social values of superordinate importance. One of these is the protection of the innocent.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Protection of the innocent from unnecessary harm is a valid and important policy consideration. In my view that consideration overrides the public access interest in those cases where a search is made and nothing is found. The public right to know must yield to the protection of the innocent...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this case, Dickson J. was dealing with the issue of search warrants. If a warrant is granted, the contents published, and no incriminating evidence is then found, that person will have suffered irreparable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 v. C. (sub nom. Dr. "A" v. Mr. "C") </w:t>
      </w:r>
      <w:hyperlink r:id="rId417" w:history="1">
        <w:r>
          <w:rPr>
            <w:rFonts w:ascii="arial" w:eastAsia="arial" w:hAnsi="arial" w:cs="arial"/>
            <w:i/>
            <w:color w:val="0077CC"/>
            <w:sz w:val="20"/>
            <w:u w:val="single"/>
            <w:shd w:val="clear" w:color="auto" w:fill="FFFFFF"/>
            <w:lang w:val="en-US" w:eastAsia="en-US" w:bidi="ar-SA"/>
          </w:rPr>
          <w:t>(1994), 89 B.C.L.R. (2d) 92</w:t>
        </w:r>
      </w:hyperlink>
      <w:r>
        <w:rPr>
          <w:rFonts w:ascii="arial" w:eastAsia="arial" w:hAnsi="arial" w:cs="arial"/>
          <w:color w:val="000000"/>
          <w:sz w:val="20"/>
          <w:lang w:val="en-US" w:eastAsia="en-US" w:bidi="ar-SA"/>
        </w:rPr>
        <w:t xml:space="preserve"> (B.C.S.C.) addressed the court's authority to protect the identity of an alleged perpetrator of sexual assault in a civil case. The plaintiff in this case was a physician who brought a defamation action against the defendants following a complaint that he had sexually abused their five year old daughter. The plaintiff had obtained an order requiring, inter alia, that the parties be referred to by pseudonyms in court records and that the defendants be enjoined from disclosing the identities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Esson C.J.S.C., as he then was, upheld the order permitting the doctor to bring the action under a pseudonym. His reasons provide guidance in many respects. He first confirmed that in a civil action, the court has inherent jurisdiction to protect the identity of a person alleged to have committed a sexual assault. At p. 98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submission is that, as a matter of law, those who claim to have been victimized are entitled to protection if they seek it, but those alleged to be the victimizers are entitled to no protection. None of the cases cited in support of this novel proposition, on examination, will be found to provide such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a thorough review of the authorities, he articulated his findings with respect to the court's jurisdiction at p.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no merit in the contention that this court, in a civil action, has no inherent jurisdiction to order that the identity of a person alleged to have committed sexual assault be protected. The question ... is to be decided on the ordinary principles applicable to granting interim injunctions with due regard to the presumption that court proceedings should not be concealed from the public without strong grounds for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After confirming that the court had jurisdiction to protect the identity of an alleged abuser in a civil assault case, Esson C.J.S.C. considered whether on the facts of that case the court should grant the order sought. He adopted the test set out by McFarlane J.A., speaking for the Court, in Hirt v. College of Physicians and Surgeons (British Columbia) </w:t>
      </w:r>
      <w:hyperlink r:id="rId418" w:history="1">
        <w:r>
          <w:rPr>
            <w:rFonts w:ascii="arial" w:eastAsia="arial" w:hAnsi="arial" w:cs="arial"/>
            <w:i/>
            <w:color w:val="0077CC"/>
            <w:sz w:val="20"/>
            <w:u w:val="single"/>
            <w:shd w:val="clear" w:color="auto" w:fill="FFFFFF"/>
            <w:lang w:val="en-US" w:eastAsia="en-US" w:bidi="ar-SA"/>
          </w:rPr>
          <w:t>(1985), 60 B.C.L.R. 273</w:t>
        </w:r>
      </w:hyperlink>
      <w:r>
        <w:rPr>
          <w:rFonts w:ascii="arial" w:eastAsia="arial" w:hAnsi="arial" w:cs="arial"/>
          <w:color w:val="000000"/>
          <w:sz w:val="20"/>
          <w:lang w:val="en-US" w:eastAsia="en-US" w:bidi="ar-SA"/>
        </w:rPr>
        <w:t>, who said at p. 285: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say merely that some embarrassment may follow disclosure, but one must be able to say that, on balance, the need to apply an exception to the general rule is imperative. Applying the approach required by s.1 of the Charter, it must be shown that the limitation upon the general rule is reasonable and demonstrably justified in a free and democratic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Esson C.J.S.C. concurred with Dickson J.'s conclusion in MacIntyre, supra, that curtailment of public accessibility can only be justified where there is present the need to protect social values of superordinate importance. One of these is the protection of the innocent.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protection of the "innocent" can justify an exception to the open court rule because of the potential for abuse which is created by our practice in respect of pleadings. Esson C.J.S.C. articulated the issue at p. 102: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statement of claim is accepted for filing with no check upon its contents and is then available for public inspection. The contents of the documents are determined unilaterally by whoever drafts the document. Absolute privilege attaches to anything said in pleadings, as it does to all utterances and communications in the course of court proceedings, and that even if the words are totally false, spoken in bad faith and with actual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Esson C.J.S.C. observed that the word "innocent" is used in a narrow sense in civil cases to describe persons against whom unsubstantiated allegations are made in the proceedings. Until a trial has occurred, there is no way of knowing whether the allegations are true. In the meantime, however, the individual against whom the allegations are made may be seen to be guilty in the eyes of the public. While someone is yet "innocent" against the unproven allegations, it may be necessary to protect his or her identity so that his or her reputation does not suffer irreparable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exception does not just apply to plaintiffs or witnesses in a civil action. Because there is no way of knowing if there is any truth to an allegation made against a defendant in a civil action, they too are entitled to be protected as "innocent". Therefore, an exception to the openness principle may apply while still unsubstantiated allegations have been made against a person, in order to address the concern that that person is entitled to be treated as innocent in relation to those allegations until they are proven in court. Esson C.J.S.C. concluded that the protection of the "innocent" from unnecessary harm is a valid and important policy consideration. In some cases, the public right to know must yield to the protection of the innocent.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Esson C.J.S.C. also found that there are different degrees to which the principle of openness should be applied to court proceedings depending on the stage and nature of the proceedings. He felt that there is more scope for properly limiting access at preliminary and interlocutory stages, when still unsubstantiated claims have been made against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Esson C.J.S.C. found that Dr. A was entitled to be included among the innocent in relation to unsubstantiated allegations in the pleadings. The court had no way of knowing yet whether there was any truth to the "dreadful allegations" described in the statement of claim. At that point, they were allegations only. No criminal charges had been laid, and the College had not suspended the doctor's right to practice. Esson C.J.S.C. said that the circumstances did not establish that Dr. A was "innocent" but they supported treating him as "innocent" at this stage, and he concluded that the order restricting publication had been properly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 v. C, supra, has been cited with approval in a number of other jurisdictions in support of a superior court's jurisdiction to order a publication ban in these circumstances, and in support of the policy considerations elaborated on by Esson C.J.S.C. In both H.(T) v. G.(C.D.), </w:t>
      </w:r>
      <w:hyperlink r:id="rId419" w:history="1">
        <w:r>
          <w:rPr>
            <w:rFonts w:ascii="arial" w:eastAsia="arial" w:hAnsi="arial" w:cs="arial"/>
            <w:i/>
            <w:color w:val="0077CC"/>
            <w:sz w:val="20"/>
            <w:u w:val="single"/>
            <w:shd w:val="clear" w:color="auto" w:fill="FFFFFF"/>
            <w:lang w:val="en-US" w:eastAsia="en-US" w:bidi="ar-SA"/>
          </w:rPr>
          <w:t>[1997] 7 W.W.R. 318</w:t>
        </w:r>
      </w:hyperlink>
      <w:r>
        <w:rPr>
          <w:rFonts w:ascii="arial" w:eastAsia="arial" w:hAnsi="arial" w:cs="arial"/>
          <w:color w:val="000000"/>
          <w:sz w:val="20"/>
          <w:lang w:val="en-US" w:eastAsia="en-US" w:bidi="ar-SA"/>
        </w:rPr>
        <w:t xml:space="preserve"> (Man. Q.B.) and in B.(P.) v. B. (J.) </w:t>
      </w:r>
      <w:hyperlink r:id="rId420" w:history="1">
        <w:r>
          <w:rPr>
            <w:rFonts w:ascii="arial" w:eastAsia="arial" w:hAnsi="arial" w:cs="arial"/>
            <w:i/>
            <w:color w:val="0077CC"/>
            <w:sz w:val="20"/>
            <w:u w:val="single"/>
            <w:shd w:val="clear" w:color="auto" w:fill="FFFFFF"/>
            <w:lang w:val="en-US" w:eastAsia="en-US" w:bidi="ar-SA"/>
          </w:rPr>
          <w:t>(1998), 13 C.P.C. (4th) 221</w:t>
        </w:r>
      </w:hyperlink>
      <w:r>
        <w:rPr>
          <w:rFonts w:ascii="arial" w:eastAsia="arial" w:hAnsi="arial" w:cs="arial"/>
          <w:color w:val="000000"/>
          <w:sz w:val="20"/>
          <w:lang w:val="en-US" w:eastAsia="en-US" w:bidi="ar-SA"/>
        </w:rPr>
        <w:t>, (N.B.Q.B.) in balancing the interests at stake, the court found that the protection of the "innocent" was an important policy consideration that took precedence over the open court rule. Because of the potential harm caused by extremely serious allegations set out in a statement of claim, it may be appropriate to protect the identity of a defendant in certain types of civil actions so that his/her reputation will not suffer unjustly in the eyes of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J. Doe v. TBH </w:t>
      </w:r>
      <w:hyperlink r:id="rId421" w:history="1">
        <w:r>
          <w:rPr>
            <w:rFonts w:ascii="arial" w:eastAsia="arial" w:hAnsi="arial" w:cs="arial"/>
            <w:i/>
            <w:color w:val="0077CC"/>
            <w:sz w:val="20"/>
            <w:u w:val="single"/>
            <w:shd w:val="clear" w:color="auto" w:fill="FFFFFF"/>
            <w:lang w:val="en-US" w:eastAsia="en-US" w:bidi="ar-SA"/>
          </w:rPr>
          <w:t>(1996), 45 C.P.C. (3d) 1</w:t>
        </w:r>
      </w:hyperlink>
      <w:r>
        <w:rPr>
          <w:rFonts w:ascii="arial" w:eastAsia="arial" w:hAnsi="arial" w:cs="arial"/>
          <w:color w:val="000000"/>
          <w:sz w:val="20"/>
          <w:lang w:val="en-US" w:eastAsia="en-US" w:bidi="ar-SA"/>
        </w:rPr>
        <w:t xml:space="preserve"> (Ont. Gen. Div.) is another case that confirmed the policy of protecting the innocent, but made it clear that a publication ban would not be ordered to save a person from embarrassment. The court found that the possible embarrassment to the previous residents and staff of the defendant, although regrettable, was not enough to overcome the public policy favouring openness of the court system in order to foster confidence in its integrity. Lane J. referred to the observations of the Supreme Court of Canada in MacIntyre, supra, on this point at p.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general rule, the sensibilities of the individuals involved are no basis for the exclusion of the public from judicial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was not persuaded that protection from embarrassment, even of people doing very good work and caught up in a situation not of their own making, is a social value of sufficient importance to justify an exception to the general principle of openness.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found that while the publication of the unproven allegations at the pre-trial stage could cause severe damage to the defendant and its role as protector of its residents, Lane J. emphasized that the defendant's rights had to be balanced with those of the public. The public had the right to be assured that its agencies and its courts were doing their jobs properly. However, during the pre-trial stage the defendant would be unable to satisfactorily respond to allegations against it and, therefore, the use of a pseudonym was appropriate. The court said the situation could change at trial and the defendant should apply to the trial judge if at that time it wished to continue using the pseudonym.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J.J.C. v. Canada (Attorney General), </w:t>
      </w:r>
      <w:hyperlink r:id="rId422" w:history="1">
        <w:r>
          <w:rPr>
            <w:rFonts w:ascii="arial" w:eastAsia="arial" w:hAnsi="arial" w:cs="arial"/>
            <w:i/>
            <w:color w:val="0077CC"/>
            <w:sz w:val="20"/>
            <w:u w:val="single"/>
            <w:shd w:val="clear" w:color="auto" w:fill="FFFFFF"/>
            <w:lang w:val="en-US" w:eastAsia="en-US" w:bidi="ar-SA"/>
          </w:rPr>
          <w:t>[1998] B.C.J. No. 1665</w:t>
        </w:r>
      </w:hyperlink>
      <w:r>
        <w:rPr>
          <w:rFonts w:ascii="arial" w:eastAsia="arial" w:hAnsi="arial" w:cs="arial"/>
          <w:color w:val="000000"/>
          <w:sz w:val="20"/>
          <w:lang w:val="en-US" w:eastAsia="en-US" w:bidi="ar-SA"/>
        </w:rPr>
        <w:t xml:space="preserve"> (B.C.S.C.), the court reached a different result and declined to order non-disclosure of the applicant's identity. The action was for damages which arose out of sexual assaults of the plaintiffs perpetrated by dormitory supervisors while they were students at a residential school. The allegations against the applicant were that he was the principal and administrator of the school at the time of the assaults, and that he failed to take reasonable care to assure the safety of the plaintiffs. Smith, J. stated at para 11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Clearly, allegations against medical doctors of sexual misconduct in the course of their professional duties, as in A. v. C. and Hirt, would cause irreparable harm to the reputations of those doctors. In balancing the public interest in open proceedings against the private interests of the applicants in such cases, it is imperative, to use Macfarlane J.A.'s word, to prevent that damage from occurring unless and until the allegations are proven. The potential harm to the private interests if the protection were wrongly refused outweighs the harm to the public interest if it were wrongly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Smith J. confirmed that the court did have the jurisdiction to protect the identity of a person whose conduct was impugned. He emphasized, however, that the facts in this case were quite different from the authorities. It was not alleged that the applicant was himself the perpetrator of any misconduct against the plaintiffs; he was not accused in the statement of claim of any "scurrilous conduct." The allegations against him were that he failed to act in circumstances where he ought to have acted. His alleged failures were those of omission, not commission. As such, Smith, J. did not think that it could be said that, if the allegations were not proven, the applicant would have suffered such "opprobrium" that the exception to the general rule had to be invoked.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 also refused to grant a publication ban in Waxman v. Waxman </w:t>
      </w:r>
      <w:hyperlink r:id="rId423" w:history="1">
        <w:r>
          <w:rPr>
            <w:rFonts w:ascii="arial" w:eastAsia="arial" w:hAnsi="arial" w:cs="arial"/>
            <w:i/>
            <w:color w:val="0077CC"/>
            <w:sz w:val="20"/>
            <w:u w:val="single"/>
            <w:shd w:val="clear" w:color="auto" w:fill="FFFFFF"/>
            <w:lang w:val="en-US" w:eastAsia="en-US" w:bidi="ar-SA"/>
          </w:rPr>
          <w:t>(2000), 48 C.P.C. (4th) 305</w:t>
        </w:r>
      </w:hyperlink>
      <w:r>
        <w:rPr>
          <w:rFonts w:ascii="arial" w:eastAsia="arial" w:hAnsi="arial" w:cs="arial"/>
          <w:color w:val="000000"/>
          <w:sz w:val="20"/>
          <w:lang w:val="en-US" w:eastAsia="en-US" w:bidi="ar-SA"/>
        </w:rPr>
        <w:t xml:space="preserve"> (Sup. Ct. J.) where the defendant Waxman had made a motion during his cross-examination for a non-publication order in respect of his evidence. This was not a sexual assault case, but the defendant was being cross-examined on allegedly false allegations that he said were "of the most serious nature," arising in the course of different litigation. He argued that publication of his testimony would result in embarrassment to him and his family and might have an effect on other litigation in which he was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outlined the recent cases which have considered whether mere embarrassment or a defendant's privacy interests can be justification for a publication ban. Sanderson J. referred to MacIntyre, supra, where Dickson J., concluded that as a general rule, the sensibilities of the individuals involved are no basis for exclusion of the public from judicial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Sanderson J. also referred to A.B. v. Stubbs et. al </w:t>
      </w:r>
      <w:hyperlink r:id="rId424" w:history="1">
        <w:r>
          <w:rPr>
            <w:rFonts w:ascii="arial" w:eastAsia="arial" w:hAnsi="arial" w:cs="arial"/>
            <w:i/>
            <w:color w:val="0077CC"/>
            <w:sz w:val="20"/>
            <w:u w:val="single"/>
            <w:shd w:val="clear" w:color="auto" w:fill="FFFFFF"/>
            <w:lang w:val="en-US" w:eastAsia="en-US" w:bidi="ar-SA"/>
          </w:rPr>
          <w:t>(1999), 44 O.R. (3d) 391</w:t>
        </w:r>
      </w:hyperlink>
      <w:r>
        <w:rPr>
          <w:rFonts w:ascii="arial" w:eastAsia="arial" w:hAnsi="arial" w:cs="arial"/>
          <w:color w:val="000000"/>
          <w:sz w:val="20"/>
          <w:lang w:val="en-US" w:eastAsia="en-US" w:bidi="ar-SA"/>
        </w:rPr>
        <w:t>, (Sup. Ct. J.), where the perspective plaintiff, AB, had intended to bring an action for damages arising out of penile enhancement surgery if he was permitted to do so under a pseudonym. The applicant was also seeking an injunction prohibiting the publication of his name or identifying features. The ground alleged by AB was primarily embarrassment in light of the nature of the surgery. In considering whether the potential for embarrassment constituted evidence of irreparable harm, Cumming J. said the following at p. 399: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common for at least one party in any court action to be embarrassed by the commencement of litigation. Nor is the degree of potential embarrassment determinative. It would be impossible for a bright line to be drawn to distinguish those cases where humiliation was sufficient to support an anonymity order. Embarrassment is an unavoidable consequence of an open justice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both Waxman and AB, the court concluded that the harm from potential embarrassment was not serious enough to depart from the principle of openness, in light of the authorities confirming that the sensibilities of an individual do not constitute grounds for a non-publication order. In both cases, the publication ban was not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Orpin v. College of Physicians &amp; Surgeons (Ont.) </w:t>
      </w:r>
      <w:hyperlink r:id="rId425" w:history="1">
        <w:r>
          <w:rPr>
            <w:rFonts w:ascii="arial" w:eastAsia="arial" w:hAnsi="arial" w:cs="arial"/>
            <w:i/>
            <w:color w:val="0077CC"/>
            <w:sz w:val="20"/>
            <w:u w:val="single"/>
            <w:shd w:val="clear" w:color="auto" w:fill="FFFFFF"/>
            <w:lang w:val="en-US" w:eastAsia="en-US" w:bidi="ar-SA"/>
          </w:rPr>
          <w:t>(1988), 25 C.P.C. (2d) 19</w:t>
        </w:r>
      </w:hyperlink>
      <w:r>
        <w:rPr>
          <w:rFonts w:ascii="arial" w:eastAsia="arial" w:hAnsi="arial" w:cs="arial"/>
          <w:color w:val="000000"/>
          <w:sz w:val="20"/>
          <w:lang w:val="en-US" w:eastAsia="en-US" w:bidi="ar-SA"/>
        </w:rPr>
        <w:t xml:space="preserve"> (Ont. Div. Ct.) the appellant physician, whose licence had been revoked for sexual impropriety asked for a publication ban of his name. Campbell J. found that the case was unusual for a number of reasons: there had already been much publicity, there had been a number of previous findings against the doctor for the same kind of conduct and he had used an interview in the press to seek to advance his position. Campbell J. did not grant the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A.B. v. College of Physicians and Surgeons of British Columbia </w:t>
      </w:r>
      <w:hyperlink r:id="rId426" w:history="1">
        <w:r>
          <w:rPr>
            <w:rFonts w:ascii="arial" w:eastAsia="arial" w:hAnsi="arial" w:cs="arial"/>
            <w:i/>
            <w:color w:val="0077CC"/>
            <w:sz w:val="20"/>
            <w:u w:val="single"/>
            <w:shd w:val="clear" w:color="auto" w:fill="FFFFFF"/>
            <w:lang w:val="en-US" w:eastAsia="en-US" w:bidi="ar-SA"/>
          </w:rPr>
          <w:t>(1994), 43 B.C.A.C. 173</w:t>
        </w:r>
      </w:hyperlink>
      <w:r>
        <w:rPr>
          <w:rFonts w:ascii="arial" w:eastAsia="arial" w:hAnsi="arial" w:cs="arial"/>
          <w:color w:val="000000"/>
          <w:sz w:val="20"/>
          <w:lang w:val="en-US" w:eastAsia="en-US" w:bidi="ar-SA"/>
        </w:rPr>
        <w:t>, Gibbs J.A. also did not grant a publication ban. The doctor seeking the ban in this case had already been found guilty of misconduct, and was the one initiating the court process. The judge considered the authorities, but found that this was not the kind of case where the identity of the innocent needed to be protected. Gibbs J.A. stated at para. 17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doctor here is no more innocent within the meaning of that word, as it is used in those cases, than is any other person who initiates the court processes. Perhaps less than most others because he is a convicted person when he comes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will now consider whether this action ought to be dealt with in the ordinary way in terms of the public knowing the identities of the individuals the Crown has made an application on behalf of, or whether their identities ought to be restricted to pseudonyms in light of the nature of the allegations made against them, or the potential harm they will suffer if their names are made public. I will address each of the 3 categories of individuals in turn.</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former BLS personnel accused of perpetrating physical and/or sexual assault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will first consider whether a partial publication ban should be granted in relation to those individuals alleged to have been the perpetrators of physical and sexual abuse of the plaintiffs. Is there a social value of superordinate value that justifies overriding the general principle of openness in their case? I think that there is, for reasons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authorities establish that protection of the "innocent" is a social value of superordinate importance that may justify overriding the general principle of openness. It is not just because untested allegations are being made against someone, that this exception will apply. We do not protect the identity of all defendants in civil actions. It is necessary to consider the nature of the allegations made against an individual; the court protects those who may suffer irreparable harm to their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believe the protection of the "innocent" exception applies to individuals accused of committing the crimes in this case even though they are not named defendants. For a variety of reasons, the Crown is named as the sole defendant, but it is these individuals who are the alleged perpetrators of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pleadings set out a number of allegations against the alleged abusers. I am mindful of the fact that there have not been any criminal charges or convictions against any of them, and the allegations in this civil proceeding have not been tested in court. They are "innocent" as that word is used in a narrow sense in civil proceedings to describe persons against whom unsubstantiated allegations are made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names of these individuals appear in the statement of claim, along with scurrilous allegations of the most serious sort. They are alleged to have committed heinous acts of physical and sexual assault against the children whom they were hired to care for. Essentially, these individuals are accused of being pedophiles; they have been put in the category of persons most condemned and reviled by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deciding whether these allegations are of the sort to cause irreparable harm, the specific facts of this case must be taken into account. The Crown has introduced evidence that the publication of names in relation to this case has already affected greatly the individuals involved. While I have not considered general evidence relating to the stressful nature of these proceedings, I am concerned about the impact that these very serious allegations have on the reputations of the individuals living in the relatively small community of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Crown introduced evidence that when the names of some of the individuals accused of the scurrilous conduct became public, the individuals and their families were immediately condemned and shunned by their community; in one example, neighbours crossed the street to avoid passing the wife of one of the alleged abusers. While I am not considering the impact of these allegations on family members, I find that these sorts of actions evidence the severe impact these allegations can bear on a person's reputation. Evidence that neighbours will no longer even associate with family members of the alleged abusers indicates how a person's reputation can be destroyed once his or her name is published in association with these allegations. Members of the community are not waiting to find out if the allegations against the alleged abusers are proven; rather, they are judging them as guilty before the trial has taken place. Because there is no opportunity for anonymity in a small town, the individuals accused of abuse have no way of preventing their reputation from being besmirched and ultimately destroyed in the eyes of their community. It is imperative to prevent that harm to their reputations unless and until these allegations are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I have found that the value of protecting the "innocent" applies to the alleged abusers in this case, the fact that many of them are deceased must also be taken into consideration. Does this value of superordinate importance also apply to those individuals who are now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authorities I have considered above have all dealt with situations where the defendant or applicant was still alive at the time the publication ban request was made. I am not aware of any case in the civil sexual assault context that has considered a situation where an application was made on behalf of a deceased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have considered Ms. Ellis' submission that an analogy might be made to defamation cases. Alan Linden, in Canadian Tort Law outlined at p. 694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living people can be defamed. Therefore, no action lies at the suit of the estate of deceased persons if defamatory things are said about them, or by their friends and relatives for injury to their feelings...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Ellis submitted that likewise, a deceased person should not have the right to have his or her identity protected from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however, that the situation here is not exactly analogous to a defamation suit. In bringing a claim against an individual in a defamation action, a person is using the court process to ask for financial compensation. A deceased person is restricted from that entitlement. In seeking a ban on the publication of a deceased person's identity in a civil sexual assault case that individual is seeking protection from the court of a privacy or reputational interest. I find that a deceased person should not be automatically precluded from seeking that protection from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protection of the "innocent" exception is designed to protect an individual from suffering irreparable harm to his or her reputation while still unproven allegations are outstanding. On the one hand, it could be argued that once deceased, an individual's reputational interest is no longer a relevant consideration. On the other hand, it could also be said that the social value of protecting the "innocent" is accentuated when someone alleged to have committed heinous crimes is deceased. The policy considerations behind this exception are brought to bear when allegations of a most serious and damaging nature have been made against an individual, and that person is not able to respond to the allegations at the outset. That person, it could be said, needs the most protection from the court so that his or her reputation does not suffer unjustly in the eyes of the community. For this reason, I find that deceased persons whose conduct has been impugned should not be precluded from having their identities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Ellis has rightly pointed out that an order prohibiting the names of the alleged abusers from being published may have the effect of preventing other victims of abuse from coming forward. She also pointed out that a partial ban may prevent other witnesses from coming forward and testifying on the plaintiff's behalf. I find, however, that this concern can be addressed by the nature of the ban the Crown is seeking. The publication ban sought is limited in scope; the Crown has applied for a ban on the publication of the identities of the alleged abusers, and not on all of the evidence at trial. The alleged abusers who are still living can be cross examined at trial, and the public can still come and watch the trial. The location and the name of the institution, as well as all of the other evidence relating to the case, may still be published by the media. The nature of the ban addresses the concerns over other potential victims and witnesses coming forward. Any individuals who attended BLS will be able to recognize and identify the school by its name and geographical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Further, the Crown is only seeking to prevent the media from publishing the identities of these individuals. The Crown is not seeking to restrain the parties from referring to the names of the alleged perpetrators. The plaintiffs can disclose the names of these individuals to other potential victims or witnesses who they suspect may be inclined to come forward. I do not think the plaintiffs' case will be prejudiced by a ban protecting the identities of the alleged abusers from being published by the media.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Nor am I able to accept Ms. Ellis' submission that a publication ban may be ordered before trial, but not during the actual trial itself. While I agree that during the many interim and interlocutory motions before trial a type of filtering and vetting process may occur, I do not agree that a publication ban can never be ordered at trial. The cases certainly do not support that proposition. In MacIntyre, supra, Dickson J. implies that it is not appropriate to distinguish between judicial proceedings which are part of a trial and those which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protection of the "innocent" exception addresses the concern that a defendant should not be denied the right to be considered amongst the "innocent" until allegations against him or her are proven; allegations are found to be either proved or disproved at the end of a trial. Further, the alleged perpetrators of abuse are not named as defendants in this case. They have no way of controlling the proceedings; for example, they cannot use interim applications as a filtering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have no difficulty in concluding that if the names of the individuals accused of being pedophiles are published, their reputations will suffer untold harm, before any finding of misconduct has been made against them in a court of law. Although many of the individuals are now deceased, their reputations will also have suffered irreparable damage, without them having had any chance to refute the allegations or defend themselves. In balancing the public interest in open proceedings against the private interests of the alleged perpetrators of abuse in this case, it is imperative to prevent that damage from occurring unless and until the allegations are proven. The potential harm to the private interests of those individuals if the protection were wrongly refused outweighs the harm to the public interest if it were wrongly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Therefore, until a finding of misconduct has been made against these individuals, an order protecting their identities is necessary in order to provide some measure of protection against the still unproven allegations made by the plaintiffs. If the allegations against them are proven, a finding will be entered in that regard, and the public will have access to the names of the individuals who perpetrated the crimes against the plaintiffs in this case.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former BLS personnel against whom it is alleged that they failed to act when they ought to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Crown has also applied for an order banning the publication of the identities of former BLS supervisors who are accused of failing to act on the complaints of the children and failing to ensure that reasonable care was taken for their safety while at BLS. These former supervisors have expressed concern that they will suffer irreparable harm to their professional reputations and careers should their names be published in relation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that the situation with regard to these individuals is quite different from that of the alleged perpetrators of abuse, because of the nature of the allegations made against them. The supervisors are not accused of the very serious claims of physical and sexual abuse. Rather, the allegations against these individuals are that they ignored the complaints of the children under their care, and failed to take action when they should have. While these allegations are serious, the alleged failures are those of omission, not commission. They are not in the same category as the allegations against the alleged perpetrators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my opinion, I do not think it can be said that if the names of these individuals are published, they will have suffered such damage to their private interests that the exception to the general rule ought to be invoked. Further, the public must have confidence in our public agencies and institutions. To the extent that it is possible, without causing damage to a person's reputational interests, the public must have access to relevant information about these institutions.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Witnesses who will testify for the Crown who have not been accused of any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Crown has also applied for an order banning the publication of the identities of witnesses who were formerly employed at BLS, but are not accused of any misconduct. Because these individuals are witnesses, and are not accused of any wrongdoing, I do not think the protection of "innocent" exception can be relied on to justify protecting their identities. There must be another value of superordinate importance that outweighs the value of freedom of expression.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Crown submitted that publication of these witnesses' names will make them susceptible to reprisals by former students of BLS. Concern for a person's safety may very well be a valid concern that can be balanced against the need for an open court. There must, however, be a real factual basis for that safety concern. The Crown submitted evidence that these witnesses fear that should they testify, they will face possible reprisals by the plaintiffs and other former residents of BLS. There was no factual basis for this submission. If actual evidence of intimidation or threats had been presented, I could balance these witnesses' safety concerns against the need for an open court, but I cannot grant a partial publication ban based solely on a speculative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Further, a ban on the publication of these witnesses' identities will not likely produce any actual salutary effects. Nothing prevents the plaintiffs from being in court and watching them testify. Even with a ban on the publication of their identities, the plaintiffs will be aware of who these witnesses are and aware of the contents of their testimony. Any possible reprisals against them could happen regardless of whether a partial publication ban is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Public accessibility and freedom of expression in relation to court proceedings are necessary so that society can be assured justice is being done. However, reasonable limits to these rights have been recognized. Justice must also have respect for the rights and reputations of "innocent" persons. In ordering a partial publication ban, I am recognizing that in the end, it may be found that the allegations against these individuals were without basis or were not proven. If that were to be the case, because of the extremely serious nature of these allegations, the alleged abusers' reputations would have suffered unjustly in the eyes of the community. I have concluded that until judgment is issued, the alleged abusers are entitled to be considered "innocent" against these extremely serious allegations. In relation to those against whom it is alleged that they failed to act when they should have, and those witnesses whose conduct is not impugned in any way, the potential harm caused to their rights and reputations if their identities were to be revealed is not sufficient to override the right to freedom of expression.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WONG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14,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published October 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In those reasons on p. 18, paragraph 31, the reference to "Veit J. referred to MacIntyre," should be changed to read "Sanderson J. referred to MacIntyre,".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Also in those reasons on p. 18, paragraph 32, the reference to "Veit J. also referred to" should be changed to read "Sanderson J. also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7"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Boehmke v. Grant, [2007] B.C.J. No. 2039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Hinkson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Nelson Registry No. 9280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2039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1389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A.C.W.S. (3d) 549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Sherrill Boehmke, Plaintiff, and Howard Stewart Grant, Ronald James Brock and the Corporation of the City of Nelson,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8"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7" w:name="Keywords_24"/>
      <w:bookmarkEnd w:id="157"/>
      <w:r>
        <w:rPr>
          <w:rFonts w:ascii="arial" w:eastAsia="arial" w:hAnsi="arial" w:cs="arial"/>
          <w:b/>
          <w:color w:val="000000"/>
          <w:sz w:val="20"/>
          <w:lang w:val="en-US" w:eastAsia="en-US" w:bidi="ar-SA"/>
        </w:rPr>
        <w:t>Civil procedure — Parties — Adding or substituting — Necessary or proper — Application by the plaintiff to add new defendants dismissed — The addition of new parties would create increased costs and extend the length of the presently scheduled trial — This could potentially result in a further delay in addressing the genesis of the action — The plaintiff's allegations against the present defendants were capable of resolution without the addition of the three further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Pleadings — Amendment of — Statement of claim — Application by the plaintiff to amend her statement of claim was dismissed — The statement of claim had already been amended twice — The proposed amendments would create increased costs and extend the length of the presently scheduled trial — The balance of the proposed changes to the statement of claim did not differ in any significant way from the already-amended statement of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8" w:name="Case Summary_19"/>
            <w:bookmarkEnd w:id="1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Boehmke, for amendments to add three additional parties and to expand the statement of claim from 23 to 105 paragraphs -- In May 2000, an incident of vandalism occurred in Nelson, B.C. where Beohmke lived at the time -- She contacted the Nelson police concerning the incident -- In June 2000, the personal defendants contacted Boehmke's supervisor by telephone -- Boehmke alleged that the defendants defamed her in the course of the telephone call -- In August 2000, she notified the City of Nelson of an intention to take civil proceedings and filed a complaint against the personal defendants pursuant to the Police Act -- The original statement of claim had already been amended twice -- HELD: Application dismissed -- The proposed amendments, and the addition of new parties, would create increased costs and extend the length of the presently scheduled trial -- This could potentially result in a further delay in addressing the genesis of the action: the alleged defamation -- Boehmke's allegations against the present defendants were capable of resolution without the addition of the three further defendants -- The balance of the proposed changes to the statement of claim did not differ in any significant way from the already-amended statement of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9" w:name="Legislation Cited_19"/>
      <w:bookmarkEnd w:id="1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9"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15(5)(a), Rule 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3(2)(a), s. 3(2)(c), s. 6, s. 6(5)(a)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0" w:name="Counsel_25"/>
      <w:bookmarkEnd w:id="1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0"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David Butcher.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1" w:name="Judgment_25"/>
      <w:bookmarkEnd w:id="161"/>
      <w:r>
        <w:pict>
          <v:line id="_x0000_s1151" style="position:absolute;z-index:251837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2" w:name="HINKSON J."/>
            <w:bookmarkEnd w:id="162"/>
            <w:r>
              <w:rPr>
                <w:rFonts w:ascii="arial" w:eastAsia="arial" w:hAnsi="arial" w:cs="arial"/>
                <w:b/>
                <w:color w:val="000000"/>
                <w:sz w:val="30"/>
                <w:lang w:val="en-US" w:eastAsia="en-US" w:bidi="ar-SA"/>
              </w:rPr>
              <w:t>HINKSON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Court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May 2000, an incident of vandalism occurred in Nelson, B.C. where the plaintiff was then residing. The plaintiff contacted the Nelson police concerning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Sometime in June 2000, the personal defendants contacted the plaintiff's supervisor by telephone. The plaintiff alleges that the personal defendants defamed her in the course of this telephone call. In August 2000, the plaintiff notified the City of Nelson of an intention to take civil proceedings and filed a complaint against the personal defendants pursuant to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These proceedings were commenced on December 13, 2000 by writ of summons and statement of claim. The original statement of claim has already been amended twice, and the plaintiff now seeks further amendments to add three additional parties and to expand the statement of claim from 23 to 105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amendments are opposed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proposed amendments set out in the second sub-paragraphs 102 m) and n) and in sub-paragraphs 102 p) through s) were refused on September 10, 2007. These reasons for judgement will address the balance of the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action began as a claim against two members of the Nelson police and the Corporation of the City of Nelson, as a result of the two police officers' telephone call to the plaintiff's supervisor. The original statement of claim contained nine paragraphs and advanced a cause of action in defamation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Following the plaintiff's examinations for discovery of the two personal defendants, her statement of claim was amended on July 20, 2005 to contain 23 paragraphs. It alleged defamation against the personal defendants,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City in the exercise of what was said to be its duty in ensuring that the personal defendants exercised a reasonable standard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September 22, 2005, the case was set for trial for March 27, 2006. That trial date was adjourned, and the plaintiff says this was to permit the parties to pursue mediation. The defendants say the adjournment was due to ill health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case was reset for trial to begin October 30, 2006, but did not proceed on that date. A third trial date was set for February 27, 2007, but was adjourned due to health difficulties experienced by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Following that adjournment, the statement of claim was amended for the second time on March 1, 2007. Although the amendments did not increase the number of paragraphs, they particularized the plaintiff's claim for aggravated and punitive damages against the City, by reference to the two now proposed additional personal defendants. It was alleged that in their capacities with the City, they did not act in good faith in the investigation of the plaintiff's complaint pursuant to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Asserting that she has the right to amend her statement of claim as suits her, the plaintiff says that all the allegations in the proposed amendments must be taken as capable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Indeed in </w:t>
      </w:r>
      <w:r>
        <w:rPr>
          <w:rFonts w:ascii="arial" w:eastAsia="arial" w:hAnsi="arial" w:cs="arial"/>
          <w:b/>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 at p. 27 the court said that on an application to amend a pleading it is not open to the court to consider evidence in support of a pleading, as it is sufficient if the pleading discloses a reasonable cause of action or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Insofar as the addition of the Nelson Municipal Police Board is concerned, the plaintiff seeks to add the Police Board as a defendant on the basis that it is vicariously liable for the defendants Brock and Grant and the proposed defendant Matula.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 20(1)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provides that the City of Nelson is liable for torts committed by its police officers, and s. 20(2) provides that the Police Board and its' members are not liable for such torts.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result, the plaintiff's proposed claim against the Police Board cannot succeed, and the amendments to advance that claim will not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Rule 15(5)(a)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party, who is not or has ceased to be a proper or necessary party, cease to be a party,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who ought to have been joined as a party or whose participation in the proceeding is necessary to ensure that all matters in the proceeding may be effectually adjudicated upon, be added or substituted as a party,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Court of Milan Bankruptcy Proceedings v. Yorkton Securities Inc.</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1999 BCCA 774</w:t>
        </w:r>
      </w:hyperlink>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132 B.C.A.C 67</w:t>
        </w:r>
      </w:hyperlink>
      <w:r>
        <w:rPr>
          <w:rFonts w:ascii="arial" w:eastAsia="arial" w:hAnsi="arial" w:cs="arial"/>
          <w:color w:val="000000"/>
          <w:sz w:val="20"/>
          <w:lang w:val="en-US" w:eastAsia="en-US" w:bidi="ar-SA"/>
        </w:rPr>
        <w:t>, the court considered an appeal from a decision overturning the refusal of a master to add new defendants on the motion of an existing defendant. In restoring the decision of the master, the court considered the words "just and convenient" as found in Rule 15(5)(a), and identified a number of factors that a court should consider in addressing them, including:</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proposed amendments relate to a common subject matter with the existing action,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moving party to take steps earlier by way of legal action,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time the moving party has been aware of the claim,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and delay that would occur if new parties were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While the plaintiff says that her proposed amendments relate to the common subject at issue in the existing pleadings, I have concluded that what she really wishes to do is recast her action in order to pursue what she apparently perceives as a conspiracy on the part of some of the officials of the City of Nelson to cover up what she argues was misconduct by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was asked to explain her delay in seeking to add the proposed defendants. At first she said that she had tried to add them by an earlier notice of motion. She was unable to produce any such notice of motion, and it appears that she considers her mention of the proposed new defendants in the existing statement of claim was some sort of attempt to add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unclear from her submissions just when the plaintiff became aware of her potential claim against the proposed new defendants. She was certainly aware of the involvement of the Police Board, Mr. Exner, the former Mayor and Chairman of the Nelson Police Board, and Mr. Maluta, the Inspector of the Nelson Police Department, by January 18, 2001 when her complaint pursuant to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common subject may be the involvement of the two personal defendants. The existing pleadings specifically mention the two new proposed defendants, but the proposed amendments will change the scope of the litigation and introduce a host of new issues, new defendants, and complicate what might otherwise be a relatively straightforward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the plaintiff says that even with the proposed amendments she will be ready to proceed to trial as presently scheduled, she does not or cannot appreciate that the addition of new parties and allegations at this late stage of the proceedings will require the new defendants, if added, to retain and instruct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Butcher candidly advised the Court that he may well receive instructions to represent the new defendants if they are added, but says that he cannot guarantee that he will receive instructions to do so, or that even if he receives such instructions, he could accept them should conflicts of interest become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proposed amendments, and the addition of new parties at this stage, will undoubtedly create increased costs and extend the length of the presently scheduled trial. This could potentially result in a further delay in addressing the genesis of this action: the alleged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existence of a limitation defence is a further factor to be considered when the addition of new parties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Section 3(2)(c)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prescribes a limitation period of two years following the date when the right to bring an action for defamation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While s. 6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will, in appropriate circumstances, postpone the running of time, the immediacy of the plaintiff's response in terms of her complaint pursuant to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and her initiation of these proceedings, mitigates against any argument that her limitation period should be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If it is accepted that her proposed cause or causes of action against Mr. Exner and Mr. Maluta and the Nelson Municipal Police Board may differ from those against the present defendants, they may then come within the ambit of s. 3(2)(a)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This also prescribes a period of two years following the date when the right to bring an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While aspects of her proposed claims against the proposed new defendants may not have been fully apparent to the plaintiff in 2000, I am satisfied that acting in her own interests, she could have brought an action well before January 2005. By that time, she had within her means of knowledge, if not knowledge itself, of the identity of the proposed new defendants. She was also aware of facts, upon which a reasonable person, who had taken appropriate advice as defined by s. 6(5)(a)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would have regarded as showing that the action as she sees it would have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the result, the proposed new defendants have a defence pursuant to the provisions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unless they are added as parties to this action; see </w:t>
      </w:r>
      <w:r>
        <w:rPr>
          <w:rFonts w:ascii="arial" w:eastAsia="arial" w:hAnsi="arial" w:cs="arial"/>
          <w:b/>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82 B.C.L.R (3d) 296</w:t>
        </w:r>
      </w:hyperlink>
      <w:r>
        <w:rPr>
          <w:rFonts w:ascii="arial" w:eastAsia="arial" w:hAnsi="arial" w:cs="arial"/>
          <w:color w:val="000000"/>
          <w:sz w:val="20"/>
          <w:lang w:val="en-US" w:eastAsia="en-US" w:bidi="ar-SA"/>
        </w:rPr>
        <w:t xml:space="preserve">, a plaintiff who had undergone surgery in 1993 brought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his surgeon and the hospital where his surgery was performed. In June of 1999, four months before the scheduled trial date, the plaintiff applied to add two further physicians as defendants. He also sought to amend his pleadings against the defendant hospital to raise what were said by the hospital to be new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allegations against the two additional doctors were that they had taken part in the treatment of the plaintiff; one by assisting at his surgery, and the second as involved in his critical care. The chambers judge who heard the application allowed the addition of the two doctors, and the amendments to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of Appeal allowed the appeal and held that there is a presumption of prejudice to proposed defendants if the limitation period for the claims made against them has expired and allowed the appeal, observing,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Whatever the exact meaning of the passage, it demonstrates in my view that the chambers judge erred in principle in failing to have regard to the fundamental limitation on subrule (ii) which is that it is intended only to remedy defects in the "proceeding" as it stood prior to the application to add parties. The source of the judge's error may be that in quoting subrule (ii) in her reasons, she omitted the words "... or whose participation in the proceeding is necessary to ensure that all matters in the proceeding ...". She made no reference in her reasons to the concept of necessity embodied in those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reaffirmed that Rule 15(5)(a)(ii) is to be interpreted narrowly, and concluded that the issues between the plaintiff and the surgeon could have been effectively adjudicated upon between the original parties, recognizing that the joinder of the other two doctors at the outset of the proceedings would not have been an improper joinder. Having said that, the court went on to state that the initial joinder of the parties was an entirely different question from whether the parties' joinder was necessary in order for the issues between the original parties to be adjudicated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reached a similar conclusion in this case: the plaintiff's allegations against the present defendants can be resolved without the addition of three further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Letvad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also addressed the interpretation of Rule 15(5)(a)(iii), confirming that the issue under this sub-rule is a matter for the discretion of the chambers judge, and guided by considerations articulated in </w:t>
      </w:r>
      <w:r>
        <w:rPr>
          <w:rFonts w:ascii="arial" w:eastAsia="arial" w:hAnsi="arial" w:cs="arial"/>
          <w:b/>
          <w:i/>
          <w:color w:val="000000"/>
          <w:sz w:val="20"/>
          <w:lang w:val="en-US" w:eastAsia="en-US" w:bidi="ar-SA"/>
        </w:rPr>
        <w:t>Teal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the reasons set out above, the plaintiff's application to add new defendants in this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proposed paragraphs 9, 11, 12, 13 and 14 serve no apparent purpose and will not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Many of the amendments to the statement of claim proposed by the plaintiff amount to nothing more than a recitation of what she proposes to introduce as evidence, and thus are inconsistent with Rule 19(1)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Included in this category are proposed paragraphs 31 through 69. These amendments will not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Proposed paragraphs 70 through 76, to the extent that they are not repetitious of other paragraphs in the existing statement of claim, are clearly designed to plead new causes of action, and will not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Proposed paragraphs 81 through 93 relate to Mr. Exner and Mr. Maluta, and as I have dismissed the plaintiff's motion to add those individuals as defendants, I will not permit those changes to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proposed paragraph 94 purports to relate to an unknown person who is not alleged to be involved in the alleged defamation, and that amendment will not be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Proposed paragraphs 96 through 102 address allegations unrelated to the alleged defamation, and will not be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balance of the proposed changes does not differ in any significant way from the present statement of claim. To the extent that they do differ, I am not prepared to allow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application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HINKSON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2"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Bracic v. Prior, [2003] B.C.J. No. 136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4 - 8 and May 17,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00-3251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R.P.R. (4th) 262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677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Daria Elizabeth Bracic, plaintiff, and Monte William Prior,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3"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3" w:name="Keywords_25"/>
      <w:bookmarkEnd w:id="163"/>
      <w:r>
        <w:rPr>
          <w:rFonts w:ascii="arial" w:eastAsia="arial" w:hAnsi="arial" w:cs="arial"/>
          <w:b/>
          <w:color w:val="000000"/>
          <w:sz w:val="20"/>
          <w:lang w:val="en-US" w:eastAsia="en-US" w:bidi="ar-SA"/>
        </w:rPr>
        <w:t>Sale of land — Remedies of purchaser — For quality defects — Patent defects — Latent defects — Damages — Breach of warranty or false representation — Negligent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4" w:name="Case Summary_20"/>
            <w:bookmarkEnd w:id="1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Bracic against Prior for breach of contract, breach of warranty and negligent misrepresentation. Bracic purchased Prior's house in January 1998. After taking occupation, she noticed indications of moisture in the basement area. She subsequently had serious water ingress in the basement, causing significant damage. Bracic submitted that Prior knew or ought to have known of the water problem and that he failed to disclose it in the Disclosure Statement. In the alternative, she submitted that Prior had negligently misrepresented the condition of the house.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5" w:name="Holdings of Court_14"/>
            <w:bookmarkEnd w:id="16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defect alleged was the lack of a perimeter drainage system and it was patently obvious to Bracic prior to purchasing the property that the downspouts drained directly out onto the ground and not into the ground. The evidence indicated that Prior was unaware of any water problem in the basement area. There was no basis for a claim for breach of warranty. The statement in the Disclosure Statement asking whether the owner was aware of any moisture and/or water problems simply required Prior to say that he was not aware of any problems. It did not call upon him to warrant a certain state of affairs. With respect to the claim of negligent misrepresentation, a duty of care did not arise because the alleged defect was patent and not known to Prior. Bracic made an offer on the property before the alleged misrepresentation. There was no evidence of any reliance by Bracic even if there were a representation.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6" w:name="Legislation Cited_20"/>
      <w:bookmarkEnd w:id="1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4"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40(17). Limitation Act, R.S.B.C. 1996 c. 266, s. 3, 3(2)(a).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7" w:name="Counsel_26"/>
      <w:bookmarkEnd w:id="1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5"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W.B. McKinnon, for the plaintiff. M.R. Scherr,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8" w:name="Judgment_26"/>
      <w:bookmarkEnd w:id="168"/>
      <w:r>
        <w:pict>
          <v:line id="_x0000_s1156" style="position:absolute;z-index:251838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9" w:name="WARREN J."/>
            <w:bookmarkEnd w:id="169"/>
            <w:r>
              <w:rPr>
                <w:rFonts w:ascii="arial" w:eastAsia="arial" w:hAnsi="arial" w:cs="arial"/>
                <w:b/>
                <w:color w:val="000000"/>
                <w:sz w:val="30"/>
                <w:lang w:val="en-US" w:eastAsia="en-US" w:bidi="ar-SA"/>
              </w:rPr>
              <w:t>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purchased the defendant's house in January 1998, intending it for both her personal residence and for the operation of a day care from the basement level. Some time after taking occupation the plaintiff noticed indications of moisture in the basement area and subsequently she had serious water ingress in the basement which caused damage to the basement improvements and which made the basement unsuitable for the intended use as a day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pleads that the defendant knew, or ought to have known, that there was a water problem in the basement area of the house and the failure to disclose this problem in the Disclosure Statement breached a contractual term resulting in compensable loss. Alternatively, the plaintiff pleads that the defendant negligently misrepresented the condition of the house or was otherwise negligent causing the plaintiff to suffer compensable loss. The plaintiff had originally claimed as well for damages for fraudulent misrepresentation, punitive damages or exemplary damages but these claims were abandoned. Thus, the claims are for damages for breach of contract, breach of warranty, negligent misrepresentation and aggravated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denies any knowledge of any deficiencies which were not discoverable by observation and he did not conceal any of the alleged deficiencies. Further, the statements made by the defendant in his Disclosure Statement were true based upon the state of his knowledge at the time and the defendant specifically denies making any negligent or fraudulent misrepresentations to the plaintiff. Finally, the defendant says the claim is barred by s. 3 of the Limitation Act, </w:t>
      </w:r>
      <w:hyperlink r:id="rId4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testified that she viewed the property twice with her agent and one further time with her financial adviser, but she did not have a building inspection performed. At the time of her inspections, she said that she saw the down spouts did not run into the ground but she said that that was not unusual. She testified that she read the disclosure statement carefully and relied upon it as a legal document at the time she made her first offer to the defendant. The defendant raised some question as to the reliability of the plaintiff's memory pointing to inconsistencies between her evidence at discovery and at trial as to when she had first seen the disclosure statement. Other than going to the general reliability of the plaintiff's evidence, I am not sure that much turns on this. I do not believe that there was a deliberate attempt to mislead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first offer was made November 8, 1997, was countered by the defendant and the final offer and acceptance was made on November 9, 1997. The plaintiff paid $335,000 and took possession and the sale completed on January 15, 1998. She sold the property on February 27, 2002 for $365,000.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property adjacent to the plaintiff's was owned by the Municipality of Oak Bay [Oak Bay] which carried out extensive excavations and construction on the property between December 1997 and March 1998. Indeed, the plaintiff made a claim against Oak Bay for compensation for cracks to the foundation walls of her house which she said had been caused by the construction. The plaintiff's claims against Oak Bay were settled for a payment of $3,500. Under cross-examination, the plaintiff said that she had been in error in claiming against Oak Bay for cracks in the walls. Nevertheless, it must be noted that the plaintiff did not experience any flooding during her first winter and spring and the first water in her basement was after torrential rains in November 1998. She experienced a second flood a year later in December 1999, again during heavy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former owner, Kenneth Roskelly, testified for the plaintiff. He and his family had lived in the house for 26 or 27 years until he sold it in 1992. He said he had not improved the basement because the ceiling was low and the floor was prone to leaking or water seepage near the basement door. He testified he had disclosed the water seepage to the purchaser when he sold the house. He testified that in the time he was in possession he stored boxes in the basement and there was only one serious flood and that was in the early 1970s. He did not know if the house had a perimeter drainage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called Veronica Frey, a real estate agent who had shown the defendant's house to a prospective purchaser, Mark Stein, sometime in late 1995 or early 1996. There are a number of conflicts between the evidence of Mrs. Frey and Mr. Stein including the rather inconsequential matter of the date of inspection. There were other inconsistencies of greater importance. Mrs. Frey said the weather was fine when they inspected and Mr. Stein said that it was raining intermittently. Mrs. Frey testified that when they went into the basement she saw static water about one inch deep while Mr. Stein said the water was coming in from the front area of the basement. Mrs. Frey said they did not check out the back door while Mr. Stein said that they did. They both testified, however, that they had to move some of the furniture stored in the basement into boards. She testified that her client was very interested in the property but when she telephoned the defendant's agent he reported he did not think the owner would do anything about the water. In cross-examination, Mrs. Frey testified that Oak Bay is renowned for its flooding problems and that on her inspection of the house it was clear that the down spouts did not go into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Mr. Stein's testimony, he said that on the day of inspection it was raining intermittently. This was inconsistent with what he had deposed to in an earlier affidavit where he stated the rain was falling heavily. He also strenuously denied discussing his evidence with the plaintiff or telling the plaintiff that two thirds of his dealings with lawyers were bad. Both of these statements were not true. Unbeknownst to Mr. Stein, the plaintiff had tape recorded her conversation with him, and the recording showed that he had discussed his evidence with the plaintiff, that he told her it was raining heavily at the time of his inspection and that he had said that two-thirds of his dealings with lawyers had been negative. Accordingly, I find I must treat the evidence of Mr. Stein with some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Daniel Clover was the plaintiff's agent at the material time and he went with the plaintiff when she viewed the home and he wrote up the offers and contract. It was his evidence that he normally goes through the Disclosure Statement with his client and mentions the desirability of a building inspection. In cross examination, he had no specific memory of any conversations with the defendant's listing agent. He was familiar with houses in the Oak Bay area and testified that it was common for there to be no perimeter drainage system as many homes were built without one. He agreed that the Disclosure Statement is filled in by the seller based upon his current knowledge and for that reason it was his practice to let the buyer know of the availability of building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Stuart Pitt is the Director of Engineering with the Municipality of Oak Bay. He first met the plaintiff in 1998 when he went to her house to inspect the foundation walls and again in 1999 to examine her flooded basement. Oak Bay had "deconstructed" a house next door to the plaintiff's and paved the lot for parking purposes. He testified that during this process there had been no blasting. His inspections of the paved parking area after a rainfall showed that it drained into the drainage system adjacent to the plaintiff's lot line as it was designed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called Monte Prior, the defendant, as an adverse party pursuant to Rule 40(17). The defendant acknowledged he had some experience as a home owner. He said the disclosure statement had been completed carefully. He testified that he had told the plaintiff that he had had water in the basement once before after a very heavy snow fall. He denied he had told her the water had come in through a window. His evidence was the water was in a puddle in the bathroom by the north wall of the basement which he cleaned up with a mop and pail. The other water was near the window at the bottom of the basement stairs near the south west corner of the basement and this was cleaned with a towel. He made no mention of water in the disclosure statement because it was the result of such an exceptional circumstance with about eight feet of wind blown snow on the outside walls of the house. He did not think water was a problem when it happened once in a four year period and then, only in a remarkable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had listed the house originally in 1994 but took it off the market and re-listed in October 1997 after the basement had been remodelled. He had noticed the drain spouts did not go into the ground but he gave it no thought and he never determined whether there were perimeter drains around the house. He testified that prior to the remodelling he only used the basement to store belongings and he was not in the basement regularly. The renovation was carried out between August and October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Dennis Nyren was the defendant's listing agent, he having sold the house to the defendant originally. He had no recollection of Mrs. Frey. In cross examination, he stated that he had viewed the property with the defendant prior to selling it to him and he recalled that all of the basement walls were finished at the time. He saw no sign of water and he was present when the defendant had the house inspected. The inspector made no mention of any water problem. When he got the listing in October 1997, he inspected the house and saw no sign of any water nor did he have any reason to suspect there was a water or moisture problem. The two clauses in the Contract of Sale which made reference to the property condition disclosure statement and the purchaser satisfying herself of Oak Bay's plans for the adjacent property were written in by him as part of a counter-offer. When Mr. Nyren was shown a photograph of a large crack in the basement wall, he agreed it was quite noticeable but said there was nothing like it when he inspected the home prior to listing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William Okell is the owner of a waterproofing company hired by the plaintiff "to look at some potential problems" in the basement area. At the time of his inspection in June 1999 he saw a lot of mould, mildew and stained linoleum. He told the plaintiff that a lot of work would be needed and when the linoleum and carpeting was pulled up there was a noticeable sheen of dampness, and what he described as patching was evident, with some portions of the floor being new but with many cracks. He had an employee dig two holes at the outside perimeter but located no perimeter drainage, although he agreed that there were vertical drain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owner prior to the defendant, June Parkinson, testified that the basement was unfinished and used as a storage area with boxes on the floor. They had had the home inspected prior to buying and there were no concerns noted. They had started to renovate the basement in the summer of 1993 and put in a bedroom and dry-walled the walls and ceiling, but renovations stopped with the sudden death of her husband in November 1993. She testified that there had been no water whatsoever while she lived there and no items stored there had shown any signs of water damage. She testified that the down spouts from the eves discharged into the earth and she and her husband had had a new driveway poured between 1992 and 1994 and it was from the edge of the house and down and under the back door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Patrick Perron, a friend of the defendant, had been in the basement at least three times between 1995 and 1998. On one occasion, he took some carpeting which had been stored in the basement and saw no indication of water in either the carpeting or the basement. There were no signs of mildew or mould when he unrolled the carpeting. He stated that it was springtime at the time of his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Shelley Hordiyuk has been a friend of the defendant since 1986 and had visited the home 20 or 30 times and been in the basement 10 or so times. She testified that the defendant stored furniture and an extensive record collection in the basement and there were boxes on the floor. She never saw any signs of water, mould or mildew, nor did she find any water damage to any of the furniture which the defendant gave her and which had been in storage in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John O'Neill is a construction superintendent and was hired by the defendant in 1997 or 1998 to complete the basement which was already partly renovated. He said the concrete basement floor was not level so he levelled it to acceptable standards, taking the major fluctuations out using a pre-mix topping material. This explains the patching described by Mr. Okell. No water sealant was used because he saw no sign of moisture - no white efflorescence - which indicates the presence of moisture. He was shown the photographs taken by the plaintiff showing the water damage and testified that he saw nothing like that while he was working in the basement. In cross-examination, he stated that the work he did was likely in the spring or possibly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Linda Beadle is an experienced house painter who was hired by the defendant to paint both the exterior and portions of the interior of the house starting in the fall of 1995 and continuing off and on over a two year period. She was working on the basement of the home at the same time as Mr. O'Neill. She testified to being in the basement frequently during that two year period noting boxes, furniture and other things there, but never seeing any signs of water. She had to move some of these objects which were directly on the concrete floor and she saw no signs of water on the boxes. She was also hired to paint the basement and it was Ms. Beadle who hired the plasterer, electrician, plumber and carpet and linoleum layers. She saw no signs of moisture, which is one of the first things looked for before she starts to paint.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Her evidence was that the defendant was not cost-cutting and she had no problem with any of her bills. She saw the finished basement and was later hired to paint the upstairs during which time she stored her equipment and used the laundry in the basement. At no time did she see any sign of moisture.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testified on his own behalf. He testified that when he moved out of the home following the sale to the plaintiff he saw no signs of water damage to any of the items stored in the basement. He had no memory of seeing any of the cracks of the size shown in the photographs taken by the plaintiff, although he acknowledged that there were certainly a number of hairline cracks. The plaintiff's first offer was presented to him by her agent and he countered putting in the two clauses to ensure the plaintiff knew of the work to be done by Oak Bay on the adjoining property. He said that after the plaintiff took possession she spoke with him about some "cracking" she was getting to the plaster. When he returned to the house, he was surprised by the amount of cracking that had happened in the intervening four or five months. His evidence was that he first heard of the "flooding" when the plaintiff contacted him roughly a year after the sale. He acknowledged in cross-examination the possibility that he knew the plaintiff wanted to use the basement of the house for a day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counsel said her claim was for damages for breach of contract and for negligent misrepresentation. He argued that the defendant, a lawyer who dabbles in real estate, had picked up "a fair amount of knowledge of real estate and of construction practices." Having obtained a report of a building inspector before he purchased the property, only an oral report was given to the defendant and when asked at the examination for discovery for the name of the inspector, the defendant did not provide the name and conceded at trial he had made no attempt to locate the person. This, her counsel submits, should entitle the Court to draw an inference adverse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Even though the defendant said there was but one instance of water during December 1996, he made no attempts to seal the floor. His evidence is to be considered with the evidence of both Mr. Frey and Mr. Stein who testified to seeing significant accumulations of water when they viewed the basement in 1995. They testified that they had to move furniture away from the pooled water. Mrs. Frey testified that she was sufficiently impressed with the amount of water that she telephoned the listing agent. The evidence of Mr. Roskelly was that he did not finish the basement because of the periodic leakage of water. This evidence should cause the court to treat the evidence of the defendant that there was only one instance of water with incredulity.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McKinnon argues that there was a valid agreement between the parties, part of which was the disclosure statement in which the defendant stated he was not aware of any moisture or water problems. There was evidence from the defendant that he experienced "significant" water in the basement just two winters before he sold the house to the plaintiff. However, he made no effort to remedy the problem and did not disclose it. The requirement on the disclosure statement provides that vendors should consider "whether they would want the information if they were a potential buyer of the property" and are warned that "not only must the answers be correct, but they must be complete. The buyers will rely on this information when they contract to purchase the property." At the very least, the defendant ought to have informed the plaintiff of water after an exceptional event. The defendant did not make an "incomplete disclosure" but a "complete nondisclosure." A representation made as a part of the contractual agreement is not subject to the common law rule of caveat emptor: Doan v. Killins </w:t>
      </w:r>
      <w:hyperlink r:id="rId446" w:history="1">
        <w:r>
          <w:rPr>
            <w:rFonts w:ascii="arial" w:eastAsia="arial" w:hAnsi="arial" w:cs="arial"/>
            <w:i/>
            <w:color w:val="0077CC"/>
            <w:sz w:val="20"/>
            <w:u w:val="single"/>
            <w:shd w:val="clear" w:color="auto" w:fill="FFFFFF"/>
            <w:lang w:val="en-US" w:eastAsia="en-US" w:bidi="ar-SA"/>
          </w:rPr>
          <w:t>(1996), 5 R.P.R. (3d) 282</w:t>
        </w:r>
      </w:hyperlink>
      <w:r>
        <w:rPr>
          <w:rFonts w:ascii="arial" w:eastAsia="arial" w:hAnsi="arial" w:cs="arial"/>
          <w:color w:val="000000"/>
          <w:sz w:val="20"/>
          <w:lang w:val="en-US" w:eastAsia="en-US" w:bidi="ar-SA"/>
        </w:rPr>
        <w:t xml:space="preserve"> (B.C.S.C.). Although the defendant may argue that caveat emptor applies where the purchaser has had the benefit of a professional adviser, here her adviser's concerns were allayed by the highly favourable disclosure statement and the apparent "as new" condition of the basement renovations. A vendor must not act so as to mislead a purchaser or lull his or her suspicions: Davis v. Stinka, </w:t>
      </w:r>
      <w:hyperlink r:id="rId447" w:history="1">
        <w:r>
          <w:rPr>
            <w:rFonts w:ascii="arial" w:eastAsia="arial" w:hAnsi="arial" w:cs="arial"/>
            <w:i/>
            <w:color w:val="0077CC"/>
            <w:sz w:val="20"/>
            <w:u w:val="single"/>
            <w:shd w:val="clear" w:color="auto" w:fill="FFFFFF"/>
            <w:lang w:val="en-US" w:eastAsia="en-US" w:bidi="ar-SA"/>
          </w:rPr>
          <w:t>[1995] B.C.J. No. 1256</w:t>
        </w:r>
      </w:hyperlink>
      <w:r>
        <w:rPr>
          <w:rFonts w:ascii="arial" w:eastAsia="arial" w:hAnsi="arial" w:cs="arial"/>
          <w:color w:val="000000"/>
          <w:sz w:val="20"/>
          <w:lang w:val="en-US" w:eastAsia="en-US" w:bidi="ar-SA"/>
        </w:rPr>
        <w:t xml:space="preserve"> (S.C.). The plaintiff argues that if the defendant had given the plaintiff any kind of a "heads up" with respect to even a remote possibility of leakage he would have satisfied his duty to disclose. The plaintiff argues that the defendant breached his contract by remaining silent in circumstances where the renovations to the basement would lull the plaintiff into a sense of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the alternative, the plaintiff argues that the defendant is liable to her for negligent misstatement. Counsel relies on Streichert v. Hryniuk and Wilson, </w:t>
      </w:r>
      <w:hyperlink r:id="rId448" w:history="1">
        <w:r>
          <w:rPr>
            <w:rFonts w:ascii="arial" w:eastAsia="arial" w:hAnsi="arial" w:cs="arial"/>
            <w:i/>
            <w:color w:val="0077CC"/>
            <w:sz w:val="20"/>
            <w:u w:val="single"/>
            <w:shd w:val="clear" w:color="auto" w:fill="FFFFFF"/>
            <w:lang w:val="en-US" w:eastAsia="en-US" w:bidi="ar-SA"/>
          </w:rPr>
          <w:t>[2000] B.C.J. No. 10</w:t>
        </w:r>
      </w:hyperlink>
      <w:r>
        <w:rPr>
          <w:rFonts w:ascii="arial" w:eastAsia="arial" w:hAnsi="arial" w:cs="arial"/>
          <w:color w:val="000000"/>
          <w:sz w:val="20"/>
          <w:lang w:val="en-US" w:eastAsia="en-US" w:bidi="ar-SA"/>
        </w:rPr>
        <w:t xml:space="preserve"> which summarized the five requirements the Supreme Court of Canada in Queen v. Cognos Inc., </w:t>
      </w:r>
      <w:hyperlink r:id="rId91"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held were required in order to establish claim in negligent misrepresentation. Those requirements are:</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based on a special relationship between the representor and the representee;</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the said representation;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the negligent misstatement; and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Plaintiff's counsel submitted the defendant's position as vendor created a special relationship between him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Plaintiff's counsel submitted the representation was untrue, inaccurate and misleading. The representation was untrue because the defendant had in fact experienced water ingress "fairly recently", and the cause was not investigated and dealt with. It was inaccurate because the disclosure statement did not reflect the defendant's true state of knowledge. The statement was also misleading because it lulled the plaintiff into thinking there was no need for concern or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third element, the standard of care required, is such reasonable care as the circumstances require [emphasis by counsel] and as the gravity of the possible harm increases, the apparent likelihood of its occurrence need be correspondingly less to generate a duty of precaution: A.M. Linden, Canadian Tort Law, 6th ed. (Markham: Butterworths) at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fourth element has been established because the plaintiff, who intended to operate a day care from the premises, paid close attention to the disclosure statement and placed reasonable reliance on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Finally, damages resulted from her reliance because she was put to expense in repairing the premises and she was not able to operate her day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the further alternative, the plaintiff says that if any element of negligent misrepresentation has not been established then the defendant is, in any event, liable to the plaintiff under "the ordinary principles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All of the plaintiff's loss, cost and damage was, or should have been, reasonably foreseeable and was the direct result of the breach of the duty of care owed the plaintiff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the plaintiff argues that the appropriate measure of damages is that necessary to put the injured party in the same position she would have been had there not been a breach of contract. The plaintiff had to "spend a lot of money to put the house into the condition that it should have been in and she was obliged to forego her business opportunity." Although the plaintiff has completely mitigated her loss, her counsel says that she did lose a number of her possessions as well as her dream of operating a day care. Thus, there is "some unquantified difference between where [she] found herself after the events of 1998 and where she would have been had the contract been properly performed, for which compensation may be ordered by the court". The plaintiff's special damages in the amount of $19,634.75, as set out in the statement of claim, represent the amount needed to investigate and correct the problem and put the property in the condition it could reasonably be expected to have been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Insofar as the claim is based in tort for negligent misrepresentation, the plaintiff says that, because of her efforts to mitigate, there does not appear to be any appreciable loss, but "special damages are the same as in contract." The plaintiff also asks for aggravated damages arising out of the loss of her day care just as it was about to open which caused the plaintiff "considerable anguish." Such an award would be appropriate to compensate her for the loss of opportunity and other losses: Doan v. Killins, supra, where Melnick J. awarded aggravated damages where a vendor had fraudulently misrepresented the size of the land and the conduct of the vendor had "greatly diminished [the purchasers] pleasure with their home." He awarded aggravated damages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says the plaintiff's evidence was that she viewed the property and chose not to have a building inspection. Her evidence was that her decision not to have a building inspection was based on her personal inspections of the property and the contents of the disclosure statement, which she "had in her hand" at the time she made the first offer. She reviewed the disclosure statement thoroughly when she made her first offer. She also testified that she would not have made an offer without first seeing a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the defendant demonstrated that the disclosure statement had been given to her with the defendant's counter offers, and she could not have had a copy at the time of the first offer. The plaintiff said that she meant she had it in her hand before she made her final offer. Nevertheless, the plaintiff maintained that she only "probably read" the recommendation in the disclosure statement that she have an inspection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another example of the unreliability of the plaintiff's evidence, the defendant's counsel referred to her evidence in direct where the plaintiff stated that it was she who had put five conditions on the Contract of Purchase and Sale, the final one being put there because she wanted to know what was happening to the property next door. This evidence was not supported by the evidence of the two real estate agents or her evidence in cross-examination. It was demonstrated that the defendant had placed that condition to ensure the plaintiff knew there was a pending change to the adjacent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the defendant points to the fact the plaintiff claimed damages from Oak Bay for the cracking she says was caused by the construction next door after she took possession. Although the plaintiff now says that she was wrong in believing the cracking was caused by the construction, she has not returned the $3,500 she received as a settlement of her claims. It is also significant that in return for the money Oak Bay received a release for any damage that might have been caused between December 11, 1997 and March 1998, long after the representation of fact made by the defendant. Further, the plaintiff did not rip up any of the floor covering until after the second flooding in December 1999 and, accordingly, she is not able to say whether the money she received for damage caused by the construction was also the cause of the cracking she could see in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says that these events and other aspects of the plaintiff's evidence show she was evasive generally, and some of her evidence at trial was contradicted by her earlier evidence at her discovery. Further, the plaintiff gave no evidence of the extent of her personal inspection, but she did note that the down spouts did not enter the ground but emptied into the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also submits that the timing of the water in the basement is significant. The first water was not experienced until a year after the contract to purchase was signed in November 1997 and the second flooding not until December 1999. Both were at times of heavy rainfall. The evidence of Mr. Roskelly, who had lived in the house for 27 years, was that he had only one instance of water sometime in the 1970s, an event of which the defendant was ignorant. Roskelly himself stored boxes on the basement floor and he never saw any quantity of water as described by Ms. Frey and Mr. 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for the evidence of Ms. Frey and Mr. Stein, the defendants counsel argues there are inconsistencies in their testimony and some is contradicted by the evidence of Mr. Nyren. Mr. Scherr says that it is questionable whether Frey and Stein were looking at the same house. Further, the evidence of Mr. Stein should not be accepted because he had denied under oath making the statements later demonstrated by the secret tape recording.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also pointed to the evidence of Stewart Pitt who was called to the house by the plaintiff to examine cracks in the walls and later to examine a flooded basement. It was his advice to the plaintiff to have her perimeter drains checked to make sure they were draining the water away from the side of the house as they were intended to do. Mr. Pitt also agreed that there were a number of houses in Oak Bay that were built without a perimeter drain system and indeed he was not sure that such a system was even required when these older homes were built. It was after his inspection that Oak Bay paid $3,500 to the plaintiff in settlement of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counsel says that evidence of the defendant was that there was but the one instance of water in the basement and only during an exceptional blizzard in 1996 when there was the largest recorded snow fall in the history of Victoria. He did not think these exceptional circumstances constituted "a water or moisture problem" in the basement. He made no changes to the drainage system and made no efforts to seal or hide anything, and only finished the basement on the advice of his realtor for enhanced resale value and not for any quick sale. The people he hired to do the work were instructed to do the work in keeping with the rest of the house, which on the evidence, was of high quality. When he purchased the house the previous owners made no reference to any water or moisture problem. In sum, his counsel submitted that his evidence, unlike that of the plaintiff, was consistent with all other evidence led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response to the plaintiff's case, Mr. Scherr submitted that the plaintiff called no evidence relating to the amount of supposed business loss; no evidence of Mr. Giglio relating to the inspection of the house; no evidence regarding the cause of the flooding she experienced; no evidence indicating that the defendant had any actual knowledge of a water problem; no evidence that, in fact, the home lacked a perimeter drainage system; no evidence of any defect; and no evidence of damage as the difference between what the plaintiff paid and the fair market value of the house at the time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plaintiff's claim in contract requires that she establish a defect and, once established, it must be determined whether the defect is latent or patent. There is no remedy at law for a patent defect and the rule of caveat emptor is still the law: Scott-Poulson et ux v. Hope (1958), 25 W.W.R. 427 (B.C.S.C.) and Eberts v. Aitchison </w:t>
      </w:r>
      <w:hyperlink r:id="rId449" w:history="1">
        <w:r>
          <w:rPr>
            <w:rFonts w:ascii="arial" w:eastAsia="arial" w:hAnsi="arial" w:cs="arial"/>
            <w:i/>
            <w:color w:val="0077CC"/>
            <w:sz w:val="20"/>
            <w:u w:val="single"/>
            <w:shd w:val="clear" w:color="auto" w:fill="FFFFFF"/>
            <w:lang w:val="en-US" w:eastAsia="en-US" w:bidi="ar-SA"/>
          </w:rPr>
          <w:t>(2000), 4 C.L.R. (3d) 248</w:t>
        </w:r>
      </w:hyperlink>
      <w:r>
        <w:rPr>
          <w:rFonts w:ascii="arial" w:eastAsia="arial" w:hAnsi="arial" w:cs="arial"/>
          <w:color w:val="000000"/>
          <w:sz w:val="20"/>
          <w:lang w:val="en-US" w:eastAsia="en-US" w:bidi="ar-SA"/>
        </w:rPr>
        <w:t xml:space="preserve"> (B.C.S.C.), </w:t>
      </w:r>
      <w:hyperlink r:id="rId449" w:history="1">
        <w:r>
          <w:rPr>
            <w:rFonts w:ascii="arial" w:eastAsia="arial" w:hAnsi="arial" w:cs="arial"/>
            <w:i/>
            <w:color w:val="0077CC"/>
            <w:sz w:val="20"/>
            <w:u w:val="single"/>
            <w:shd w:val="clear" w:color="auto" w:fill="FFFFFF"/>
            <w:lang w:val="en-US" w:eastAsia="en-US" w:bidi="ar-SA"/>
          </w:rPr>
          <w:t>2000 BCSC 1103</w:t>
        </w:r>
      </w:hyperlink>
      <w:r>
        <w:rPr>
          <w:rFonts w:ascii="arial" w:eastAsia="arial" w:hAnsi="arial" w:cs="arial"/>
          <w:color w:val="000000"/>
          <w:sz w:val="20"/>
          <w:lang w:val="en-US" w:eastAsia="en-US" w:bidi="ar-SA"/>
        </w:rPr>
        <w:t xml:space="preserve">. The defect alleged by the plaintiff is the lack of a perimeter drainage system, but the plaintiff has not proven there was no perimeter drainage system. Even if there were no such system it would not be a defect as the home did not require such a system at the time it was constructed. In any event, it was patently obvious that the down spouts emptied onto the ground and everyone, including the plaintiff and her realtor saw that. Further enquiries could have addressed any concerns the plaintiff may have had, but none were made. Finally, where, as here, a person is represented by experienced professionals, they should not be heard to complain of an inequality in bargaining power or a lack of knowledge: Crozman v. Reusch </w:t>
      </w:r>
      <w:hyperlink r:id="rId450" w:history="1">
        <w:r>
          <w:rPr>
            <w:rFonts w:ascii="arial" w:eastAsia="arial" w:hAnsi="arial" w:cs="arial"/>
            <w:i/>
            <w:color w:val="0077CC"/>
            <w:sz w:val="20"/>
            <w:u w:val="single"/>
            <w:shd w:val="clear" w:color="auto" w:fill="FFFFFF"/>
            <w:lang w:val="en-US" w:eastAsia="en-US" w:bidi="ar-SA"/>
          </w:rPr>
          <w:t>(1993), 87 B.C.L.R. (2d) 223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 submits the law is clear as to the plaintiff's claim in breach of warranty. The statement in the disclosure statement that asks if the owner is aware of any moisture and/or water problems said to form the basis of the law suit does not call upon a vendor to warrant a certain state of facts or the condition of a piece of the property. The wording of the clause is not a warranty: Arsenault v. Pedersen, </w:t>
      </w:r>
      <w:hyperlink r:id="rId451" w:history="1">
        <w:r>
          <w:rPr>
            <w:rFonts w:ascii="arial" w:eastAsia="arial" w:hAnsi="arial" w:cs="arial"/>
            <w:i/>
            <w:color w:val="0077CC"/>
            <w:sz w:val="20"/>
            <w:u w:val="single"/>
            <w:shd w:val="clear" w:color="auto" w:fill="FFFFFF"/>
            <w:lang w:val="en-US" w:eastAsia="en-US" w:bidi="ar-SA"/>
          </w:rPr>
          <w:t>[1996] B.C.J. No. 1026</w:t>
        </w:r>
      </w:hyperlink>
      <w:r>
        <w:rPr>
          <w:rFonts w:ascii="arial" w:eastAsia="arial" w:hAnsi="arial" w:cs="arial"/>
          <w:color w:val="000000"/>
          <w:sz w:val="20"/>
          <w:lang w:val="en-US" w:eastAsia="en-US" w:bidi="ar-SA"/>
        </w:rPr>
        <w:t xml:space="preserve"> (26 April 1996), New Westminster S021575 (B.C.S.C.) and Best v. Lavoie, </w:t>
      </w:r>
      <w:hyperlink r:id="rId452" w:history="1">
        <w:r>
          <w:rPr>
            <w:rFonts w:ascii="arial" w:eastAsia="arial" w:hAnsi="arial" w:cs="arial"/>
            <w:i/>
            <w:color w:val="0077CC"/>
            <w:sz w:val="20"/>
            <w:u w:val="single"/>
            <w:shd w:val="clear" w:color="auto" w:fill="FFFFFF"/>
            <w:lang w:val="en-US" w:eastAsia="en-US" w:bidi="ar-SA"/>
          </w:rPr>
          <w:t>[1999] B.C.J. No. 1383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answer to the claim for damages based on negligent misrepresentation, the defendant argues that the wording of clause 2j - "are you aware of any moisture and/or water problems in the basement or crawl space" - speaks of an existing problem and is significantly different from wording in other clauses that speak of past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While agreeing that the test for negligent misrepresentation requires proof of the five elements listed in Queen v. Cognos, supra, the defendant argues that the plaintiff has failed to prove the elements necessary to support her claim. A special relationship will only arise if the plaintiff shows that the alleged defect is latent. If the defect is patent, then the rule of caveat emptor applies: Zaenker v. Kirk et al </w:t>
      </w:r>
      <w:hyperlink r:id="rId453" w:history="1">
        <w:r>
          <w:rPr>
            <w:rFonts w:ascii="arial" w:eastAsia="arial" w:hAnsi="arial" w:cs="arial"/>
            <w:i/>
            <w:color w:val="0077CC"/>
            <w:sz w:val="20"/>
            <w:u w:val="single"/>
            <w:shd w:val="clear" w:color="auto" w:fill="FFFFFF"/>
            <w:lang w:val="en-US" w:eastAsia="en-US" w:bidi="ar-SA"/>
          </w:rPr>
          <w:t>(1999), 30 R.P.R. (3d) 9</w:t>
        </w:r>
      </w:hyperlink>
      <w:r>
        <w:rPr>
          <w:rFonts w:ascii="arial" w:eastAsia="arial" w:hAnsi="arial" w:cs="arial"/>
          <w:color w:val="000000"/>
          <w:sz w:val="20"/>
          <w:lang w:val="en-US" w:eastAsia="en-US" w:bidi="ar-SA"/>
        </w:rPr>
        <w:t xml:space="preserve"> (B.C.S.C.) at para. 17, aff'd </w:t>
      </w:r>
      <w:hyperlink r:id="rId454" w:history="1">
        <w:r>
          <w:rPr>
            <w:rFonts w:ascii="arial" w:eastAsia="arial" w:hAnsi="arial" w:cs="arial"/>
            <w:i/>
            <w:color w:val="0077CC"/>
            <w:sz w:val="20"/>
            <w:u w:val="single"/>
            <w:shd w:val="clear" w:color="auto" w:fill="FFFFFF"/>
            <w:lang w:val="en-US" w:eastAsia="en-US" w:bidi="ar-SA"/>
          </w:rPr>
          <w:t>[2001] B.C.J. No. 1149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defendant submits the second element - that the representation was untrue, inaccurate or misleading - has not been established on the evidence. The defendant had no actual knowledge of a present water or moisture problem and the one incident under exceptional circumstances does not constitute a "water problem". Neither the previous owner, nor the trades people hired to do the renovations, saw any signs of a moisture or water problem. On the basis of that evidence, there can be no finding the statement was untrue, inaccurate or misleading. Further, there cannot be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the third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for the fourth element, a reasonable reliance, the plaintiff had not even seen the disclosure statement when she made the initial offer; she chose not to have a building inspection, she made no enquiries about the drainage system, and there is no evidence to show that the defendant had any special expertise, an element expressed by McLachlin J.A. (as she then was) in Kingu v. Walmar Ventures Ltd. </w:t>
      </w:r>
      <w:hyperlink r:id="rId455"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Finally, the plaintiff has failed to establish damage, the fifth element. The proper measure of damage is the difference between the actual value of the property at the time it was purchased and the price that was paid for it: see Hepting v. Schaaf et al., </w:t>
      </w:r>
      <w:hyperlink r:id="rId456" w:history="1">
        <w:r>
          <w:rPr>
            <w:rFonts w:ascii="arial" w:eastAsia="arial" w:hAnsi="arial" w:cs="arial"/>
            <w:i/>
            <w:color w:val="0077CC"/>
            <w:sz w:val="20"/>
            <w:u w:val="single"/>
            <w:shd w:val="clear" w:color="auto" w:fill="FFFFFF"/>
            <w:lang w:val="en-US" w:eastAsia="en-US" w:bidi="ar-SA"/>
          </w:rPr>
          <w:t>[1964] S.C.R. 100</w:t>
        </w:r>
      </w:hyperlink>
      <w:r>
        <w:rPr>
          <w:rFonts w:ascii="arial" w:eastAsia="arial" w:hAnsi="arial" w:cs="arial"/>
          <w:color w:val="000000"/>
          <w:sz w:val="20"/>
          <w:lang w:val="en-US" w:eastAsia="en-US" w:bidi="ar-SA"/>
        </w:rPr>
        <w:t xml:space="preserve">; Sorenson v. Kaye Holdings Ltd. </w:t>
      </w:r>
      <w:hyperlink r:id="rId457" w:history="1">
        <w:r>
          <w:rPr>
            <w:rFonts w:ascii="arial" w:eastAsia="arial" w:hAnsi="arial" w:cs="arial"/>
            <w:i/>
            <w:color w:val="0077CC"/>
            <w:sz w:val="20"/>
            <w:u w:val="single"/>
            <w:shd w:val="clear" w:color="auto" w:fill="FFFFFF"/>
            <w:lang w:val="en-US" w:eastAsia="en-US" w:bidi="ar-SA"/>
          </w:rPr>
          <w:t>(1979), 14 B.C.L.R. 204</w:t>
        </w:r>
      </w:hyperlink>
      <w:r>
        <w:rPr>
          <w:rFonts w:ascii="arial" w:eastAsia="arial" w:hAnsi="arial" w:cs="arial"/>
          <w:color w:val="000000"/>
          <w:sz w:val="20"/>
          <w:lang w:val="en-US" w:eastAsia="en-US" w:bidi="ar-SA"/>
        </w:rPr>
        <w:t xml:space="preserve"> (C.A.); and Zorzi v. Barker </w:t>
      </w:r>
      <w:hyperlink r:id="rId458" w:history="1">
        <w:r>
          <w:rPr>
            <w:rFonts w:ascii="arial" w:eastAsia="arial" w:hAnsi="arial" w:cs="arial"/>
            <w:i/>
            <w:color w:val="0077CC"/>
            <w:sz w:val="20"/>
            <w:u w:val="single"/>
            <w:shd w:val="clear" w:color="auto" w:fill="FFFFFF"/>
            <w:lang w:val="en-US" w:eastAsia="en-US" w:bidi="ar-SA"/>
          </w:rPr>
          <w:t>(1957), 8 D.L.R. (2d) 164</w:t>
        </w:r>
      </w:hyperlink>
      <w:r>
        <w:rPr>
          <w:rFonts w:ascii="arial" w:eastAsia="arial" w:hAnsi="arial" w:cs="arial"/>
          <w:color w:val="000000"/>
          <w:sz w:val="20"/>
          <w:lang w:val="en-US" w:eastAsia="en-US" w:bidi="ar-SA"/>
        </w:rPr>
        <w:t xml:space="preserve"> (B.C.C.A.). The defendant submits that in the case at bar there is no evidence to show that the plaintiff got less than she paid for the house and in fact the evidence was that she recently sold the house for $30,000 more than she paid for it. The failure of the plaintiff to lead any evidence of damage is fatal for she has failed to prove an essential element of her claims whether in contract or in tort: Noonan v. Roe </w:t>
      </w:r>
      <w:hyperlink r:id="rId459" w:history="1">
        <w:r>
          <w:rPr>
            <w:rFonts w:ascii="arial" w:eastAsia="arial" w:hAnsi="arial" w:cs="arial"/>
            <w:i/>
            <w:color w:val="0077CC"/>
            <w:sz w:val="20"/>
            <w:u w:val="single"/>
            <w:shd w:val="clear" w:color="auto" w:fill="FFFFFF"/>
            <w:lang w:val="en-US" w:eastAsia="en-US" w:bidi="ar-SA"/>
          </w:rPr>
          <w:t>(1971), 21 D.L.R. (3d) 102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a final alternative, the defendant relies on the two year limitation period imposed by the Limitation Act, R.S.B.C. 1996, c. 266, s. 3(2)(a). Actions for damages in respect of injury to person or property whether based on contract, tort or statutory duty are subject to a two year limitation. The plaintiff's evidence was that she noticed "moisture problems" immediately after she moved in in January 1998, but thought it was from her cats. The Statement of Claim was not filed until July 13, 2000 and not amended to plead the claim in tort until October 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Finally, in answer to the plaintiff's claim for aggravated damages, the defendant submits that she has not led any evidence that she suffered some loss of dignity or other humiliation and that claim must be dismissed: Rioux v. Smith et al. </w:t>
      </w:r>
      <w:hyperlink r:id="rId460" w:history="1">
        <w:r>
          <w:rPr>
            <w:rFonts w:ascii="arial" w:eastAsia="arial" w:hAnsi="arial" w:cs="arial"/>
            <w:i/>
            <w:color w:val="0077CC"/>
            <w:sz w:val="20"/>
            <w:u w:val="single"/>
            <w:shd w:val="clear" w:color="auto" w:fill="FFFFFF"/>
            <w:lang w:val="en-US" w:eastAsia="en-US" w:bidi="ar-SA"/>
          </w:rPr>
          <w:t>(1983), 48 B.C.L.R. 126</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action is dismissed with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claim in contract requires evidence to establish on a balance of probabilities that there was a defect, that it was latent, and that it was known to the defendant. The evidence of the defendant, which I accept, was supported by other equally reliable evidence from Mr. Peron, who had taken carpeting from the basement and John O'Neill, an experienced builder who finished the basement and who testified that there was no moisture or water problem in the basement. I was particularly impressed with the evidence of Linda Beadle who had performed work for the defendant over a two-year period during which time she had occasion to go into the basement frequently and, I infer, likely as frequently as the defendant. She saw no sign of water or moisture. Also, the previous owner had experienced no problem and the exceptional circumstances of the winter of 1996 which resulted in some puddling in the floor does not mean that the defendant knew or ought to have known there was a problem. As Maclean J. observed in Scott-Poulson, supra, at 429, a finding the defendant was not aware of a defect disposes of the case "because in the case of a latent defect of quality ... the plaintiffs would have to plead and prove breach of warranty or fraud to be entitled to any remedy at all whether by way of damages or by rescission: Hanbury on Equity, 7th ed., p. 615; 29 Halsbury (2d) p. 464." Here I am satisfied on all of the evidence that the defendant was not aware of any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Further, if there was a problem, then there is not sufficient evidence as to the cause of the problem. If the problem was the result of the lack of a perimeter drainage system, then there is no evidence that such a system was required at the time this old house was built. In any event, because the downspouts drained directly out onto the ground and not into the ground I conclude that this was patently obvious and indeed was noted by both the plaintiff and her realtor. The rule of caveat emptor applies to a patent defect: Ebert, supra, at paras. 20-25.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turn now to consider the claim based on breach of warranty. For the reasons set out in the submissions of the defendant, this claim must fail as well. First, as Boyle J. noted in Arsenault, supra, at paras. 11 and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idea who drafted these questions [the disclosure statement] but they clearly are drawn in a manner offering more protection for a vendor than to a purchaser and in a manner to provide a sales person or vendor with an air of rectitude which might not on all occasions be deserved - even given the cautionary line: "Buyers are urged to carefully inspect the property and, if desired, to have the property inspected by an inspection service of their choice."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disclosure statement does not call upon a vendor to warrant a certain state of affairs. It requires the vendor to say no more than that he or she is or is not aware of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are a number of authorities which hold that this particular wording in the disclosure statement is not capable of supporting a claim for breach of warranty: see for example Arsenault, supra, Best, supra and Zaenker,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Turning now to the claim based on negligent misrepresentation, it is common ground that the plaintiff must establish the five elements set out in Queen v. Cognos, supra. There is a duty of care based on the relationship of vendor/purchaser, but this duty arises only if the alleged defect is latent and known to the defendant. That has not been established. Further, it has not been established that the defendant had knowledge of any defect or that he was negligent in making any representation. The evidence satisfies me that the plaintiff made the offer before she had even seen the alleged representation. I cannot find there was any reasonable reliance by the plaintiff even if there were a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That is enough to dispose of the plaintiff's claims and, accordingly, I need not deal with the defence that the claim is barred by operation of the Limitation Act or the claim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action is dismissed with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7"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British Columbia v. Imperial Tobacco Canada Ltd., [2003] B.C.J. No. 1309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4 - 8, 12 - 13, 18 - 22,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25 - 28,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S010421, S010423, S010424,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S010425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1309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877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227 D.L.R. (4th) 323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851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in Right of British Columbia, plaintiff, and Imperial Tobacco Canada Limited, Rothmans, Benson &amp; Hedges Inc., Rothmans Inc., JTI-Macdonald Corp., Canadian Tobacco Manufacturers' Council, B.A.T. Industries p.l.c., British American Tobacco (Investments) Limited, Carreras Rothmans Limited, Philip Morris Incorporated, Philip Morris International, Inc., R.J. Reynolds Tobacco Company, R.J. Reynolds Tobacco International, Inc., Rothmans International Research Division and Ryesekks p.l.c., defendants (Vancouver Registry No. S010421) And between JTI Macdonald Corp., plaintiff, and Attorney General of British Columbia, defendant (Vancouver Registry No. S010423) And between Imperial Tobacco Canada Limited, plaintiff, and Attorney General of British Columbia, defendant (Vancouver Registry No. S010424) And between Rothmans, Benson &amp; Hedges Inc., plaintiff, and Attorney General of British Columbia, defendant (Vancouver Registry No. S010425)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8"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0" w:name="Keywords_26"/>
      <w:bookmarkEnd w:id="170"/>
      <w:r>
        <w:rPr>
          <w:rFonts w:ascii="arial" w:eastAsia="arial" w:hAnsi="arial" w:cs="arial"/>
          <w:b/>
          <w:color w:val="000000"/>
          <w:sz w:val="20"/>
          <w:lang w:val="en-US" w:eastAsia="en-US" w:bidi="ar-SA"/>
        </w:rPr>
        <w:t>Constitutional law — Determination of validity of statutes or acts — Declaration of invalidity — Pith and substance — Provincial jurisdiction — Territorial limitation.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1" w:name="Case Summary_21"/>
            <w:bookmarkEnd w:id="1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three tobacco manufacturers for a declaration that the Tobacco Damages and Health Care Costs Recovery Act was ultra vires the Province. The manufacturers were defendants in a separation action commenced by the Province under the Act. Nine of the 14 defendants in that action were foreign. The Act permitted the Province to sue to recoup the costs of health care benefits paid out in respect of tobacco-related diseases without proof of individual causation and damages. It required that the company owe a duty owed to persons within the Province. However, it allowed a person to be exposed to a tobacco product in another province or country. It prohibited disclosure of personal identities and identifiers of any individual. Section 10 of the Act allowed for the recovery of past health care costs paid by the Province prior to the Act coming into force.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2" w:name="Holdings of Court_15"/>
            <w:bookmarkEnd w:id="17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 of whether a core jurisdiction of the court had been compromised had to await consideration of the evidence disclosed at trial. The issue of judicial independence by interference with its fact-finding function was premature. Section 10 of the Act was not unconstitutional by reason of violation of the rule of law. There was nothing inherently unfair about an aggregate action. Neither was the use of statistical evidence itself evidence of an unfair trial. There were no breaches of the unwritten principles under the rule of law of generality, prospectivity, equality and the right to a fair trial. However, the Act was constitutionally flawed by virtue of its extraterritorial scope. Unconfined exposure gave the cause of action an extraterritorial component. The Act was in pith and substance extraterritorial in its purpose and effect. Severance or reading down would engage in legislative redrafting. The action against the manufacturers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3" w:name="Legislation Cited_21"/>
      <w:bookmarkEnd w:id="1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9"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Attorney General Act, </w:t>
      </w:r>
      <w:hyperlink r:id="rId468" w:history="1">
        <w:r>
          <w:rPr>
            <w:rFonts w:ascii="arial" w:eastAsia="arial" w:hAnsi="arial" w:cs="arial"/>
            <w:i/>
            <w:color w:val="0077CC"/>
            <w:sz w:val="20"/>
            <w:u w:val="single"/>
            <w:shd w:val="clear" w:color="auto" w:fill="FFFFFF"/>
            <w:lang w:val="en-US" w:eastAsia="en-US" w:bidi="ar-SA"/>
          </w:rPr>
          <w:t>R.S.B.C. 1996, c. 22, s. 2</w:t>
        </w:r>
      </w:hyperlink>
      <w:r>
        <w:rPr>
          <w:rFonts w:ascii="arial" w:eastAsia="arial" w:hAnsi="arial" w:cs="arial"/>
          <w:color w:val="000000"/>
          <w:sz w:val="20"/>
          <w:lang w:val="en-US" w:eastAsia="en-US" w:bidi="ar-SA"/>
        </w:rPr>
        <w:t>(b).</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13, 14(6), 19(24).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ss. 1, 11(g).</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Constitutional Act, 1867, ss. 11(d), 92, 92(13), 92(14), 92(16).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Act, </w:t>
      </w:r>
      <w:hyperlink r:id="rId469" w:history="1">
        <w:r>
          <w:rPr>
            <w:rFonts w:ascii="arial" w:eastAsia="arial" w:hAnsi="arial" w:cs="arial"/>
            <w:i/>
            <w:color w:val="0077CC"/>
            <w:sz w:val="20"/>
            <w:u w:val="single"/>
            <w:shd w:val="clear" w:color="auto" w:fill="FFFFFF"/>
            <w:lang w:val="en-US" w:eastAsia="en-US" w:bidi="ar-SA"/>
          </w:rPr>
          <w:t>R.S.B.C. 1996, c. 124, s. 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French Language Services Act, </w:t>
      </w:r>
      <w:hyperlink r:id="rId470" w:history="1">
        <w:r>
          <w:rPr>
            <w:rFonts w:ascii="arial" w:eastAsia="arial" w:hAnsi="arial" w:cs="arial"/>
            <w:i/>
            <w:color w:val="0077CC"/>
            <w:sz w:val="20"/>
            <w:u w:val="single"/>
            <w:shd w:val="clear" w:color="auto" w:fill="FFFFFF"/>
            <w:lang w:val="en-US" w:eastAsia="en-US" w:bidi="ar-SA"/>
          </w:rPr>
          <w:t>R.S.O. 1990, c. F.32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Statistics Act, </w:t>
      </w:r>
      <w:hyperlink r:id="rId471" w:history="1">
        <w:r>
          <w:rPr>
            <w:rFonts w:ascii="arial" w:eastAsia="arial" w:hAnsi="arial" w:cs="arial"/>
            <w:i/>
            <w:color w:val="0077CC"/>
            <w:sz w:val="20"/>
            <w:u w:val="single"/>
            <w:shd w:val="clear" w:color="auto" w:fill="FFFFFF"/>
            <w:lang w:val="en-US" w:eastAsia="en-US" w:bidi="ar-SA"/>
          </w:rPr>
          <w:t>R.S.B.C. 1996, c. 439, ss. 9</w:t>
        </w:r>
      </w:hyperlink>
      <w:r>
        <w:rPr>
          <w:rFonts w:ascii="arial" w:eastAsia="arial" w:hAnsi="arial" w:cs="arial"/>
          <w:color w:val="000000"/>
          <w:sz w:val="20"/>
          <w:lang w:val="en-US" w:eastAsia="en-US" w:bidi="ar-SA"/>
        </w:rPr>
        <w:t>, 10.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Tobacco Damages and Health Care Costs Recovery Act, </w:t>
      </w:r>
      <w:hyperlink r:id="rId472" w:history="1">
        <w:r>
          <w:rPr>
            <w:rFonts w:ascii="arial" w:eastAsia="arial" w:hAnsi="arial" w:cs="arial"/>
            <w:i/>
            <w:color w:val="0077CC"/>
            <w:sz w:val="20"/>
            <w:u w:val="single"/>
            <w:shd w:val="clear" w:color="auto" w:fill="FFFFFF"/>
            <w:lang w:val="en-US" w:eastAsia="en-US" w:bidi="ar-SA"/>
          </w:rPr>
          <w:t>S.B.C. 2000, c. 30, ss. 1</w:t>
        </w:r>
      </w:hyperlink>
      <w:r>
        <w:rPr>
          <w:rFonts w:ascii="arial" w:eastAsia="arial" w:hAnsi="arial" w:cs="arial"/>
          <w:color w:val="000000"/>
          <w:sz w:val="20"/>
          <w:lang w:val="en-US" w:eastAsia="en-US" w:bidi="ar-SA"/>
        </w:rPr>
        <w:t>, 2, 2(1), 2(2), 2(3), 2(4)(a), 2(4)(b), 2(5), 2(5)(b), 2(5)(c), 2(5)(d), 2(5)(e), 3, 3(1), 3(1)(a), 3(2), 3(2)(a), 3(2)(b), 3(4), 4, 4(2), 5, 5(b), 10.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Tobacco Damages Recovery Act, S.B.C. 1997,c. 41, s. 13(1).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Trade Practice Act, </w:t>
      </w:r>
      <w:hyperlink r:id="rId473"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4" w:name="Counsel_27"/>
      <w:bookmarkEnd w:id="1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0"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 Berger, Q.C., D.A. Webster, Q.C., E. Myers, E. Araujo, C. Jones and K. Kuntz, for the plaintiff. P. Fraser, Q.C. and G. Clarke, for the defendant, Carreras Rothmans Ltd. J. Macaulay, Q.C., K. Affleck, Q.C. and S. Kurelek, for the defendants, Rothmans, Benson &amp; Hedges Inc., and Rothmans Inc. R. Sugden, Q.C. and C. Dennis, for the defendants, B.A.T. Industries p.l.c., and British American Tobacco (Investments) Limited. D.R. Clark and C.A. Millar, for the defendants, Philip Morris Incorporated and Philip Morris International Inc. J. Giles, Q.C., J.J. Kay and D. Bloor, for the defendants, JTI-Macdonald Corp., R.J. Reynolds Tobacco Company, and R.J. Reynolds Tobacco International Inc. W.S. Berardino, Q.C., D. Harris and A. MacKay, for the defendant, Imperial Tobacco Canada Limited. L. Russell, for the defendant, Canadian Tobacco Manufacturers' Council. R.B. Lindsay and S. Braun, for the defendant, Ryesekks p.l.c.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5" w:name="Judgment_27"/>
      <w:bookmarkEnd w:id="175"/>
      <w:r>
        <w:pict>
          <v:line id="_x0000_s1161" style="position:absolute;z-index:25183948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Corrigenda were released by the Court June 13, 2003 and July 4, 2003. The corrections have been made to the text and the Corrigenda are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6" w:name="HOLMES J."/>
            <w:bookmarkEnd w:id="176"/>
            <w:r>
              <w:rPr>
                <w:rFonts w:ascii="arial" w:eastAsia="arial" w:hAnsi="arial" w:cs="arial"/>
                <w:b/>
                <w:color w:val="000000"/>
                <w:sz w:val="30"/>
                <w:lang w:val="en-US" w:eastAsia="en-US" w:bidi="ar-SA"/>
              </w:rPr>
              <w:t>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three actions tried in this proceeding are for a declaratory judgment that the Tobacco Damages and Health Care Costs Recovery Act, </w:t>
      </w:r>
      <w:r>
        <w:rPr>
          <w:rFonts w:ascii="arial" w:eastAsia="arial" w:hAnsi="arial" w:cs="arial"/>
          <w:i/>
          <w:color w:val="000000"/>
          <w:sz w:val="20"/>
          <w:lang w:val="en-US" w:eastAsia="en-US" w:bidi="ar-SA"/>
        </w:rPr>
        <w:t>S.B.C. 2000 c. 30</w:t>
      </w:r>
      <w:r>
        <w:rPr>
          <w:rFonts w:ascii="arial" w:eastAsia="arial" w:hAnsi="arial" w:cs="arial"/>
          <w:color w:val="000000"/>
          <w:sz w:val="20"/>
          <w:lang w:val="en-US" w:eastAsia="en-US" w:bidi="ar-SA"/>
        </w:rPr>
        <w:t xml:space="preserve"> [the "Act" or "2000 Act"] is ultra vires the powers of the Province and consequently of no force and effect. The plaintiffs in the actions are JTI-Macdonald Corporation, Imperial Tobacco Canada Limited, and Rothmans Benson &amp; Hedges Inc., the three Canadian manufacturers named as defendants in the Supreme Court of British Columbia, Vancouver Registry Action No. S010421 commenced by Her Majesty the Queen in Right of British Columbia [the "government action"] pursuant to the statutory cause of action conferred under Section 2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triparte grounds upon which the constitutional challenges are based are judicial independence, retroactivity, and extraterritoriality.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applications in the government action under Rules of Court 14(6) and 19(24) for dismissal of the government action on the basis of the constitutional invalidity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Applications are before the Court from eight ex juris defendants to set aside service of the Writ of Summons upon them in the government action. The ex juris defendant Rothmans International Research Division was not served, did not appear to Writ of Summons, and is therefore not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event the constitutional challenges to the Act succeed, the government action would be dismissed against all defendants. If the constitutional challenges are unsuccessful, the applications of the ex juris defendants must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matter has relevant history. A prior action was brought by the British Columbia government against the defendant tobacco manufacturers in 1998. The basis of that action was the Tobacco Damages Recovery Act, </w:t>
      </w:r>
      <w:hyperlink r:id="rId474" w:history="1">
        <w:r>
          <w:rPr>
            <w:rFonts w:ascii="arial" w:eastAsia="arial" w:hAnsi="arial" w:cs="arial"/>
            <w:i/>
            <w:color w:val="0077CC"/>
            <w:sz w:val="20"/>
            <w:u w:val="single"/>
            <w:shd w:val="clear" w:color="auto" w:fill="FFFFFF"/>
            <w:lang w:val="en-US" w:eastAsia="en-US" w:bidi="ar-SA"/>
          </w:rPr>
          <w:t>S.B.C. 1997 c. 41</w:t>
        </w:r>
      </w:hyperlink>
      <w:r>
        <w:rPr>
          <w:rFonts w:ascii="arial" w:eastAsia="arial" w:hAnsi="arial" w:cs="arial"/>
          <w:color w:val="000000"/>
          <w:sz w:val="20"/>
          <w:lang w:val="en-US" w:eastAsia="en-US" w:bidi="ar-SA"/>
        </w:rPr>
        <w:t xml:space="preserve"> ["prior Act" or "1997 Act"]. In the same manner as here, the prior Act was challenged by the defendant tobacco manufacturers in actions seeking declaratory judgments of constitutional invalidity.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violations alleged were that the 1997 Act exceeded the territorial jurisdiction of the Province; presented an unconstitutional interference with judicial independence; and that it violated the rule of law in respect to protection of equality under the law and in respect to the prohibition on retroactive penal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prior action there were no ex juris applications to set aside service before the Court, however by agreement of the parties the ex juris defendants participated at the trial of the constitutional challenge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This Court found that the prior Act did extend beyond the constitutionally permissible reach of the Province under the Constitution Act, 1867 (U.K.) 30 &amp; 31 Victoria, c. 3, rep. R.S.C. 1985 App. 11 No. 5. The manufacturers were granted a declaration to that effect and the government's action against the manufacturers was dismissed. Reasons for this decision can be found at JTI-Macdonald Corp. v. British Columbia (Attorney General) </w:t>
      </w:r>
      <w:hyperlink r:id="rId475" w:history="1">
        <w:r>
          <w:rPr>
            <w:rFonts w:ascii="arial" w:eastAsia="arial" w:hAnsi="arial" w:cs="arial"/>
            <w:i/>
            <w:color w:val="0077CC"/>
            <w:sz w:val="20"/>
            <w:u w:val="single"/>
            <w:shd w:val="clear" w:color="auto" w:fill="FFFFFF"/>
            <w:lang w:val="en-US" w:eastAsia="en-US" w:bidi="ar-SA"/>
          </w:rPr>
          <w:t>(2000), 74 B.C.L.R. (3d) 149</w:t>
        </w:r>
      </w:hyperlink>
      <w:r>
        <w:rPr>
          <w:rFonts w:ascii="arial" w:eastAsia="arial" w:hAnsi="arial" w:cs="arial"/>
          <w:color w:val="000000"/>
          <w:sz w:val="20"/>
          <w:lang w:val="en-US" w:eastAsia="en-US" w:bidi="ar-SA"/>
        </w:rPr>
        <w:t>, ["JTI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response to the JTI decision, the British Columbia Legislature decided to repeal the 1997 Act. Subsequently it enacted modified legislation said in part to address the consequence of the JTI decision and to provide greater clarity to the provisions and terms contained in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new Act came into force January 24, 2001. The government instituted an action against the manufacturers that same day. The manufacturers again brought actions seeking declarations the Act was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major changes made in the Act were succinctly outlined on second reading by the Honourable Minister Farnworth in the Legislative Assembly on June 7,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response to the Supreme Court's decision, the province has decided to request that the Legislature repeal the original Tobacco Damages and Health Care Costs Recovery Act and re-enact the legislation with some modifications, to address the Supreme Court's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particular, the enterprise liability provisions that would have permitted the government to sue foreign corporations on the basis of corporate relationship have been severed in this new legislation. However, it is important to note that there are new joint and several liability provisions which provide for joint liability where more than one manufacturer acted together to commit a breach of duty owed to people in British Columbia - that is, smokers or those who might become smokers - or where one manufacturer acted on behalf of another in committing a breach of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wording of several of the act's provisions has been changed to provide greater clarity. For example, there is a new definition of "cost of health care benefits", which among other things includes and confirms that recovery for expenditures will be calculated on a present-value basis for both past and future expenditures, and it includes the phrase "the risk of tobacco related disease" to clarify that health care benefits can be expended not only for the treatment of disease but also for treatments arising from the risk of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definition of "health care benefits" has also been expanded to ensure that all government's relevant expenditures are captured. Under the original act some benefits which were not included in the definition were to be designated by regulation. In the new act the language of this definition has been expanded to avoid the necessity of relying on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definition of "tobacco related wrong" has been changed to make it clear that the government can only recover health care costs resulting from a breach of duty owed by tobacco companies to persons in British Columbia. This narrowing of the definition is needed to avoid an argument that the act is extraterritorial.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Essentially the two Acts are similar in content, purpose and style. The stated position of the manufacturers is that they did not intend to make the same submissions and arguments rejected by the Court in the prior decision. They intended to base their arguments on the differences between the prior Act and the new Act, changes in the law occurring since the JTI decision and on new affidavit evidence. At the same time the manufacturers noted and reserved the right on any appeal to re-argue the findings of fact arrived at in the JTI decision since the government chose to enact new legislation rather than appeal the decision, thereby preventing express determination by an appellate court as to the appropriateness of those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in JTI, no party contends that the Province does not have an exclusive right to make laws in respect of Property and Civil Rights in the Province; in respect of the Administration of Justice in the Province including matters of Civil Procedure in the Courts; and generally all matters of merely local or private nature in the Province. [Sections 92(13), (14) and (16) of the Constitution Act]. The issue is whether the powers have been exceeded.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new Act, like the prior 1997 Act, provides a civil cause of action that permits the government to directly recoup the costs of health care benefits paid out in respect of tobacco related diseases caused or contributed to by a tobacco related wrong, all of which are defined terms under the Act. It is legislation that pertains to civil rights in the Province (s. 92(13)).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in the prior Act, it is the statutory cause of action imparted to the Province under s. 2(1) that is the central focus of the present declaratory actions. The statutory cause of action continues to provide the Province an aggregate cause of action to recoup health care costs incurred for British Columbia residents arising from tobacco related disease. The statutory cause of action continues to be a radical departure from traditional common law actions in tort because it does not require proof of individual 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cause of action found in the new Act is different than that found in the 1997 Act. In the 1997 Act, the aggregate cause of action of the government contained basic tort elements. In the new Act, the cause of action is described by counsel for the government as sui generis. Counsel for the government argues that as the aggregate action is no longer a tort action it does not have to adhere to the traditional rules of tort. The individual action provided for in the Act however, still requires that the traditional elements of tort be proven. Section 2(1) of the Act reads: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has a direct and distinct action against a manufacturer to recover the cost of health care benefits caused or contributed to by a tobacco related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are several defined terms within this statutory cause of action. These definitions are set out in Section 1 of the Act. It is of assistance for purpose of analysis to set out the cause of action with the defined terms included, despite the result being lengthy and difficult to comprehend. Thus constructed, the fully defined cause of action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government has a direct and distinct action against a manufacturer (a person who manufactures or has manufactured a tobacco product and includes a person who currently or in the past: Causes, directly or indirectly, through arrangements with contractors, subcontractors, licensees, franchisees or others, the manufacture of a tobacco product; for any fiscal year of the person, derives at least 10% of revenues, determined on a consolidated basis in accordance with generally accepted accounting principles in Canada, from the manufacture or promotion of tobacco products by that person or by other persons; engages in, or causes directly or indirectly, other persons to engage in the promotion of a tobacco product, or; is a trade association primarily engaged in: the advancement of the interests of manufacturers, the promotion of a tobacco product, or causing, directly or indirectly, other persons to engage in the promotion of a tobacco product) to recover the cost of health care benefits (benefits as defined under the Hospital Insurance Act; benefits as defined under the Medicare Protection Act; payments made by the government under the Continuing Care Act, and; other expenditures, made directly or through one or more agents or other intermediate bodies, by the government for programs, services, benefits or similar matters associated with disease) caused or contributed to by a tobacco related wrong (a tort committed in British Columbia by a manufacturer which causes or contributes to a tobacco related disease, or; in an action under section 2(1), a breach of a common law, equitable or statutory duty or obligation owed by a manufacturer to persons in British Columbia who have been exposed or might become exposed to a tobacco product).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 in bold -- definition of defined words in parentheses]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for the tobacco manufacturers argued the cause of action in s. 2(1) is incomplete as to causation and characterized it as allowing a "breach in the air". This conclusion however appears to be based upon a consideration of the changed definition of "a tobacco related wrong" in isolation of the other elements of the statutory cause of action in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Attorney General argues that a full reading of the cause of action credited in s. 2 does not indicate a causal gap nor a "breach in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statutory cause of action requires: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breach of duty to British Columbians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causing or contributing to exposure to tobacco</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resulting in tobacco related disease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health care costs incurred by the province for the treatment of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position of the Attorney General is that the change made to the definition of "a tobacco related wrong" was intended to cure a redundancy inherent in s. 13(1) of the prior Act which established the prior statutory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Section 3 explains the proof required of the government in an action under Section 2:</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under section 2(1) for the recovery of the cost of health care benefits on an aggregate basis, subsection (2) applies if the government proves, on a balance of probabilities, that, in respect of a type of tobacco product,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a common law, equitable or statutory duty or obligation owed to persons in British Columbia who have been exposed or might become exposed to the type of tobacco product,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exposure to the type of tobacco product can cause or contribute to disease,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all or part of the period of the breach referred to in paragraph (a), the type of tobacco product, manufactured or promoted by the defendant, was offered for sale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Attorney General alleges that the manufacturers breached their duties to persons in British Columbia on several grounds. A summary from the Statement of Claim indicates the wide and extensive scope alleged: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Manipulating the level and bio-availability of nicotine in their cigarettes, particulars of which include the following:</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Sponsoring or engaging in selective breeding or genetic engineering of tobacco plants to produce a tobacco plant containing increased levels of nicotine,</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Increasing the level of nicotine by the methods used in blending the tobacco contained in their cigarettes,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Increasing the level of nicotine in their cigarettes by the addition of nicotine or substances containing nicotine,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Introducing substances, including ammonia, into their cigarettes to enhance the bio-availability of nicotine to smokers, without advising consumers;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Incorporating into the design of their cigarettes ostensible safety features such as filters which were ineffective, yet which would lead a reasonable consumer to believe that the product was safer to use than it was in fact;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disclose to consumers the risks inherent in the ordinary use of their cigarette products including the risks of disease and addiction;</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Engaging in collateral marketing, promotional and public relations activities to neutralize or negate the effectiveness of warnings provided to consumers;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Suppressing or concealing scientific and medical information regarding the risks of smoking;</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Engaging in marketing and promotion activities having the tendency to lead consumers to believe that cigarettes have performance characteristics, ingredients, uses and benefits and approval that they did not have;</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Misinforming and misleading the public about the risks of smoking by using innuendo, exaggeration and ambiguity having the tendency to mislead consumers about the material facts regarding smoking and health;</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the following representations to consumers:</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that smoking has not been shown to cause any known diseases,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that they were aware of no research, or no credible research, establishing a link between smoking and disease,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that cigarettes were not addictive,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that smoking is merely a habit or custom as opposed to an addiction,</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that they did not manipulate nicotine levels in their cigarettes,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that they did not include substances in their cigarettes designed to increase the bio-availability of nicotine,</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Misrepresenting the actual intake of tar and nicotine associated with smoking their cigarettes,</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that certain of their cigarettes, such as "filter", "mild", "low tar" and "light" brand, were safer than other cigarettes,</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that smoking is consistent with a healthy lifestyle,</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that the risks of smoking were less serious than they knew them to be; and</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correct statements made by others to consumers regarding the risks of smoking, which they knew were incomplete or inaccurate, and thereby misrepresenting the risks of smoking by omission or silence.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a result of these breaches, the Attorney General alleges that persons in British Columbia started to smoke or continued to smoke cigarettes manufactured and promoted by the defendant manufacturers and thereby suffered tobacco related disease and an increased risk of such disease for which the government has and will continue to provide health care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manufacturers deny these allegations but in this proceeding do not argue the merits. Rather the focus is on the manner in which these allegations are brought. The manufacturers argue that the Act under which the British Columbia government is attempting to enforce these duties is ultra vires of the Province based primarily on the following grounds: judicial independence, retroactivity, and extraterritoriality.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JUDICIAL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manufacturers assert that the 2000 Act is an unconstitutional interference with the independence of the judiciary which is essentially the same position they advanced in JTI in respect of the 1997 Act. Counsel for the manufacturers characterized their present position as converting a "facial challenge" in the JTI action to one where there is now an evidentiary foundation for asserting the adjudicative function of the Court is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intend their present submissions will be within the confines of the previous decision which they do not seek to appeal but do seek to revisit on the basis of a new record. The revisitation concerns two findings in the JTI action relating to judicial independence. First, that the argument with respect to judicial independence was premature; and second, that the evidence withheld from the Court by blocking provisions of the Act was not, on the record before the Court, relevant to the aggregate action created by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new record contains a detailed report of Dr. M. Laurentius Marais concerning evidentiary issues raised by provisions of the Act. Dr. Marais is of the view that evidence relating to the attributes of individuals is necessarily relevant to the issues in an action under the Act pursued on an aggregate or statistical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manufacturers argue that the "blocking provisions" contained in the Act prevent or hinder obtaining relevant information of the attributes of representative individuals taken from the larger population. [Section 2(5)] The reliability of the statistical study is thereby compromised and the Court deprived of the probative evidence that is essential to properly test it and adjudicate the issues that arise in an aggregate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urges that the evidence in the report of Dr. Marais no longer makes a determination of the operation and effect of the Act premature.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manufacturers concede the Act does empower the Court to make an order requiring disclosure of a representative sample of health care documents. [Section 2(5)(d)] This is taken as an indication of the clear recognition of the relevance and importance of individual attributes in an aggregate action. The blocking provision as to the identity of individuals however prevents the ability to gather, place before the Court, and test relevant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manufacturers accept a Province may create an aggregate cause of action that is constitutional and that statistical evidence could be relevant in such a proceeding. The position of the manufacturers is however that in an aggregate action in which a Province is the plaintiff, it undermines the judicial process to have the enabling statute block probative evidence in any way that undercuts the fundamental fairness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manufacturers contend that the rules have been written to interfere with the Court's ability to find the facts and to influence the outcome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manufacturers' position is that the operation and effect of the Act must be assessed from the stand point of an informed, reasonable and objective observer. The question is whether in the eyes of such person the independence of the Court and its ability to determine the case independently and impartially has been compromised either in appearance or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manufacturers deny that access to individual records of persons is an attempt to drive an aggregate action back to an accumulation of individual ones. They acknowledge an ability of the Legislature to create an aggregate action, focused upon a target population and make acceptable the use of statistical and epidemiological evidence. Evidentiary matters, such as no need for individual causation, would be reasonably ancillary.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operation of the 2000 Act in many respects mirrors the 1997 Act with the wording of some sections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Act creates a direct and distinct action against manufacturers for the recovery of health care benefit payments caused or contributed to by a tobacco related wrong. It is not a subrogated action. [Section 2(1) and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manufacturers owed no duty to the Province, however the Act permits the Province, a third party, to recover the cost of the health care benefits it paid on behalf of individuals for the breach of duties owed to them by the defendants. [Section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Act allows recovery on either an individual or aggregate basis. [Section 2(4)(a) and (b)]. The aggregate action concerns health care benefits within the population of insured persons. In an aggregate action, the Court determines to what extent tobacco exposure causes or contributes to disease in the insured population, to what extent the conduct of the defendants and their alleged breaches of duty caused or contributed to exposure in the population, and the aggregate cost of the health care benefits for treatment of the disease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Act contains certain procedural and evidentiary rules that appear reasonably ancillary to the nature of an aggregate action and are therefore not the focus of the challenge in these proceedings. The Act provides that it is not necessary to prove causation of tobacco related disease on an individual basis, or the cost of health care benefits of any particular person. Statistical evidence is admissible to establish causation and to quantify health care benefits in respect of a tobacco related wrong. [Section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Section 2 of the Act provides a limited right to discover certain classes of documents with information relevant to the aggregate proceeding. The limitations are that the documents are discoverable in accordance with a rule of law practice or procedure requiring production of documents by an expert witness [Section 2(5)(b)]; and that the Court may order a meaningful sample of the documents subject to certain expressed conditions [Section 2(5)(d)].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Act prohibits the disclosure of personal identities and identifiers of any individual insured person. [Section 2(5)(b) and (e)] Additionally Section 2(5)(c) provides that no one is compellable to answer questions with respect to the health of, or the provision of health care benefits for, any particular insured person. These restrictions, termed "blocking provisions" by the manufacturers curtail the ability to obtain information otherwise accessible under discovery provisions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Act also contains presumptions that the manufacturers contend operate in tandem with the blocking provisions. A tobacco related wrong is defined in Section 1 as "a breach of a common law, equitable or statutory duty or obligation owed by a manufacturer to persons in British Columbia who have been exposed or might become exposed to a tobacco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Section 3 of the Act requires the Province, as plaintiff in an aggregate action, prove on the balance of probabilities that:</w:t>
      </w:r>
      <w:r>
        <w:rPr>
          <w:rFonts w:ascii="arial" w:eastAsia="arial" w:hAnsi="arial" w:cs="arial"/>
          <w:sz w:val="20"/>
          <w:lang w:val="en-US" w:eastAsia="en-US" w:bidi="ar-SA"/>
        </w:rPr>
        <w:cr/>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a common law, equitable or statutory duty or obligation owed to persons in British Columbia who have been exposed or might become exposed to the type of tobacco product;</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exposure to the type of tobacco product can cause or contribute to disease; and</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all or part of the period of the breach referred to in paragraph (a), the type of tobacco product, manufactured or promoted by the Defendant, was offered for sale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Upon the required proof being met, the Act provides that the population of insured persons exposed to the type of tobacco product manufactured or promoted by the defendant, would not have been exposed to the product but for the breach. [Section 3(2)(a)]. The manufacturers argue the presumption is an interference with judicial independence because it restricts the Court's ability to receive evidence in rebuttal of the presumption.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manufacturers, while agreeing the Act permits that statistical evidence may be admitted in respect of several factual issues, makes clear that statistical evidence, no less than non-statistical evidence, must be accurate, reliable and reasonably complete so as to allow for its validity to be tested. It is the contention here that the rules under the Act for admitting, testing and determining the content of the statistical evidence permit manipulation for the benefit of only one party, the Province, in a manner that compromises the independence and impartiality of the trier of fact to the eyes of an informed, objective and reasonable observer.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the position of the manufacturers that the filing of the Marais report shows that data at the level of the individual insured person within the samples used for statistical analysis is required to test the validity of the analysis, and generally the data for such testing cannot be assembled absent personal identifiers.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Marais' opinion is that it may be possible to draw conclusions about a population by use of statistics if the analysis is well constructed. One means of determining whether the analysis is well constructed is to draw a sample from the population and test that sample for reliability and accuracy. A reliable statistical analysis concerning issues in the government action would require information about the attributes of the individual insured persons within the sample. In Dr. Marais' view, that personal information cannot be assembled without access to the identities of individual persons comprising the sample.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Marais concludes that "absent such access the reliability of statistical projection of the aggregate effect of tobacco exposure on health care costs cannot be tested and there can be no assurance that it is reasonably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Marais explains in footnote 4 of his report the effect of the epidemiological phenomenon known as "confounding". That is the problem that occurs when one attempts to measure the contribution of one factor and it becomes necessary to collect data which might also be a contributing factor. It becomes an object of a well constructed statistical analysis to control for confounding by separating factors extraneous to the subject of the study. Dr. Marais in paragraph 6 of his report concludes: "Thus, it is not possible to determine reliably the effect of the tobacco exposure per se without accounting for the effects of other risk factors correlated with tobacco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the position of the manufacturers that knowledge of individual identities is demonstrably necessary for assembling a data base that is sufficiently complete to test the reliability of an appropriate statistical model in this action. Shielding individual identifiers is not necessary to prevent the action reverting to individualized ones, however identification information is necessary and has direct statistical relevance to the proper testing for reliability of the statistical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Marais opines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of other important determinants of health outcomes including members' history of diet and exercise is also likely incomplete or nonexistent in such databases maintained for routine administrative purposes. Indeed these factors are likely not to be covered in a comprehensive and systematic fashion in the notes and files of the medical offices that provided services to insured persons, even supposing that such records could be consolidated and linked to administrative records using the "Identifiers" in column group [A].14.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Attorney General's position remains essentially two fold. First, it is common ground that aggregate actions are not unconstitutional and that statistical evidence may have relevance to the issues. The ultimate significance of statistical analysis and its relationship to other forms of evidence in an action is a matter for trial. Secondly, the impugned blocking provisions of the Act do not impair a core adjudicative function of the Court inherent to judicial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focus of the manufacturers argument centers on the blocking provisions of Section 2(5)(b) to (e) of the Act. They existed in the prior 1997 Act and the manufacturers arguments were considered and rejected in the JTI decision. The manufacturers seek reconsideration in this proceeding relying upon the Marais report as being the evidentiary base the Court found previously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Attorney General submits that the report fails to meet the standard of "clear and unmistakeable" proof that evidence of individual attributes from insured persons is necessary. [Canadian Industrial Gas and Oil Ltd. v. Government of Saskatchewan, </w:t>
      </w:r>
      <w:hyperlink r:id="rId476" w:history="1">
        <w:r>
          <w:rPr>
            <w:rFonts w:ascii="arial" w:eastAsia="arial" w:hAnsi="arial" w:cs="arial"/>
            <w:i/>
            <w:color w:val="0077CC"/>
            <w:sz w:val="20"/>
            <w:u w:val="single"/>
            <w:shd w:val="clear" w:color="auto" w:fill="FFFFFF"/>
            <w:lang w:val="en-US" w:eastAsia="en-US" w:bidi="ar-SA"/>
          </w:rPr>
          <w:t>[1978] 2 S.C.R. 545</w:t>
        </w:r>
      </w:hyperlink>
      <w:r>
        <w:rPr>
          <w:rFonts w:ascii="arial" w:eastAsia="arial" w:hAnsi="arial" w:cs="arial"/>
          <w:color w:val="000000"/>
          <w:sz w:val="20"/>
          <w:lang w:val="en-US" w:eastAsia="en-US" w:bidi="ar-SA"/>
        </w:rPr>
        <w:t xml:space="preserve"> at 573-4].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Attorney General submits that the Marais report does not address the use of statistical evidence in regard to what has been termed "the first presumption -- why an insured started, continued, stopped or tried to stop smoking". Paragraphs 3 and 4 of his report indicate he is dealing with the issue following upon a breach of duty for the part of health care costs caused by smoking and he is not addressing what portion of those costs were caused by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accept the general thrust of the Attorney General's argument that Dr. Marais is throughout his report really speculating as to what the evidence of the government at trial will be. The foundation of Dr. Marais' knowledge of the matters before the Court are reported to consist only of the 1997 Act, the 2000 Act and the decision in JTI.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no evidence Dr. Marais has knowledge as to the nature or quality of the data contained in the health care records at issue (Section 5(b)). There is no evidence of ancillary or collateral records or data banks that may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unknown whether available records or data bank information can be linked, and whether in sum the information presented is sufficient to assess the reliability of evidence presented by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unknown whether some of the information Dr. Marais suggests might be missing can be accounted for from the manufacturers own records or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Marais has no knowledge of whether the government has constructed a data base with sample surveys of individuals, linked to pre-existing records or pre-existing data, and how it compares to his suggested ideal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am of the view that the Court must have knowledge of the health care records actually in issue, and that the evidence of the government be generally known before a decision is made in regard to expert evidence as to their worth and reliability to the adjudicator of fact. In somewhat simplistic fashion, you cannot make a decision on what may be required until it is known what you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Court is being asked to speculate as to the type of evidence, statistical or otherwise, that will be adduced in another action. The Court is then asked to weigh that evidence now and make a determination on the incomplete state of present knowledge that the evidence to be led will be arbitrary, fictional and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Court is being asked to accept as fact the evidence that will be adduced by the government will be incomplete and unreliable, particularly in relation to confounding by other health risk factors as suggested by Dr. Marais. I accept that is not presently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Section 2(5)(b) of the Act reads:</w:t>
      </w:r>
      <w:r>
        <w:rPr>
          <w:rFonts w:ascii="arial" w:eastAsia="arial" w:hAnsi="arial" w:cs="arial"/>
          <w:sz w:val="20"/>
          <w:lang w:val="en-US" w:eastAsia="en-US" w:bidi="ar-SA"/>
        </w:rPr>
        <w:cr/>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government seeks in an action under subsection (1) to recover the cost of health care benefits on an aggregate basis,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health care records and documents of particular individual insured persons or the documents relating to the provision of health care benefits for particular individual insured persons are not compellable except as provided under a rule of law, practice or procedure that requires the production of documents relied on by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exception is of import. Dr. Marais' report focuses entirely upon statistical evidence. Statistical evidence in proof of the government's case will necessarily involve the use of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event the government relies upon statistical evidence in proof of the amount of its claim, there is no evidence that the documents relied upon by the experts will be bereft of the data reasonably required to test the validity of the opinions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Importantly, section 2(5)(b) does not require the removal of personal identifiers from the health care records or other documents that the expert relies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Production of expert reports and issues relating to them are matters that generally come under trial case management. Issues that arise can be dealt with in timely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Section 2(5)(d) provides for an application by the defendants. There is no present ability to know if an application will be made, or if made, would succeed. If a sample was permitted the appropriate size cannot now be foretold. The Court has a broad discretion as to what information will be disclosed and is restricted only as to personal identifiers.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Shorn of personal identifiers, the information disclosed by the Court from the records might still be an answer to what is sought. The disclosure can be ordered with a unique identifier so that full linkage may occur to other records without disclosure of personal identifiers.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would seem inherent in this action that even without the effect of Section 2(5)(e) it is highly unlikely that there will be much scope for obtaining direct personal information. The recovery claim apparently goes back nearly fifty years. The nature of illnesses involved and the long time span suggests many will be deceased and others now untraceable.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are of course also free to develop their own evidence by survey, and to obtain access to records by obtaining consent or waivers from individuals. Existing statistical studies and epidemiological evidence may be available to the defendants to challenge or cast doubt upon the government's evidence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Court must weigh all evidence and should the evidence of the Province fail to persuade the reliability of its statistical models, that failure will be visited upon it in its attempted cost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not possible to predict whether suggested alternate sources of data or investigation will provide an answer to information the defendants might seek from an insured individual which will be barred by the blocking provisions that prohibit disclosure of personal identifiers. The issue of whether a core jurisdiction of the Court has been compromised must however await consideration of evidence that is disclosed, or is otherwise reasonably available, in the trial action. In that trial context there may well be more than the type of evidence contemplated and dealt with by Dr. Marais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Marais' report does not address whether statistical evidence can be used to determine the issue raised by the first presumption as to why insured persons started, continued, quit or tried to quit, smoking. There is no evidence of the statistical analysis that would be performed and what information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manufacturers argue that the presumption is an irrational one. That was previously argued in the JTI action and my view to the contrary remains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sample used by Dr. Marais for purposes of determining health care costs attributable to smoking contains both smokers and non-smokers, however a sample dealing with the first presumption issue would presumably contain only smokers. It would seem that populations used to sample smokers might vary and need not be drawn only from the insured group. There is also no indication in any event that information useful to that issue would be found in health care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do not accept the manufacturers view that the intent of the blocking provisions is to keep from them relevant and necessary information to their defence, and to unfairly increase the government's prospect of success. I prefer the view that the reason for the blocking provisions is the public interest in protection of confidentiality of sensitive personal information and respect of an individual's privacy. That purpose must be a matter of concern and weigh in the balancing of interests. The Attorney General notes examples of other statutory protection of privacy rights are present in the Evidence Act,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xml:space="preserve"> regarding information developed by a hospital inquiry committee [s. 51], and the Statistics Act, </w:t>
      </w:r>
      <w:r>
        <w:rPr>
          <w:rFonts w:ascii="arial" w:eastAsia="arial" w:hAnsi="arial" w:cs="arial"/>
          <w:i/>
          <w:color w:val="000000"/>
          <w:sz w:val="20"/>
          <w:lang w:val="en-US" w:eastAsia="en-US" w:bidi="ar-SA"/>
        </w:rPr>
        <w:t>R.S.B.C. 1996 c. 439</w:t>
      </w:r>
      <w:r>
        <w:rPr>
          <w:rFonts w:ascii="arial" w:eastAsia="arial" w:hAnsi="arial" w:cs="arial"/>
          <w:color w:val="000000"/>
          <w:sz w:val="20"/>
          <w:lang w:val="en-US" w:eastAsia="en-US" w:bidi="ar-SA"/>
        </w:rPr>
        <w:t xml:space="preserve"> with respect to probability of disclosure of identifiable individual information [ss. 9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common law has also evolved to afford greater concern to individual privacy rights in the context of civil litigation. The issue in similar context to that presented here has been the subject in several cases in the United States in which judicial crafting occurred to provide maximum protection of individual confidentiality and privacy but to also provide where required, a method of limited access to persons or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York v. American Medical Systems, 1998 U.S. App. LEXIS 30105, records were ordered produced, but only in a redacted form to protect the identity of physicians and patients. In Wolpin v. Phillip Morris, 189 F.R.D. 418 (C.D. Cal. 1999), raw data of a study on smoking was ordered disclosed in the interest of checking accuracy and completeness, however personal information was ordered redacted. In Terre Haute-Regional Hospital, 600 N.E.2d 1358 (Ind. S.C. 1992), it was held that it did not violate physician-patient privilege in a malpractice case against a hospital for medical records of non-party patients to be disclosed with personal identifiers redacted.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Florida litigation involving the Agency for Health Care Administration case [678 So.2d 1239 (Fla. 1996)], Justice Overton held that provisions of the Medicaid Third Party Liability Act were unconstitutional under the State's due process jurisdiction. The trial court then ordered disclosure of the identity of every individual Medicaid recipient for whom damages were claimed. The plaintiffs complied by assigning each Medicaid patient a unique number as an identifier. On challenge it was held that was sufficient compliance with the disclosure order. A subsequent order of the Court however allowed 25 of the recipients to be deposed.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Attorney General notes the extraordinary lengths the Court went to in protecting individual identities, and the extremely limited direct contact that in the end was permitted. There is no indication of the information the manufacturers sought by deposition and therefore whether it would be information caught under Section 2(5)(c) of the 2000 Act in present context. Depositions were allowed of only 25 of what appears was a huge number of Florida Medicaid recipients for whom recovery was sought. The matter was dealt with in discovery process during the course of litigation and not in a separate constitutional-type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Examples from the Medicaid litigation in Minnesota and Mississippi show the ingenuity of Court and counsel used in protection of individual privacy and confidentiality yet responding to a need for balance in provision of information and a check upon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Some portions of a population may be canvassed through the Court, or a third party, to see if they will waive access rights to their records or to provide information voluntarily. Parties have also been ordered to consult and collaborate on plans to provide access to individual information but maintain the greatest degree of confidentiality and privacy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view if any blocking provision was found unconstitutional as interfering with the adjudicative functions and offending judicial independence of the fact adjudicator in the trial process, severance of the offending blocking provision would be a likely remedy rather than the Act itself being set aside or the plaintiff's action dismissed. Any void that then occurred could be cured by common law remedies and by devising reasonable methods that would balance the competing interests just as has occurred in the United States when such issues were confronted.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conclude the issue of judicial independence raised here is premature and ought not to be decided in this action. The matter ought to be dealt with in the discovery and evidentiary process of the trial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My conclusion in JTI remains that an objective test as suggested by the review of Le Dain J. in R. v. Valente (No. 2), </w:t>
      </w:r>
      <w:hyperlink r:id="rId477" w:history="1">
        <w:r>
          <w:rPr>
            <w:rFonts w:ascii="arial" w:eastAsia="arial" w:hAnsi="arial" w:cs="arial"/>
            <w:i/>
            <w:color w:val="0077CC"/>
            <w:sz w:val="20"/>
            <w:u w:val="single"/>
            <w:shd w:val="clear" w:color="auto" w:fill="FFFFFF"/>
            <w:lang w:val="en-US" w:eastAsia="en-US" w:bidi="ar-SA"/>
          </w:rPr>
          <w:t>[1985] 2 S.C.R. 673</w:t>
        </w:r>
      </w:hyperlink>
      <w:r>
        <w:rPr>
          <w:rFonts w:ascii="arial" w:eastAsia="arial" w:hAnsi="arial" w:cs="arial"/>
          <w:color w:val="000000"/>
          <w:sz w:val="20"/>
          <w:lang w:val="en-US" w:eastAsia="en-US" w:bidi="ar-SA"/>
        </w:rPr>
        <w:t>, at this time does not permit a finding or a reasonably founded perception that the independence of a trier of fact has been interfered with. That of course is in part because a reasonable person viewing the matter, just like the Court, has yet to know of the evidence to be presented, the nature and availability of further evidence, or the nature and need for information sought and said to be blocked.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therefore do not find the impugned sections of the Act to be unconstitutional on grounds of judicial independence by interference in the Courts fact finding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Retroactivity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Act explicitly allows for the recovery of past health care costs paid by the government prior to the Statute coming into force. Section 10 of the Act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brought into force under section 12, a provision of this Act has the retroactive effect necessary to give the provision full effect for all purposes including allowing an action to be brought under section 2(1) arising from a tobacco related wrong, whenever the tobacco related wrong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manufacturers' position is that this provision renders the Act unconstitutional as it violates a long standing principle of the rule of law, that the law must be knowable. The manufacturers submit that this constitutional violation is so egregious that it cannot be justified under the measure of any test found in Canadian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kind or class of retroactivity in issue where the past law is changed and a liability unknown in the past is imposed, is characterized by the manufacturers as the "worst kind" of retroactivity. It constitutes a violation of the right of every person to be able to know and be guided by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manufacturers argue that this class of retroactivity is an obvious violation of constitutional principles that cannot be justified. As such, the Act should be struck down and the government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This argument although under the aegis of the rule of law differs from the rule of law based argument advanced by the manufacturers in the prior JTI action in respect of the 1997 Act which centered upon the penal aspect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preamble of the Constitution sets out the supremacy of the rule of law in Canada. It is one of the primary tenants of the Canadian legal system and one entitled to serious scrutiny and concern where violations are alleged. The Supreme Court of Canada in Reference re: Manitoba Language Rights, </w:t>
      </w:r>
      <w:hyperlink r:id="rId478" w:history="1">
        <w:r>
          <w:rPr>
            <w:rFonts w:ascii="arial" w:eastAsia="arial" w:hAnsi="arial" w:cs="arial"/>
            <w:i/>
            <w:color w:val="0077CC"/>
            <w:sz w:val="20"/>
            <w:u w:val="single"/>
            <w:shd w:val="clear" w:color="auto" w:fill="FFFFFF"/>
            <w:lang w:val="en-US" w:eastAsia="en-US" w:bidi="ar-SA"/>
          </w:rPr>
          <w:t>[1985] 1 S.C.R. 721</w:t>
        </w:r>
      </w:hyperlink>
      <w:r>
        <w:rPr>
          <w:rFonts w:ascii="arial" w:eastAsia="arial" w:hAnsi="arial" w:cs="arial"/>
          <w:color w:val="000000"/>
          <w:sz w:val="20"/>
          <w:lang w:val="en-US" w:eastAsia="en-US" w:bidi="ar-SA"/>
        </w:rPr>
        <w:t xml:space="preserve"> at 748-751 confirmed the role of the rule of law as a fundamental principle of the Constitution.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founders of this nation must have intended, as one of the basic principles of nation building, that Canada be a society of legal order and normative structure; one governed by the rule of law. While this is not set out in a specific provision, the principle of the rule of law is clearly a principle of our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Court also affirmed its earlier statement in the Patriation Reference </w:t>
      </w:r>
      <w:hyperlink r:id="rId479" w:history="1">
        <w:r>
          <w:rPr>
            <w:rFonts w:ascii="arial" w:eastAsia="arial" w:hAnsi="arial" w:cs="arial"/>
            <w:i/>
            <w:color w:val="0077CC"/>
            <w:sz w:val="20"/>
            <w:u w:val="single"/>
            <w:shd w:val="clear" w:color="auto" w:fill="FFFFFF"/>
            <w:lang w:val="en-US" w:eastAsia="en-US" w:bidi="ar-SA"/>
          </w:rPr>
          <w:t>[1981] 1 S.C.R. 753</w:t>
        </w:r>
      </w:hyperlink>
      <w:r>
        <w:rPr>
          <w:rFonts w:ascii="arial" w:eastAsia="arial" w:hAnsi="arial" w:cs="arial"/>
          <w:color w:val="000000"/>
          <w:sz w:val="20"/>
          <w:lang w:val="en-US" w:eastAsia="en-US" w:bidi="ar-SA"/>
        </w:rPr>
        <w:t xml:space="preserve"> at pp. 805-06, that the rule of law conveys a "...sense of orderliness, of subjection to known legal rules and of executive accountability to legal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Canadian Council of Churches v. Canada (M.E.I.), </w:t>
      </w:r>
      <w:r>
        <w:rPr>
          <w:rFonts w:ascii="arial" w:eastAsia="arial" w:hAnsi="arial" w:cs="arial"/>
          <w:i/>
          <w:color w:val="000000"/>
          <w:sz w:val="20"/>
          <w:lang w:val="en-US" w:eastAsia="en-US" w:bidi="ar-SA"/>
        </w:rPr>
        <w:t>[1992] 1 S.C.R. 236</w:t>
      </w:r>
      <w:r>
        <w:rPr>
          <w:rFonts w:ascii="arial" w:eastAsia="arial" w:hAnsi="arial" w:cs="arial"/>
          <w:color w:val="000000"/>
          <w:sz w:val="20"/>
          <w:lang w:val="en-US" w:eastAsia="en-US" w:bidi="ar-SA"/>
        </w:rPr>
        <w:t xml:space="preserve"> at 250, Mr. Justice Cory recognized the rule of law "...as a corner stone of the democratic form of government" that "...guarantees the rights of citizens to protection against arbitrary and unconstitutional government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manufacturers argue that there can be no clearer example of an arbitrary government action than the institution of a retroactive law such as that found in the Act. Driedger on the Construction of Statutes (3d ed.) at 513, provides a concise definition of retroactivity: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retroactive statute or provision is one that applies to facts that were already past when the legislation came into force. It changes the law applicable to past conduct or events; in effect, it deems the law to have been different from what it actually was. This is the standard definition of retroactivity in current Canadian law, as explained in the leading case on the temporal application of legislation, Gustavson Drilling (1964) Ltd. v. M.N.R., </w:t>
      </w:r>
      <w:hyperlink r:id="rId480" w:history="1">
        <w:r>
          <w:rPr>
            <w:rFonts w:ascii="arial" w:eastAsia="arial" w:hAnsi="arial" w:cs="arial"/>
            <w:i/>
            <w:color w:val="0077CC"/>
            <w:sz w:val="20"/>
            <w:u w:val="single"/>
            <w:shd w:val="clear" w:color="auto" w:fill="FFFFFF"/>
            <w:lang w:val="en-US" w:eastAsia="en-US" w:bidi="ar-SA"/>
          </w:rPr>
          <w:t>[1977] 1 S.C.R. 271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manufacturers submit that prior to this Act coming into force there was no known law which would provide a basis for the government's present claim against the tobacco manufacturers on the facts alleged in the Statement of Claim. It is alleged that the manufacturers committed such grievous wrongs in the Province, when and where no such wrongs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manufacturers submit that several implications result. Primarily they urge that this type of retroactivity undermines the stability and reliability of the law. Penalties are created for conduct which was considered legal, or at least not illegal, in the past whence it was executed. Therefore, the Act violates the individual's unwritten constitutional right to know and be guided by the law. Further, it interferes with the principle of stare decisis and prevents "access to the law" in the most fundamental manner of the citizen being able to know the law. The result, the manufacturers submit, is an attack on the integrity of the legal system itself, whereby "law is made not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acceptance of the rule of law as a constitutional principle requires that a citizen, before committing himself to any course of action, should be able to know in advance the legal consequences that will flow from it. [Lord Diplock, Black-Clawson International Ltd. v. Papierwerke Waldhof-Aschaffenburg A.G. (H.L. (E)) [1975] A.C. 591 at 638].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manufacturers' argument largely parallels the comments in Dreidger at p. 513 et seq.</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a retroactive law applies to past events, its practical effect is to change the law that was applicable to those events at the time they occurred. To change the law governing a matter after it has already passed violates the rule of law. In fact, it makes compliance with the law impossible. As Raz points out, the fundamental tenet on which the rule of law is built is that in order to comply with the law, or rely on it in a useful way, the subjects of the law have to know in advance what it is. By definition, a retroactive law is unknowable until it is too late.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matter how reasonable or benevolent retroactive legislation may be, it is inherently arbitrary for those who could not know its content when acting or making their plans. And when retroactive legislation results in a loss or disadvantage for those who relied on the previous law, it is not only arbitrary but also unfair. Even for persons who are not directly affected, the stability and security of law are diminished by the frequent or unwarranted enactment of retroactive legislation.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retroactive legislation is undesirable because it is arbitrary and because it tends to be unfair. It upsets plans and undermines expectations and it may impose penalties or other disadvantages without fair warning. It is helpful to have these reasons for disliking retroactivity in mind when considering whether a particular application of legislation should be condemned as retroactive.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manufacturers argue that section 10 of the Act violates the constitutional rights of persons in British Columbia or legal persons doing business therein directly for the reasons enunciated in Driedger.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Madam Justice McLachlin (as she then was) in RJR-MacDonald Inc. v. Canada (Attorney General), </w:t>
      </w:r>
      <w:hyperlink r:id="rId481" w:history="1">
        <w:r>
          <w:rPr>
            <w:rFonts w:ascii="arial" w:eastAsia="arial" w:hAnsi="arial" w:cs="arial"/>
            <w:i/>
            <w:color w:val="0077CC"/>
            <w:sz w:val="20"/>
            <w:u w:val="single"/>
            <w:shd w:val="clear" w:color="auto" w:fill="FFFFFF"/>
            <w:lang w:val="en-US" w:eastAsia="en-US" w:bidi="ar-SA"/>
          </w:rPr>
          <w:t>[1995] 3 S.C.R. 199</w:t>
        </w:r>
      </w:hyperlink>
      <w:r>
        <w:rPr>
          <w:rFonts w:ascii="arial" w:eastAsia="arial" w:hAnsi="arial" w:cs="arial"/>
          <w:color w:val="000000"/>
          <w:sz w:val="20"/>
          <w:lang w:val="en-US" w:eastAsia="en-US" w:bidi="ar-SA"/>
        </w:rPr>
        <w:t xml:space="preserve"> at p. 329, explained how an Act which violates a constitutional principle such as the rule of law is to be narrowly justified.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bottom line is this. While remaining sensitive to the social and political context of the impugned law and allowing for difficulties of proof inherent in that context, the courts must nevertheless insist that before the state can override constitutional rights, there be a reasoned demonstration of the good which the law may achieve in relation to the seriousness of the infringement. It is the task of the courts to maintain this bottom line if the rights conferred by our constitution are to have force and meaning. The task is not easily discharged, and may require the courts to confront the tide of popular public opinion. But that has always been the price of maintaining constitutional rights. No matter how important Parliament's goal may seem, if the state has not demonstrated that the means by which it seeks to achieve its goal are reasonable and proportionate to the infringement of rights, then the law must perforce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manufacturers submit that the retroactivity at hand is so heinous and polar to the principles of a free and democratic society that it cannot possibly be justified. They argue that it is unfair and arbitrary, not rationally connected to any legitimate prospective objective and that it not only impairs the constitutional rights of persons to be able to know and rely on the law, it in effect destroys such rights altogether for an unlimited time into the past. The manufacturers submit that as the Act is not proportionate to the infringement of the manufacturers' rights, it cannot be justified, and it must be struck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Attorney General countered with the submission that neither the Act nor retroactive legislation in general is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Attorney General grounds his submission on the fact that there is only one specific constitutional exclusion for retroactive legislation, and that is found in section 11(g) of the Charter. Professor Hogg in Constitutional Law of Canada (4th ed.)(Toronto: Carswell, 1997) at 382, succinctly summarizes: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Apart from section 11(g), Canadian constitutional law contains no prohibition of retroactive (or ex post facto)laws. There is a presumption of statutory interpretation that a statute should not be given retroactive effect, but, if the retroactive effect is clearly expressed, then there is no room for interpretation and the statute is effective according to its terms. Retroactive statutes are in fact common. For example, a taxation law is often made retroactive to budget night, when the law was publicly proposed; otherwise there would often be room for avoidance action by taxpayers during the hiatus between the budget and the enactment of the law ... The power to enact retroactive laws, if exercised with appropriate restraint, is a proper tool of modern government. Section 11(g) diminishes this power only by excluding the creation of retroactive criminal offences. Other kinds of laws may still be made retroactive.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Attorney General argues that both Parliament and the Courts have the authority and ability to impose civil and especially compensatory liability retroactively and that there has been no fundamental shift in the law to suggest otherwise. A decision from the United States with some factual similarity to the case at bar was cited by the Attorney General for the clarity of its explanatory reasoning. In Usery v. Turner Elkhorn Mining Co. 428 U.S. 1 (1976), Marshall J. addressed retroactive liability for instances of black lung disease resulting from mining operations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be sure, insofar as the Act requires compensation for disabilities bred during employment terminated before the date of enactment, the Act has some retrospective effect - although, as we have noted, the Act imposes no liability on operators until 1974, and it may be that the liability imposed by the Act for disabilities suffered by former employees was not anticipated at the time of actual employment. But our cases are clear that legislation readjusting rights and burdens is not unlawful solely because it upsets otherwise settled expectations... This is true even though the effect of the legislation is to impose a new duty or liability based on past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Attorney General submits that it is just and reasonable to apportion the social and financial costs of smoking to those responsible as was done in the black lung cases. It is alleged that in both instances, the damage done could have been avoided with proper exposure of the truth, however this did not occur and as such, responsibility can and must ensue. The Attorney General notes that the legislation must only be explicit in its retroactivity to be given effect, and as can be seen by section 10 of the Act, the Legislature is clear in its intent to be retroactive.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Attorney General takes issue with the manufacturers' claim that the wrongs alleged, to which liability is now attached, were not wrongs in the past. The Attorney General submits that all of the wrongs alleged in the Statement of Claim were clearly actionable at the time they were committed and that the Act does not alter or create new wrongs. The Act permits the new form of aggregate action and alters the limitation periods to suit the nature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Attorney General also referenced the U.S. decision of Marootian et al. v. New York Life Insurance Company 2001 U.S. Dist. LEXIS 22274 (C.Dist.Cal.), a constitutional property case, in support and noted the Court's comments at 45 wherein it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...NYLIC cannot be said to have a reasonable expectation that a particular statute of limitations would apply to claims arising under the policies in question, since a legislature may always choose to change a statute of limitations, even in such a way as to revive an action which was previously barred. See Plaut v. Spendthrift Farm, Inc. 514 U.S. 211, 229... (statutes of limitation can be extended even after an action arose and after the preexisting statute of limitations has expired, as long as the claims at issue have not already been litigated to final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Attorney General's position is that the manufacturers were never denied access to the law or the courts, nor does the Act infringe upon an individual's ability to access the law. The importance of these issues was canvassed in John Carten Personal Law Corp. v. British Columbia (Attorney General) </w:t>
      </w:r>
      <w:hyperlink r:id="rId482" w:history="1">
        <w:r>
          <w:rPr>
            <w:rFonts w:ascii="arial" w:eastAsia="arial" w:hAnsi="arial" w:cs="arial"/>
            <w:i/>
            <w:color w:val="0077CC"/>
            <w:sz w:val="20"/>
            <w:u w:val="single"/>
            <w:shd w:val="clear" w:color="auto" w:fill="FFFFFF"/>
            <w:lang w:val="en-US" w:eastAsia="en-US" w:bidi="ar-SA"/>
          </w:rPr>
          <w:t>(1997), 40 B.C.L.R. (3d) 181</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consider that everyone in Canada has a right to come to court and seek the help of the court in obtaining a resolution of the legal issues that have given rise to that person's problem. Everyone in Canada has a right to seek the protection of the court from any perceived oppression by the state.... [Paragraph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many reasons why the cost of legal services, or a lack of funds, may restrict, hamper, or even prevent a person from exercising rights of access to the courts or rights of access to other legal services. What would be required in order to find this Act wholly unconstitutional or even unconstitutional in its application in a particular case, would be proof that people, or a class of people, in general, or some person in particular, who would have been able to exercise the legal rights in question if this tax were not in effect, were or was prevented by this tax from exercising those rights. It would not be sufficient to found an argument that the Act was unconstitutional in concept or in application merely to show that the tax operated as an impediment or a discouragement to the exercise of a protected right. What would be required would be proof that the right was denied, or its exercise was prevented, by the existence or operation of this tax. In other words, that a right which would have been exercised but for this tax could not be exercised because of this tax. [Paragraph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Attorney General emphasizes that the manufacturers have always had the ability to know the law in respect of now impugned conduct and to seek advice on their liability at relevant times in the past and of their risk of exposure to actions in the future. The manufacturers have also not been denied access to the law or the courts as this and the previous constitutional actions taken in respect of this Act and its predecessor demonstrate.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Attorney General submits that the manufacturers continue to use the rule of law as an improper means to attack the 2000 Act as they did the 1997 Act, despite contrary authority that is present. This Court in JTI and other Courts in decisions subsequent have held that the rule of law cannot be used as an independent basis upon which to attack legislation. The Attorney General notes this Court's comment at paragraph 150 of the JTI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also accept the reasoning and the result in Singh v. Canada (Attorney General), </w:t>
      </w:r>
      <w:hyperlink r:id="rId483" w:history="1">
        <w:r>
          <w:rPr>
            <w:rFonts w:ascii="arial" w:eastAsia="arial" w:hAnsi="arial" w:cs="arial"/>
            <w:i/>
            <w:color w:val="0077CC"/>
            <w:sz w:val="20"/>
            <w:u w:val="single"/>
            <w:shd w:val="clear" w:color="auto" w:fill="FFFFFF"/>
            <w:lang w:val="en-US" w:eastAsia="en-US" w:bidi="ar-SA"/>
          </w:rPr>
          <w:t>[1999] F.C.J. No. 1056</w:t>
        </w:r>
      </w:hyperlink>
      <w:r>
        <w:rPr>
          <w:rFonts w:ascii="arial" w:eastAsia="arial" w:hAnsi="arial" w:cs="arial"/>
          <w:color w:val="000000"/>
          <w:sz w:val="20"/>
          <w:lang w:val="en-US" w:eastAsia="en-US" w:bidi="ar-SA"/>
        </w:rPr>
        <w:t xml:space="preserve"> and Bacon v. Saskatchewan Crop Insurance Corporation, </w:t>
      </w:r>
      <w:hyperlink r:id="rId484" w:history="1">
        <w:r>
          <w:rPr>
            <w:rFonts w:ascii="arial" w:eastAsia="arial" w:hAnsi="arial" w:cs="arial"/>
            <w:i/>
            <w:color w:val="0077CC"/>
            <w:sz w:val="20"/>
            <w:u w:val="single"/>
            <w:shd w:val="clear" w:color="auto" w:fill="FFFFFF"/>
            <w:lang w:val="en-US" w:eastAsia="en-US" w:bidi="ar-SA"/>
          </w:rPr>
          <w:t>[1999] S.J. No. 302</w:t>
        </w:r>
      </w:hyperlink>
      <w:r>
        <w:rPr>
          <w:rFonts w:ascii="arial" w:eastAsia="arial" w:hAnsi="arial" w:cs="arial"/>
          <w:color w:val="000000"/>
          <w:sz w:val="20"/>
          <w:lang w:val="en-US" w:eastAsia="en-US" w:bidi="ar-SA"/>
        </w:rPr>
        <w:t xml:space="preserve"> and by Edwards J. in Babcock et al. v. The Attorney General, </w:t>
      </w:r>
      <w:hyperlink r:id="rId485" w:history="1">
        <w:r>
          <w:rPr>
            <w:rFonts w:ascii="arial" w:eastAsia="arial" w:hAnsi="arial" w:cs="arial"/>
            <w:i/>
            <w:color w:val="0077CC"/>
            <w:sz w:val="20"/>
            <w:u w:val="single"/>
            <w:shd w:val="clear" w:color="auto" w:fill="FFFFFF"/>
            <w:lang w:val="en-US" w:eastAsia="en-US" w:bidi="ar-SA"/>
          </w:rPr>
          <w:t>[1999] B.C.J. No. 1777</w:t>
        </w:r>
      </w:hyperlink>
      <w:r>
        <w:rPr>
          <w:rFonts w:ascii="arial" w:eastAsia="arial" w:hAnsi="arial" w:cs="arial"/>
          <w:color w:val="000000"/>
          <w:sz w:val="20"/>
          <w:lang w:val="en-US" w:eastAsia="en-US" w:bidi="ar-SA"/>
        </w:rPr>
        <w:t xml:space="preserve"> , that in any event the rule of law of itself is not a basis for setting aside legislation as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further support the Attorney General cites the decision of the New Brunswick Court of Appeal in Charlebois v. Moncton (City) </w:t>
      </w:r>
      <w:hyperlink r:id="rId486" w:history="1">
        <w:r>
          <w:rPr>
            <w:rFonts w:ascii="arial" w:eastAsia="arial" w:hAnsi="arial" w:cs="arial"/>
            <w:i/>
            <w:color w:val="0077CC"/>
            <w:sz w:val="20"/>
            <w:u w:val="single"/>
            <w:shd w:val="clear" w:color="auto" w:fill="FFFFFF"/>
            <w:lang w:val="en-US" w:eastAsia="en-US" w:bidi="ar-SA"/>
          </w:rPr>
          <w:t>(2001), 25 M.P.L.R. (3d) 171</w:t>
        </w:r>
      </w:hyperlink>
      <w:r>
        <w:rPr>
          <w:rFonts w:ascii="arial" w:eastAsia="arial" w:hAnsi="arial" w:cs="arial"/>
          <w:color w:val="000000"/>
          <w:sz w:val="20"/>
          <w:lang w:val="en-US" w:eastAsia="en-US" w:bidi="ar-SA"/>
        </w:rPr>
        <w:t xml:space="preserve"> at [paragraph]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understand the effect of the statements made by the Supreme Court concerning the use of these principles, I think that the argument that this unwritten and underlying principle can also be used independently of any constitutional text, as a basis of an application for judicial review to strike down government action is not very convincing. I believe that the "powerful normative force" referred to by the Supreme Court concerns the interpretation of constitutional texts and not the creation of rights outside of the constitutional texts.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 similar view was expressed by Allan J. in Johnson v. British Columbia (Securities Commission) </w:t>
      </w:r>
      <w:hyperlink r:id="rId487" w:history="1">
        <w:r>
          <w:rPr>
            <w:rFonts w:ascii="arial" w:eastAsia="arial" w:hAnsi="arial" w:cs="arial"/>
            <w:i/>
            <w:color w:val="0077CC"/>
            <w:sz w:val="20"/>
            <w:u w:val="single"/>
            <w:shd w:val="clear" w:color="auto" w:fill="FFFFFF"/>
            <w:lang w:val="en-US" w:eastAsia="en-US" w:bidi="ar-SA"/>
          </w:rPr>
          <w:t>(1999), 67 B.C.L.R. (3d) 145</w:t>
        </w:r>
      </w:hyperlink>
      <w:r>
        <w:rPr>
          <w:rFonts w:ascii="arial" w:eastAsia="arial" w:hAnsi="arial" w:cs="arial"/>
          <w:color w:val="000000"/>
          <w:sz w:val="20"/>
          <w:lang w:val="en-US" w:eastAsia="en-US" w:bidi="ar-SA"/>
        </w:rPr>
        <w:t xml:space="preserve"> (S.C.), [paragraph] 25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principles enshrined in the preamble - the supremacy of God and the rule of law - inform the interpretation of the substantive sections of the Charter. They are not discrete justiciable principles intended by the drafters to be "rights" which, if breached, will permit a challenge to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Indeed, there can be some quite legitimate uses of retroactive legislation. As noted above by Professor Hogg, its use in taxation law is important and beneficial to both the government and the general public as a means of creating equity and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Equally important and beneficial however, is the stability and continuity of the law. These principles can be thwarted by retroactive legislation, which does in effect change the law of the past. Thus the Court must be on firm guard, as was intuited by McLachlin J. (as she then was) in RJR-MacDonald,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Part of the problem with the concept of retroactivity, one which was proffered by the manufacturers in this case, is the interference such legislation has with fair notice of the law to the citizen. Indeed, an individual cannot comply in the present with a law created in the future. Gonthier J., although directly speaking to the issue of vagueness, made several pertinent remarks regarding fair notice in R. v. Nova Scotia Pharmaceutical Society, </w:t>
      </w:r>
      <w:r>
        <w:rPr>
          <w:rFonts w:ascii="arial" w:eastAsia="arial" w:hAnsi="arial" w:cs="arial"/>
          <w:i/>
          <w:color w:val="000000"/>
          <w:sz w:val="20"/>
          <w:lang w:val="en-US" w:eastAsia="en-US" w:bidi="ar-SA"/>
        </w:rPr>
        <w:t>[1992] 2 S.C.R. 606</w:t>
      </w:r>
      <w:r>
        <w:rPr>
          <w:rFonts w:ascii="arial" w:eastAsia="arial" w:hAnsi="arial" w:cs="arial"/>
          <w:color w:val="000000"/>
          <w:sz w:val="20"/>
          <w:lang w:val="en-US" w:eastAsia="en-US" w:bidi="ar-SA"/>
        </w:rPr>
        <w:t xml:space="preserve"> at [paragraphs] 46-48. He used the example of the homicide provisions of the Criminal Code to effectively illustrate the point. The premise was that "... principles of fundamental justice ... must have a substantive as well as a procedural content." He found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substantive aspect of fair notice is therefore a subjective understanding that the law touches upon some conduct, based on the substratum of values underlying the legal enactment and on the role that the legal enactment plays in the life of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this analysis, Gonthier J. concluded at [paragraph] 62 that it could not be argued: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an enactment can and must provide enough guidance to predict the legal consequences of any given course of conduct in advance. All it can do is enunciate some boundaries, which create an area of risk. But it is inherent to our legal system that some conduct will fall along the boundaries of the area of risk; no definite prediction can then be made. Guidance, not direction, of conduct is a more realistic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These comments directly bear on the situation at hand. The manufacturers argue that their right to know the law has been violated by the retroactivity of the Act. While this is true with respect to the actual cause of action created by the Act, if one looks at the conduct therein that comprises the cause of action, such conduct has long been held as unacceptable in Canadian society. The allegations made in the Statement of Claim such as failure to warn, misrepresentation, conspiracy, deceit and product tampering clearly delineate the type of behaviour condemned within the cause of action, and these are actions which the manufacturers must have substantively known were not acceptable either in the present or in the past (See Canadian Indemnity Insurance Co. v. Andrews &amp; George Co., </w:t>
      </w:r>
      <w:hyperlink r:id="rId488" w:history="1">
        <w:r>
          <w:rPr>
            <w:rFonts w:ascii="arial" w:eastAsia="arial" w:hAnsi="arial" w:cs="arial"/>
            <w:i/>
            <w:color w:val="0077CC"/>
            <w:sz w:val="20"/>
            <w:u w:val="single"/>
            <w:shd w:val="clear" w:color="auto" w:fill="FFFFFF"/>
            <w:lang w:val="en-US" w:eastAsia="en-US" w:bidi="ar-SA"/>
          </w:rPr>
          <w:t>[1953] 1 S.C.R. 19</w:t>
        </w:r>
      </w:hyperlink>
      <w:r>
        <w:rPr>
          <w:rFonts w:ascii="arial" w:eastAsia="arial" w:hAnsi="arial" w:cs="arial"/>
          <w:color w:val="000000"/>
          <w:sz w:val="20"/>
          <w:lang w:val="en-US" w:eastAsia="en-US" w:bidi="ar-SA"/>
        </w:rPr>
        <w:t xml:space="preserve"> (S.C.C.), Lambert v. Lastoplex Chemicals Co., </w:t>
      </w:r>
      <w:hyperlink r:id="rId489" w:history="1">
        <w:r>
          <w:rPr>
            <w:rFonts w:ascii="arial" w:eastAsia="arial" w:hAnsi="arial" w:cs="arial"/>
            <w:i/>
            <w:color w:val="0077CC"/>
            <w:sz w:val="20"/>
            <w:u w:val="single"/>
            <w:shd w:val="clear" w:color="auto" w:fill="FFFFFF"/>
            <w:lang w:val="en-US" w:eastAsia="en-US" w:bidi="ar-SA"/>
          </w:rPr>
          <w:t>[1972] S.C.R. 569</w:t>
        </w:r>
      </w:hyperlink>
      <w:r>
        <w:rPr>
          <w:rFonts w:ascii="arial" w:eastAsia="arial" w:hAnsi="arial" w:cs="arial"/>
          <w:color w:val="000000"/>
          <w:sz w:val="20"/>
          <w:lang w:val="en-US" w:eastAsia="en-US" w:bidi="ar-SA"/>
        </w:rPr>
        <w:t xml:space="preserve"> (S.C.C.), and Varga v. John Labatt Limited et al., </w:t>
      </w:r>
      <w:hyperlink r:id="rId490" w:history="1">
        <w:r>
          <w:rPr>
            <w:rFonts w:ascii="arial" w:eastAsia="arial" w:hAnsi="arial" w:cs="arial"/>
            <w:i/>
            <w:color w:val="0077CC"/>
            <w:sz w:val="20"/>
            <w:u w:val="single"/>
            <w:shd w:val="clear" w:color="auto" w:fill="FFFFFF"/>
            <w:lang w:val="en-US" w:eastAsia="en-US" w:bidi="ar-SA"/>
          </w:rPr>
          <w:t>[1956] O.R. 1007</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purpose of the law is to guide the behaviour of individuals, not to definitively direct it. There has been sufficient legislation and common law in the Province of British Columbia since the 1950s to provide guidance to the manufacturers with respect to harm resulting from their products. The mere fact that the legal cause of action in its sui generis form was not in place is an insufficient reason to find that the Act violates the individual's ability to know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am of the view that the impugned retroactivity of the Act is within the constitutional compass outlined by McLachlin J. in RJI-Macdonald Inc., supra, as the goals the Legislature seeks to achieve are reasonable and proportionate to enforcement of rights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find that section 10 of the Act is not unconstitutional by reason of violation of the 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RULE OF LAW - Generality, Prospectivity and Equality; and THE RIGHT TO A FAIR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Counsel for Phillip Morris Incorporated raised in argument that the Province has by the structure and intent of the Act violated several of the principles of the 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Several aspects of these principles, and elements of the arguments in support, were directly or tangentially referred to in the specific, directed, and detailed arguments of counsel for the three Canadian manufacturers both in the present as well as the prior JTI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addition, some of the issues raised by Mr. Clarke were argued in the prior JTI action and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my view over all in regard to these issues remains unchanged, I propose a more truncated and summary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Principles addressed by counsel included the law of generality, prospectivity and equality in the law, and the right to a fair trial. The position advanced is that he rule of law is a "fundamental postulate of our constitutional structure", therefore the violation of these rule of law norms results in an unconstitutional Act by the Government of British Columbia. Counsel's position is these violations have not and cannot be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argument of counsel is grounded upon the Canadian Constitution being the supreme law of the land and that the Constitution includes several unwritten principles. The Reference Re Secession of Quebec, </w:t>
      </w:r>
      <w:hyperlink r:id="rId491" w:history="1">
        <w:r>
          <w:rPr>
            <w:rFonts w:ascii="arial" w:eastAsia="arial" w:hAnsi="arial" w:cs="arial"/>
            <w:i/>
            <w:color w:val="0077CC"/>
            <w:sz w:val="20"/>
            <w:u w:val="single"/>
            <w:shd w:val="clear" w:color="auto" w:fill="FFFFFF"/>
            <w:lang w:val="en-US" w:eastAsia="en-US" w:bidi="ar-SA"/>
          </w:rPr>
          <w:t>[1998] 2 S.C.R. 217</w:t>
        </w:r>
      </w:hyperlink>
      <w:r>
        <w:rPr>
          <w:rFonts w:ascii="arial" w:eastAsia="arial" w:hAnsi="arial" w:cs="arial"/>
          <w:color w:val="000000"/>
          <w:sz w:val="20"/>
          <w:lang w:val="en-US" w:eastAsia="en-US" w:bidi="ar-SA"/>
        </w:rPr>
        <w:t xml:space="preserve"> at paragraph 32 clearly enunciated that these unwritten principles must be considered a " ...necessary part of our Constitution because problems or situations may arise which are not expressly dealt with by the text of the Constitution." Two of the central unwritten principles established by the cases are judicial independence and the 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Part of the rule of law as raised in the argument is the requirement of generality. It was argued that generality of the law requires that a legal rule take the form of "a ... command that is directed to unknown people and that is abstracted from all particular circumstances of time and place and refers only to such conditions as may occur anywhere and at any time." (Flatham, "Liberalism and the Suspect Enterprise of Political Institutionalization: The Case of the Rule of Law", in Ian Shapiro, ed., "The Rule of Law" (New York University Press) at p. 305.)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do not find this to be a constitutionally entrenched rule as advocated by counsel. The basis of the submission appears to place it more as a derivative of an ideal constitutional principle that is a synthesis of economic, philosophical and social perspective rather than specifically descriptive of the reality of Canadian Constitutional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do not accept the concept that legislation must be directed to unknown persons and no identifiable group targeted. Legislation may target many industries, persons, or groups. The judgment in JTI specifically referred to targeted groups in the product liability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urged that the Act created by the Province has specifically targeted a finite and relatively small group of tobacco manufacturers. It is directed to known or supposed past events rather than future hypothetical events as counsel urges it should. It is said to attach entirely new consequences to those past events, eliminates all practical defences and artificially bypasses all evidentiary gaps, all of which is done in the favour of the Province's financial gain. The position is therefore taken that there is no generality to this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argument is that the Act also violates the notion of equality under the law through the specific targeting of the tobacco manufacturers. The tobacco manufacturers are said to be treated uniquely to any other manufacturer who is not a member of the tobacco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liability of manufacturers generally is governed by the law surrounding products liability. A manufacturer will be liable to a consumer or to a third party upon proof:</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a breach of duty owing by the manufacturer to the plaintiff;</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breach of duty caused injury to the plaintiff; and</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incurred resulting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Act is attacked as being a radical departure from these principles, and in the argument of counsel has the effect that:</w:t>
      </w:r>
      <w:r>
        <w:rPr>
          <w:rFonts w:ascii="arial" w:eastAsia="arial" w:hAnsi="arial" w:cs="arial"/>
          <w:sz w:val="20"/>
          <w:lang w:val="en-US" w:eastAsia="en-US" w:bidi="ar-SA"/>
        </w:rPr>
        <w:cr/>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breach of duty owing to the plaintiff Government is required. Indeed, counsel notes the Government need only establish a breach of duty to someone who "might become exposed" to cigarettes (s. 3(1) of the Act), the Government can succeed in an action under the Act without establishing any actionable breach of duty to anyone at all. The newly-created statutory obligation owing by the tobacco manufacturers to Government is, moreover, imposed not just prospectively, but retroactively as well, in a manner abolishing all limitation defences and indeed reviving actions previously dismissed on the basis of limitation defences.</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in effect presumed under s. 3(2) of the Act on two distinct levels. If warnings about the danger of tobacco use failed to reach even one British Columbia consumer - resulting in a breach of a defendant's duty to warn - the court would be required to presume that no smoker in B.C., past or present, would have smoked the defendant's cigarettes absent this failure to warn. The defendants' ability to rebut this presumption is substantially limited by the "blocking provisions" found in s. 2(5) of the Act. Section 3(2)(b) of the Act in addition requires the court to presume that "the exposure described in paragraph (a) caused or contributed to disease or the risk of disease in a portion of the population described in paragraph (a)". Therefore the effect of the s. 2(5) "blocking provisions" in this context would be to preclude proper assessment of the manner required to ensure that the data is reasonably accurate. The defendants' ability to properly rebut the Government's evidence, materially undermined.</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does not, on the Government's position, require it to prove that it has incurred any financial loss at all in order to succeed in an aggregate claim. Rather, the Act creates a claim for a category of expenses known as "health care benefits", which the Government says would enable it to collect vast sums of money from the tobacco industry without the necessity of proving any loss in the sense required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position advanced by counsel for Phillip Morris Incorporated is these alterations to the law brings into effect the fears espoused by the Supreme Court of Canada in Reference Re Secession of Quebec, supra at [paragraph] 74, wherein it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constitution may provide an added safeguard for fundamental human rights and individual freedoms which might otherwise be susceptible to government interference. Although democratic government is generally solicitous of those rights, there are occasions when the majority will be tempted to ignore fundamental rights in order to accomplish collective goals more easily or effectively. Constitutional entrenchment ensures that those rights will be given due regard and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It is argued that equality under the law is the constitutionally entrenched safeguard against the Province's action. It is urged that it must be employed in these circumstances to preserve equality among subjects in the British Columbia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Act does target tobacco manufacturers. The legislation however treats all within that group equally. There is no other group excluded who would appear to be included within the ambit of the impugned conduct in issue. I have in this and the prior JTI action canvassed in detail my views in relation to other arguments advanced concerning retroactivity, inability to defend or interference in the right to defend, and several evidentiary and procedural issues and aspects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Act permits an aggregate action and the ability of the Province to pursue an aggregate action was a subject canvassed in the JTI action. At least some of the manufacturers now appear to accept the legislative ability of the Province to enable an aggregate form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There are indeed many differences inherent in the formula for, and proof of, an aggregate claim as opposed to the traditional form of a tort claim. I feel these differences have been identified, argued, analyzed, and decided in respect of the independence, retroactivity, and penal legislation, arguments and ancillary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is the further position of the manufacturers that the guarantee of equality between subjects and the Crown has also been violated by the Act. The Act affords the Government, in advancing its claim, special and unprecedented exemptions and privileges which neither it nor any other similarly situated claimant would be entitled to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Counsel urges that tyranny is prevented through the equal application of law to both Government and subject. As Professor Walker stated in "The Rule of Law: Foundation of a Constitutional Democracy" (Carlton, Australia: Melbourne University Press, 1988) at p. 24-25: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government must be bound by substantive law, not only by the constitution, but also as far as possible by the same laws as those which bind the individual. ...We should come on guard whenever we find governments giving themselves the power to do things to people that people are prohibited from doing to one another. ... Arbitrary conduct on the part of the government against an individual citizen is the antithesis of the 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are certain legitimate privileges and distinctions which are made in favour of the government, however, such privileges and distinctions must be objectively justified. The Courts are said to be taking increasingly probative examinations of the powers government affords itself. Sir William Wade, in his text Administrative Law, 7th ed. (Oxford: Clarendon Press, 1994) at 26 notes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fourth meaning is that the law should be even-handed between government and citizen. Clearly it cannot be the same for both, since every government must necessarily have many special powers. What the rule of law requires is that the government should not enjoy unnecessary privileges or exemptions from ordinary law. It was a "lacuna in the rule of law" that until 1947 the Crown was in law exempt from the ordinary law of employer's liability for wrongs done by its employees, since there was no necessity for this immunity and in practice the Crown did not claim it. The Crown also is not required to obey Acts of Parliament unless they contain some indication to that effect. It was "a black day for the rule of law" when the High Court held that the law was unenforceable against ministers and civil servants. In principle all public authorities should be subject to all normal legal duties and liabilities which are not inconsistent with their governmental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It is the view of the manufacturers that the exemptions from the ordinary requirements of proof and limitation laws, together with the imposition of an unprecedented retroactive liability on a targeted class of defendants, are not advantages which are clearly justified or necessary incidents of the powers of the government qua government, and are therefore a form of tyranny.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Finally, counsel argues that a legitimate law is one which is known. [Black-Clawson International Ltd. v. Papierwerke A.G.,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They argue retroactive legislation is widely regarded as repugnant to the notion of justice. The Act gives full retroactive effect to this new concept of "tobacco-related wrong", with new and radical consequences. Their position is such an Act wholly undermines the values of certainty and predictability which lie at the heart of the 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do not accept the apparent suggestion that the Crown's ability to recover from tobacco manufacturers by an action must be the same as that of an individual smoker. That ignores the unique nature of the aggregate action, the nature of the loss sustained and who sustained it, and the procedural differences occasioned by the nature of the claim and the need for the aggregate form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values at issue in the allegations made in the pleadings in this action, if correct and proven, do not lessen the comfort or security an alleged perpetrator would expect of the law granting some form of immunity. The predictability of the law generally should be that if wrongs are committed remedies to address them will avail.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manufacturers summarize the result of these constitutional violations as a violation of the right to a fair trial. The right to a fair trial, while in the civil context is not a constitutional right, should remain a principle of fundamental justice and part of the 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right to a fair trial requires that parties to a proceeding have a reasonable opportunity of presenting their case under conditions which do not place either party under a substantial disadvantage. Where the right to a fair trial is violated, the rule of law is offended.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find this issue of fair trial again to be subsumed in arguments in support of other issues, primarily that of judicial independence in both the JTI and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the JIT decision, it was noted at [paragraphs] 39-40: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accept as tenable the manufacturers' argument that the right to a fair trial is a component of the rule of law. Comparison to s. 7 or 11(d) Charter rights, although not directly relied upon, is a poor analogy as the Charter does not guarantee property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 to economic interests within the context of a civil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omission of property rights from s. 7 greatly reduces its scope. It means that s. 7 affords no guarantee of compensation or even of a fair procedure for the taking of property by government. It means that s. 7 affords no guarantee of fair treatment by courts, tribunals or officials with power over the purely economic interests of individuals or corporations. It also requires ... that [liberty and security of the person] be interpreted as excluding economic liberty and economic security; otherwise, property, having been shut out of the front door, would enter by the back. [Hogg, supra, at p. 1074; Wells v. Newfoundland, </w:t>
      </w:r>
      <w:hyperlink r:id="rId492" w:history="1">
        <w:r>
          <w:rPr>
            <w:rFonts w:ascii="arial" w:eastAsia="arial" w:hAnsi="arial" w:cs="arial"/>
            <w:i/>
            <w:color w:val="0077CC"/>
            <w:sz w:val="20"/>
            <w:u w:val="single"/>
            <w:shd w:val="clear" w:color="auto" w:fill="FFFFFF"/>
            <w:lang w:val="en-US" w:eastAsia="en-US" w:bidi="ar-SA"/>
          </w:rPr>
          <w:t>[1999] 3 S.C.R. 199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There is nothing inherently unfair about an aggregate action. In fact, it may often balance unfairness of proceeding either by individual actions or by other forms of collective proceeding. Neither is the use of statistical or epidemiological evidence itself evidence of an unfair trial. They are aids to the resolution of issues in a unique but appropriate form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the constitutional challenge to the 1997 Act, this Court determined that legislation could not be set aside as being unconstitutional on the basis of a violation of the rule of law. Counsel for the manufacturers suggests that subsequent decisions from the Supreme Court of Canada have altered the situation such that the Government's conduct in commencing action under the Act can be set aside for violating unwritten constitutional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Mackin v. New Brunswick (Minister of Finance), </w:t>
      </w:r>
      <w:hyperlink r:id="rId493" w:history="1">
        <w:r>
          <w:rPr>
            <w:rFonts w:ascii="arial" w:eastAsia="arial" w:hAnsi="arial" w:cs="arial"/>
            <w:i/>
            <w:color w:val="0077CC"/>
            <w:sz w:val="20"/>
            <w:u w:val="single"/>
            <w:shd w:val="clear" w:color="auto" w:fill="FFFFFF"/>
            <w:lang w:val="en-US" w:eastAsia="en-US" w:bidi="ar-SA"/>
          </w:rPr>
          <w:t>[2002] 1 S.C.R. 405</w:t>
        </w:r>
      </w:hyperlink>
      <w:r>
        <w:rPr>
          <w:rFonts w:ascii="arial" w:eastAsia="arial" w:hAnsi="arial" w:cs="arial"/>
          <w:color w:val="000000"/>
          <w:sz w:val="20"/>
          <w:lang w:val="en-US" w:eastAsia="en-US" w:bidi="ar-SA"/>
        </w:rPr>
        <w:t>, a strong majority of the Supreme Court held that provincial legislation which violated both section 11(d) of the Constitution and unwritten principles of the Constitution, in this case judicial independence, was invalid. At [paragraphs] 69-70 the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I consider that the opinion stated by this Court in the Provincial Judges Reference, supra, requires that any change made to the remuneration conditions of judges at any given time must necessarily pass through the institutional filter of an independent, effective and objective body so that the relationship between the judiciary, on the one hand, and the executive and legislative branches, on the other, remain depoliticized as far as possible. That is a structural requirement of the Canadian Constitution resulting from the separation of powers and the rule of law. By failing to refer the question of the elimination of the office of supernumerary judge to such a body, the government of New Brunswick breached this fundamental duty. ... Consequently, Bill 7 must be declared invalid.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 foregoing reasoning must not be interpreted as negating or ossifying the exercise by the provinces of their legislative jurisdiction under s. 92(14) of the Constitution Act, 1867. While the provincial legislative assemblies have exclusive jurisdiction over "the Administration of Justice in the Province, including the Constitution, Maintenance, and Organization of Provincial Courts, both Civil and of Criminal Jurisdiction", that jurisdiction must nevertheless be exercised in accordance with the structural principles of the Canadian Constitution, including the independence of the judiciary.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Counsel argues that the Court finds that in justifying such an infringement, the standard that the government must be held to is one which is more demanding even than that of section 1 of the Charter and an in-depth analysis is required into the fundamental nature of the right violated.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A further Supreme Court of Canada case which counsel contends demonstrates this principle is Babcock v. Canada (Attorney General), </w:t>
      </w:r>
      <w:hyperlink r:id="rId494" w:history="1">
        <w:r>
          <w:rPr>
            <w:rFonts w:ascii="arial" w:eastAsia="arial" w:hAnsi="arial" w:cs="arial"/>
            <w:i/>
            <w:color w:val="0077CC"/>
            <w:sz w:val="20"/>
            <w:u w:val="single"/>
            <w:shd w:val="clear" w:color="auto" w:fill="FFFFFF"/>
            <w:lang w:val="en-US" w:eastAsia="en-US" w:bidi="ar-SA"/>
          </w:rPr>
          <w:t>[2002] S.C.J. No. 58</w:t>
        </w:r>
      </w:hyperlink>
      <w:r>
        <w:rPr>
          <w:rFonts w:ascii="arial" w:eastAsia="arial" w:hAnsi="arial" w:cs="arial"/>
          <w:color w:val="000000"/>
          <w:sz w:val="20"/>
          <w:lang w:val="en-US" w:eastAsia="en-US" w:bidi="ar-SA"/>
        </w:rPr>
        <w:t>, wherein the Court stated at [paragraphs] 54-55: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respondents in this case challenge the constitutionality of s. 39 [Canada Evidence Act] and argue that the provision is ultra vires Parliament because of the unwritten principles of the Canadian Constitution: the rule of law, the independence of the judiciary, and the separation of powers. Although the unwritten constitutional principles are capable of limiting government actions, I find that they do not do so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unwritten principles must be balanced against the principle of Parliamentary sovereignty.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manufacturers' position is that it may no longer be said that unwritten constitutional principles, in particular the rule of law, cannot be used to strike down legislation found in violation. It is urged that the Court clearly now has jurisdiction to do so in this matter and that it should, given what they view as egregious violations against the rule of law committed by the Province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Court in Mackin was relying explicitly on the Charter, and I do not take from the decision that the Court sanctions reliance upon an unwritten principle of the rule of law to strike down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Chief Justice McLachlin in Babcock addressed three unwritten principles: the rule of law, the independence of the judiciary, and the separation of powers. She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within the power of the legislature to enact laws, as long as it does not fundamentally alter or interfere with the relationship between the courts and the other branches of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 do not interpret Mackin or Babcock as providing support for the view expressed by counsel for Phillip Morris Incorporated that the rule of law may be invoked to provide freestanding rights to individuals. In my view, Madam Justice Allan in Johnson v. British Columbia (Securities Commission) </w:t>
      </w:r>
      <w:hyperlink r:id="rId487" w:history="1">
        <w:r>
          <w:rPr>
            <w:rFonts w:ascii="arial" w:eastAsia="arial" w:hAnsi="arial" w:cs="arial"/>
            <w:i/>
            <w:color w:val="0077CC"/>
            <w:sz w:val="20"/>
            <w:u w:val="single"/>
            <w:shd w:val="clear" w:color="auto" w:fill="FFFFFF"/>
            <w:lang w:val="en-US" w:eastAsia="en-US" w:bidi="ar-SA"/>
          </w:rPr>
          <w:t>(1999), 67 B.C.L.R. (3d) 145</w:t>
        </w:r>
      </w:hyperlink>
      <w:r>
        <w:rPr>
          <w:rFonts w:ascii="arial" w:eastAsia="arial" w:hAnsi="arial" w:cs="arial"/>
          <w:color w:val="000000"/>
          <w:sz w:val="20"/>
          <w:lang w:val="en-US" w:eastAsia="en-US" w:bidi="ar-SA"/>
        </w:rPr>
        <w:t xml:space="preserve"> (S.C.) at [paragraph] 25 encapsulated the correct 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principles enshrined in the preamble -- the supremacy of God and the rule of law -- inform the interpretation of the substantive sections of the Charter. They are not discrete justiciable principles intended by the drafters to be "rights" which, if breached, will permit a challenge to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It is the ultimate premise of counsel for Phillip Morris Incorporated that breach of an individual element of the rule of law is a constitutional breach that will invalidate the legislation or action taken under its authority. I accept neither premise.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 detailed argument was made, centered upon the import of the recent decision of the House of Lords in Fairchild et al. v. Glenhaven Funeral Services Ltd., [2002] 3 All E.R. 305. Fairchild illustrates the advance in common law remedies relating to problematic causation issues allowing issues to be resolved on a risk assessment basis as an alternative to the use of presumptions as in the present Act. Neither basis can be said to be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Counsel for Phillip Morris Incorporated and counsel for the Attorney General are completely disparate in their view of the effect of the decision in Lalonde v. Ontario (Commission de restructuration des services de santé), </w:t>
      </w:r>
      <w:hyperlink r:id="rId495" w:history="1">
        <w:r>
          <w:rPr>
            <w:rFonts w:ascii="arial" w:eastAsia="arial" w:hAnsi="arial" w:cs="arial"/>
            <w:i/>
            <w:color w:val="0077CC"/>
            <w:sz w:val="20"/>
            <w:u w:val="single"/>
            <w:shd w:val="clear" w:color="auto" w:fill="FFFFFF"/>
            <w:lang w:val="en-US" w:eastAsia="en-US" w:bidi="ar-SA"/>
          </w:rPr>
          <w:t>[2001] O.J. No. 4767</w:t>
        </w:r>
      </w:hyperlink>
      <w:r>
        <w:rPr>
          <w:rFonts w:ascii="arial" w:eastAsia="arial" w:hAnsi="arial" w:cs="arial"/>
          <w:color w:val="000000"/>
          <w:sz w:val="20"/>
          <w:lang w:val="en-US" w:eastAsia="en-US" w:bidi="ar-SA"/>
        </w:rPr>
        <w:t xml:space="preserve">. Counsel for Phillip Morris Incorporated interprets the decision as a relevant example of the use of or violation of the unwritten principle of protection of minorities to strike down the commission's decision taken pursuant to the statutory authority under the French Language Services Act, </w:t>
      </w:r>
      <w:hyperlink r:id="rId470" w:history="1">
        <w:r>
          <w:rPr>
            <w:rFonts w:ascii="arial" w:eastAsia="arial" w:hAnsi="arial" w:cs="arial"/>
            <w:i/>
            <w:color w:val="0077CC"/>
            <w:sz w:val="20"/>
            <w:u w:val="single"/>
            <w:shd w:val="clear" w:color="auto" w:fill="FFFFFF"/>
            <w:lang w:val="en-US" w:eastAsia="en-US" w:bidi="ar-SA"/>
          </w:rPr>
          <w:t>R.S.O. 1990, c. F.32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prefer the view of counsel for the Attorney General that Lalonde does not provide authority for striking down legislation because of violations of a unwritten constitutional provision. Rather the unwritten principle is but an aid to the interpretation of the legislation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Counsel for Phillip Morris Incorporated also advanced a further or alternative view of use of unwritten constitutional principle to strike legislation. This view is, by terms of s. 2(b) of the Attorney General Act, </w:t>
      </w:r>
      <w:r>
        <w:rPr>
          <w:rFonts w:ascii="arial" w:eastAsia="arial" w:hAnsi="arial" w:cs="arial"/>
          <w:i/>
          <w:color w:val="000000"/>
          <w:sz w:val="20"/>
          <w:lang w:val="en-US" w:eastAsia="en-US" w:bidi="ar-SA"/>
        </w:rPr>
        <w:t>R.S.B.C. 1996, c. 22</w:t>
      </w:r>
      <w:r>
        <w:rPr>
          <w:rFonts w:ascii="arial" w:eastAsia="arial" w:hAnsi="arial" w:cs="arial"/>
          <w:color w:val="000000"/>
          <w:sz w:val="20"/>
          <w:lang w:val="en-US" w:eastAsia="en-US" w:bidi="ar-SA"/>
        </w:rPr>
        <w:t>, based upon the requirement that the Attorney General "must see that the administration of public affairs is in accordance with law". Counsel argues therefore the Attorney General could not commence an action under the Act as it is not in accordance with the unwritten principles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the present proceeding, there is no suggestion the Attorney General has acted contrary to the provisions of the Act in commencement and prosecution of the aggregate action. I agree with observations of counsel for the Attorney General the contrary is indicated. In Lalonde, however, the legislation required the public good be taken into account, and, contrary to that stricture,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the circumstances I do not find the breaches, individually or collectively, of the unwritten principles as contended for by counsel for Phillip Morris a basis to strike the legislation. If breaches do exist they may inform interpretation of the Act but do not operate to invalidate it constitutionally.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EXTRATERRITORIALITY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the JTI decision, it was found that the 1997 Act had exceeded its constitutional limits with respect to extraterritoriality. In making this determination, the Court had to discern the purpose and the effect of the Act. At paragraph 151 of the decision, this Court determined that "[t]he purpose of the Act is the recovery by the Province of the tobacco related health care costs it has incurred from the tobacco industry nationally and internationally." In determining effect, this Court found that it was "to impose a new form of liability on the mostly extra-territorial defendants founded on shareholdings and other types of property ownership, wherever those rights may be situate, for the acts or omissions attributable to some of them. This result follows whether the locus of the acts or omissions was within British Columbia, Canada, or elsewhere in the world." [At paragraph 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This Court further found that sections of the 1997 Act, namely the "enterprise liability sections", were specifically designed to extend the territorial reach of the Province with respect to national and multinational companies. In noting that a Province's legislative power is strictly curtailed to its territorial limitations under Section 92 of the Constitution Act, it was found at paragraph 168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provisions demonstrate, as a dominant aspect, the targeting of extra-territorial entities, ensnaring a variety of legal personalities including shareholders, control persons, foreign purchasers and lessors, trademark holders, and substantial investors. These consequences are too purposeful and far-reaching to qualify as an incidental aspect of seeking recovery from manufacturers directly marketing or selling tobacco products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Court thus determined that "the cumulative effect of the provisions evinces a legislative intention to craft the Act in a form that ensures on a global basis that no action of the international tobacco industry or location of their assets would be beyond the reach of the Province's attempt to recover health care costs under the Act." (At paragraph 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1997 Act was held to be unconstitutional. As stated previously, the Province's response was to repeal the legislation and redraft the provisions in an attempt to resolve the constitutional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manufacturers argue that despite the changes made to the Act, constitutional difficulties still remain, thus rendering the extraterritorial reach of the Act ultra vires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Five main arguments are submitted by the manufacturers under this heading:</w:t>
      </w:r>
      <w:r>
        <w:rPr>
          <w:rFonts w:ascii="arial" w:eastAsia="arial" w:hAnsi="arial" w:cs="arial"/>
          <w:sz w:val="20"/>
          <w:lang w:val="en-US" w:eastAsia="en-US" w:bidi="ar-SA"/>
        </w:rPr>
        <w:cr/>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purports to create a cause of action with respect to acts or omissions whose locus is outside British Columbia;</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purports to modify constitutional choice of law rules by imposing its provisions on acts or omissions whose locus is outside British Columbia;</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has a retroactive effect on ex juris persons and denies to them, contrary to the rules of private international law, the right to be judged by the law of the place of their acts or omissions as it existed at the time those acts or omissions occurred;</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derogates from extra-territorial civil rights; and</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purports to create a jurisdictional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manufacturers argue that the 2000 Act has the same purpose as the 1997 Act, "to facilitate a lawsuit aimed at a specific type of defendant most of which are foreign corporations." The manufacturers note that nine of the fourteen defendants are foreign, and that of those nine, only three are expressly alleged to have "engaged ... in the manufacture and promotion of cigarettes sold in B.C.". It is alleged that the other foreign defendants are members of "four multinational tobacco enterprises" which engage "in the manufacture and promotion of cigarettes sold in British Columbia and throughout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manufacturers allege that the "predominating elements of the aggregate action, including the place of the conduct which constitutes the breach of duty and the place of "exposure" to tobacco products need not be in British Columbia before liability is imposed", thereby leaving the locus of the act or omission outside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manufacturers argue that under the definition of the cause of action in section 3 of the Act, liability is established merely by the exposure or the possibility of future exposure of an insured person to tobacco products and the exposure provisions are assisted by mandated presumptions to the Court. There is no requirement that the individual suffer damage and there are no restrictions on the time or place of the exposure. All that is required, they argue, is that the claim be made on behalf of "insured persons" and that there was a breach of a duty owed to at least two such insured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manufacturers contend that Section 4 of the Act creates a presumption that attaches legal consequences to foreign conduct by creating a presumption of joint liability for certain types of conduct. The manufacturers note that under this presumption, "the Court need not consider whether a foreign manufacturer's conduct which constitutes a breach of duty caused exposure or disease in British Columbia, because both facts are presumed by the combined effect of sections 3(2) and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 manufacturers' position is that this area of law is generally governed by the lex loci delecti rule. The purpose of such rule can be gleaned from the words of La Forest J. in Tolofson v. Jensen, </w:t>
      </w:r>
      <w:hyperlink r:id="rId496"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xml:space="preserve"> at paragraph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thus far framed the arguments favouring the lex loci delicti in theoretical terms. But the approach responds to a number of sound practical considerations. The rule has the advantage of certainty, ease of application and predictability. Moreover, it would seem to meet normal expectations. Ordinarily people expect their activities to be governed by the law of the place where they happen to be and expect that concomitant legal benefits and responsibilities will be defined accordingly. The government of that place is the only one with power to deal with these activities. The same expectation is ordinarily shared by other states and by people outside the place where an activity occurs. If other states routinely applied their laws to activities taking place elsewhere, confusion would be the result. In our modern world of easy travel and with the emergence of a global economic order, chaotic situations would often result if the principle of territorial jurisdiction were not, at least generally, respected. Stability of transactions and well grounded legal expectations must be respected. Many activities within one state necessarily have impact in another, but a multiplicity of competing exercises of state power in respect of such activities must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manufacturers also argue that section 10 of the Act, the retroactivity clause, has a profound effect on extraterritoriality. By changing the law of the past the Act creates a cause of action that can be applied to foreign manufacturers for their conduct in the past for a wrong which they never knew existed in British Columbia or anywhere else in the world given that exposure is not limited to the Province. Thus the legislature has created a locus delicti of fiction.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It is submitted that large portions of the population have resided out of the Province before coming to British Columbia, leading to the logical result that much of the exposure to tobacco products with which the Act is concerned, occurred outside the Province. The only direct territorial connection to the Province is the incidence or more properly, the culmination of tobacco related disease by an insured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manufacturers further proffer that the Province does not have the ability to create legislation which thwarts the rules of private international law, by trying to artificially create a real and substantial connection that would not otherwise exist between the foreign manufacturers and British Columbia. The manufacturers submit that this flies in the face of the principles laid down in Tolofson, supra, especially given that so many of the named defendants are foreign companies who have no business in British Columbia, have no presence in British Columbia and have never acted in any capacity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manufacturers also cite this Court's comments in the JTI decision at [paragraph] 196: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Interprovincial Co-operatives Ltd. et al v. The Queen in the Right of Manitoba, </w:t>
      </w:r>
      <w:hyperlink r:id="rId497" w:history="1">
        <w:r>
          <w:rPr>
            <w:rFonts w:ascii="arial" w:eastAsia="arial" w:hAnsi="arial" w:cs="arial"/>
            <w:i/>
            <w:color w:val="0077CC"/>
            <w:sz w:val="20"/>
            <w:u w:val="single"/>
            <w:shd w:val="clear" w:color="auto" w:fill="FFFFFF"/>
            <w:lang w:val="en-US" w:eastAsia="en-US" w:bidi="ar-SA"/>
          </w:rPr>
          <w:t>[1976] 1 S.C.R. 477</w:t>
        </w:r>
      </w:hyperlink>
      <w:r>
        <w:rPr>
          <w:rFonts w:ascii="arial" w:eastAsia="arial" w:hAnsi="arial" w:cs="arial"/>
          <w:color w:val="000000"/>
          <w:sz w:val="20"/>
          <w:lang w:val="en-US" w:eastAsia="en-US" w:bidi="ar-SA"/>
        </w:rPr>
        <w:t xml:space="preserve"> at 516 (per Pigeon J.) a Provincial statute conferring a statutory cause of action on government against parties in the Province, but applied to conduct outside the Province giving rise to liability, was held to be ultra vires: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respect of injury caused by acts performed outside its territory, I cannot accede to the view that this can be treated as a matter within its legislative authority when those acts are done in another province any more than when they are accomplished in another country. In my view, although the injurious acts cannot be justified by or under legislation adopted in the province or state where the plants are operated, by the same token, Manitoba is restricted to such remedies as are available at common law or under federal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And further at [paragraph] 197 and 198: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Tolofson v. Jensen, </w:t>
      </w:r>
      <w:hyperlink r:id="rId496"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(1995), 120 D.L.R. (4th) 289</w:t>
        </w:r>
      </w:hyperlink>
      <w:r>
        <w:rPr>
          <w:rFonts w:ascii="arial" w:eastAsia="arial" w:hAnsi="arial" w:cs="arial"/>
          <w:color w:val="000000"/>
          <w:sz w:val="20"/>
          <w:lang w:val="en-US" w:eastAsia="en-US" w:bidi="ar-SA"/>
        </w:rPr>
        <w:t xml:space="preserve"> La Forest J. notes that the lex loci delecti rule relating to the jurisdiction of a claim in tort is based partly on constitutional considerations. The effect of the rule is that a Province cannot, by attaching new consequences to extra-territorial acts or omissions, impose its law on a tort which occurs beyond its borders.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Province may not pass legislation that has the effect of imposing obligations outside the Province or has other extra-provincial consequences unless the effect is merely collateral or incidental to legislation otherwise within its power. [Churchill Falls (Labrador) Corp. Ltd. v. A.G. Newfoundland (Attorney General), </w:t>
      </w:r>
      <w:hyperlink r:id="rId498" w:history="1">
        <w:r>
          <w:rPr>
            <w:rFonts w:ascii="arial" w:eastAsia="arial" w:hAnsi="arial" w:cs="arial"/>
            <w:i/>
            <w:color w:val="0077CC"/>
            <w:sz w:val="20"/>
            <w:u w:val="single"/>
            <w:shd w:val="clear" w:color="auto" w:fill="FFFFFF"/>
            <w:lang w:val="en-US" w:eastAsia="en-US" w:bidi="ar-SA"/>
          </w:rPr>
          <w:t>[1984] 1 S.C.R. 297</w:t>
        </w:r>
      </w:hyperlink>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(1984), 8 D.L.R. (4th) 1</w:t>
        </w:r>
      </w:hyperlink>
      <w:r>
        <w:rPr>
          <w:rFonts w:ascii="arial" w:eastAsia="arial" w:hAnsi="arial" w:cs="arial"/>
          <w:color w:val="000000"/>
          <w:sz w:val="20"/>
          <w:lang w:val="en-US" w:eastAsia="en-US" w:bidi="ar-SA"/>
        </w:rPr>
        <w:t>; Hogg, Constitutional Law of Canada (looseleaf ed.) pp. 13-14].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manufacturers argue that the allegations made in the Statement of Claim under the Trade Practice Act </w:t>
      </w:r>
      <w:hyperlink r:id="rId473"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xml:space="preserve"> also fall afoul of this locus issue. It is alleged that the foreign manufacturers are jointly liable for breach of a statutory duty under the Trade Practice Act. Section 4 of the Act does not specify a locus for the breach of duty and the manufacturers submit that it can be assumed that most if not all of the foreign defendants' conduct alleged to be part of the breach, was conduct that occurred outside the Province. The manufacturers argue that the 2000 Act thus impermissibly extends the territorial reach of the Trade Practice Act, which is outside the constitutional power of the Province. The manufacturers again cite the JTI decision for the comments at [paragraph] 209-210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'tobacco related wrong' includes a breach of 'statutory duty'. There are statutory duties imposed under British Columbia statutes like the Trade Practice Act, </w:t>
      </w:r>
      <w:hyperlink r:id="rId473"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These can lead to foreign corporations with no presence in British Columbia, conducting their affairs in conformity with their domestic law, being judged under Section 13.1(1)(a) according to standards of conduct under British Columbia statutes for acts or omissions that occur in their own country.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provincial legislature has no power to impose its own laws on extra-territorial status, contracts, conduct or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manufacturers submit that the same holds true for the 2000 Act and that this Court must again act to uphold these principles to prevent injustice in the international arena.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manufacturers further allege that the extraterritorial reach of the 2000 Act interferes with the civil rights of foreign entities, in particular those rights established under the U.K Human Rights Act, 1998 and the European Convention on Human Rights, 1950 (adopted into U.K. law through the U.K. Human Rights Act). It is asserted that consideration of these Acts requires consideration of the decisions of the European Court of Human Rights (the "Strasbourg Court"), as a means of interpreting the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manufacturers cite and explain several cases arising from the U.K. and Strasbourg Courts, from which the following conclusions proffered to the Court were drawn:</w:t>
      </w:r>
      <w:r>
        <w:rPr>
          <w:rFonts w:ascii="arial" w:eastAsia="arial" w:hAnsi="arial" w:cs="arial"/>
          <w:sz w:val="20"/>
          <w:lang w:val="en-US" w:eastAsia="en-US" w:bidi="ar-SA"/>
        </w:rPr>
        <w:cr/>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overarching principle of the rule of law informs all European Convention rights;</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component of the rule of law is the quality required of statutes in order to conform with the European Convention; one of these qualities is forseeability;</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Strasbourg Court does not readily admit the propriety of retroactive statutes. Attempts to justify them must be treated with the greatest possible degree of circumspection;</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outweigh the general prohibition on retroactive legislation, the public interest must go well beyond the mere financial interests of the state;</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Retroactive laws designed to influence the outcome of litigation in favour of the state will be very difficult to justify.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manufacturers argue that the 2000 Act is retroactive and is designed to influence in favour of the British Columbia government, the determination of the claim against the manufacturers for the cost of health care benefits. The influential factors, which take several forms and have a cumulative negative effect, include:</w:t>
      </w:r>
      <w:r>
        <w:rPr>
          <w:rFonts w:ascii="arial" w:eastAsia="arial" w:hAnsi="arial" w:cs="arial"/>
          <w:sz w:val="20"/>
          <w:lang w:val="en-US" w:eastAsia="en-US" w:bidi="ar-SA"/>
        </w:rPr>
        <w:cr/>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definitions of Section 1, particularly those concerning "disease" and "exposure";</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blocking provisions of Section 2(5);</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light onus of proof provided for by Section 3(1);</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presumptions under Section 3(2) and Section 4(2);</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on the manufacturers under Section 3(4) to prove matters that occurred long ago;</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 under Section 5 for the admissibility of sampling evidence on causation and quantum issues;</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Retroactivity as provided by Section 10. The wrongs alleged against the manufacturers go back 50 years involving all the difficulties inherent in the defence of stale claims.</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Columbia Government's regulations making power under the 2000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essence, the manufacturers argue that the Act "interferes with the European Convention rights of English defendants, who have done no business in British Columbia in respect of their conduct in England, by purporting to make them liable for a "tobacco related wrong" previously unknown to the law for enormous sums not recoverable against them under any law before the enactment of the [Act], which was designed and enacted solely to enhance the B.C. government's prospects of success. To the extent that those defendants' European Convention rights are interfered with, the [Act] has a constitutionality impermissible extra-territorial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Further the manufacturers argue that the Act interferes with foreign property rights. Protocol 1, Article 1, of the European Convention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natural or legal person is entitled to the peaceful enjoyment of his possessions. No one shall be deprived of his possessions except in the public interest and subject to the conditions provided for by law and by the general principles of international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term "possessions" under this Article, has been interpreted to include money as per Aston Cantlow PCC v. Wallbank, [2001] 3 All E.R. 393, at 403.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the end, the manufacturers submit that the cause of action does not create a sufficient territorial link between liability and conduct. The only direct territorial link is that the duty owed is owed to persons in British Columbia. It does not matter where this duty was breached, or when the duty was breached, whether there was exposure outside the Province, inside the Province, and such exposure need not even necessarily occur. All that matters is that an insured person contracted a tobacco related disease by virtue of exposure or presumed exposure somehow, somewhere, sometime and they were subsequently treated for that disease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manufacturers argue therefore that the Act is clearly attempting to create legal consequences for conduct outside the Province and that such aim is an inherent part of the structure of the Act, not a mere incidental effect. The Act, they allege, therefore violates constitutional principles of Canadian law and the rules of private international law and should be ruled ultra vires.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position of the Attorney General in this matter is that the Act is constitutional and intra vires of the Province and thus should be upheld. The following two broad arguments were submitted:</w:t>
      </w:r>
      <w:r>
        <w:rPr>
          <w:rFonts w:ascii="arial" w:eastAsia="arial" w:hAnsi="arial" w:cs="arial"/>
          <w:sz w:val="20"/>
          <w:lang w:val="en-US" w:eastAsia="en-US" w:bidi="ar-SA"/>
        </w:rPr>
        <w:cr/>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or "pith and substance" of the Act is the creation of a cause of action in the Government of British Columbia, permitting it to sue to recover health care costs incurred in the province as a result of breaches of duty owed to residents of British Columbia that have led to tobacco-related disease. The Act also addresses substantive rights and obligations and establishes rules of procedure and evidence governing lawsuits, against tobacco manufacturers, by individuals for damages and by the government to recover the costs of health care benefits paid; and</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comes within, or is anchored by, a combination of ss. 92(13),(14) and (16) of the Constitution Act, 1867, with particular reference to ss. 92(13) and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Counsel for the government acknowledged this Court's finding that the 1997 Act was beyond the territorial scope of the Province. It submitted however, that the instances of extraterritoriality were very distinct and centred around two central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that the Court interpreted the recovery provisions of the 1997 Act as being triggered by tobacco related wrongs committed anywhere in the world; and second, that the "enterprise liability" amendments of 1998 changed the focus of the Act to one that was, in pith and substance, extraterritorial because it could impose liability on companies simply on the basis of their corporate relationship with those companies that committed wrongs. In reaching this conclusion, the Court found that the 1997 Act imposed jurisdiction and choice of law rules that were not consistent with the constitutional standard of order and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It is the Attorney General's position that these issues have been addressed and rectified in the 2000 Act and that the territorial limits have been refined under s. 3(1)(a) so that the duty owed is one which must be owed to persons in British Columbia. Thus, it is asserted that the Act follows the principle enunciated in Moran v. Pyle National (Canada) Ltd., </w:t>
      </w:r>
      <w:hyperlink r:id="rId499"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xml:space="preserve"> at 409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a foreign defendant carelessly manufacturers a product in a foreign jurisdiction which enters into the normal channels of trade and he knows or ought to know both that as a result of his carelessness a consumer may well be injured and it is reasonably foreseeable that the product would be used or consumed where the plaintiff used or consumed it, then the forum in which the plaintiff suffered damage is entitled to exercise judicial jurisdiction over that foreign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Attorney General further submitted the more recent British Columbia Court of Appeal case Harrington v. Dow Corning Corp., </w:t>
      </w:r>
      <w:hyperlink r:id="rId500" w:history="1">
        <w:r>
          <w:rPr>
            <w:rFonts w:ascii="arial" w:eastAsia="arial" w:hAnsi="arial" w:cs="arial"/>
            <w:i/>
            <w:color w:val="0077CC"/>
            <w:sz w:val="20"/>
            <w:u w:val="single"/>
            <w:shd w:val="clear" w:color="auto" w:fill="FFFFFF"/>
            <w:lang w:val="en-US" w:eastAsia="en-US" w:bidi="ar-SA"/>
          </w:rPr>
          <w:t>[2000] B.C.J. No. 2237</w:t>
        </w:r>
      </w:hyperlink>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This decision concerned individuals who had had breast implantations done in another jurisdiction, but who had later relocated to this Province and become ill as a result of those implants. In addressing the issue of "real and substantial connection", the Court found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rule is sufficient to justify the inclusion in the resident class of all women resident in British Columbia who allege they are suffering harm from the use of silicone breast implants manufactured and put into the flow of commerce negligently by an appellant. Any manufacturer of breast implants would understand that any injury would follow the user in whom they were implanted into whatever jurisdiction the user might reside from time to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Attorney General asserts that the situation in regards to the tobacco manufacturers is largely the same. The damage caused by smoking or being exposed to tobacco products follows the injured person into the jurisdiction of British Columbia wherein the related health care costs have or will be incurred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The Attorney General further argues that it is really the 'pith and substance' of the Act which is determinative of the division of powers or constitutionality argument. The determination of the pith and substance of a statute establish its "dominant characteristic". The Attorney General cites the decision of Reference re: Upper Churchill Water Rights Reversion Act 1980 (Newfoundland), </w:t>
      </w:r>
      <w:hyperlink r:id="rId498" w:history="1">
        <w:r>
          <w:rPr>
            <w:rFonts w:ascii="arial" w:eastAsia="arial" w:hAnsi="arial" w:cs="arial"/>
            <w:i/>
            <w:color w:val="0077CC"/>
            <w:sz w:val="20"/>
            <w:u w:val="single"/>
            <w:shd w:val="clear" w:color="auto" w:fill="FFFFFF"/>
            <w:lang w:val="en-US" w:eastAsia="en-US" w:bidi="ar-SA"/>
          </w:rPr>
          <w:t>[1984] 1 S.C.R. 297</w:t>
        </w:r>
      </w:hyperlink>
      <w:r>
        <w:rPr>
          <w:rFonts w:ascii="arial" w:eastAsia="arial" w:hAnsi="arial" w:cs="arial"/>
          <w:color w:val="000000"/>
          <w:sz w:val="20"/>
          <w:lang w:val="en-US" w:eastAsia="en-US" w:bidi="ar-SA"/>
        </w:rPr>
        <w:t xml:space="preserve"> at 332 in which McIntyre J. adopted the following proposition from Ladore v. Bennett, </w:t>
      </w:r>
      <w:hyperlink r:id="rId501" w:history="1">
        <w:r>
          <w:rPr>
            <w:rFonts w:ascii="arial" w:eastAsia="arial" w:hAnsi="arial" w:cs="arial"/>
            <w:i/>
            <w:color w:val="0077CC"/>
            <w:sz w:val="20"/>
            <w:u w:val="single"/>
            <w:shd w:val="clear" w:color="auto" w:fill="FFFFFF"/>
            <w:lang w:val="en-US" w:eastAsia="en-US" w:bidi="ar-SA"/>
          </w:rPr>
          <w:t>[1939] 3 D.L.R. 1</w:t>
        </w:r>
      </w:hyperlink>
      <w:r>
        <w:rPr>
          <w:rFonts w:ascii="arial" w:eastAsia="arial" w:hAnsi="arial" w:cs="arial"/>
          <w:color w:val="000000"/>
          <w:sz w:val="20"/>
          <w:lang w:val="en-US" w:eastAsia="en-US" w:bidi="ar-SA"/>
        </w:rPr>
        <w:t xml:space="preserve"> (P.C.):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pith and substance of the provincial enactment is in relation to matters which fall within the field of provincial legislative competence, incidental or consequential effects on extra-provincial rights will not render the enactment ultra vires. Where, however, the pith and substance of the provincial enactment is the derogation from or elimination of extra-provincial rights, then, even it is cloaked in the proper constitutional form, it will be ultra vires.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Thus, the Attorney General argues, since the pith and substance of the Act is to recover health care costs accrued as the result of a breach of duty owed only to British Columbians, the Act can in no way be seen as attempting to derogate or eliminate extra-provincial rights. Any extraterritorial effect is incidental and where it exists, it can be rectified by virtue of s. 3(4) of the Act. The Attorney General notes that under this section, "any costs related to exposure that is shown not to have been caused or contributed to by the tobacco related wrong (i.e. a breach of duty owed to British Columbians) are not recoverable. Section 3(4) of the 2000 Act provides that " a defendant's liability ... may be reduced ... [if the] defendant proves, on a balance of probabilities, that the breach ... did not cause or contribute to the exposure referred to in subsection (2)(a)" - the exposure in (2)(a) being that exposure presumed to be caused by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Therefore, the Attorney General argues, any incidental extraterritorial effect is rendered nugatory by these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Further, the Attorney General submits that even if the Act's dominant characteristic is extraterritorial, it has long been held in both Canadian and American jurisprudence that a Legislature may impose liability for conduct occurring outside its borders where that conduct affects those within the territorial limits. The Attorney General submits that in P.E.I. (A.G.) v. Morgan, </w:t>
      </w:r>
      <w:hyperlink r:id="rId502" w:history="1">
        <w:r>
          <w:rPr>
            <w:rFonts w:ascii="arial" w:eastAsia="arial" w:hAnsi="arial" w:cs="arial"/>
            <w:i/>
            <w:color w:val="0077CC"/>
            <w:sz w:val="20"/>
            <w:u w:val="single"/>
            <w:shd w:val="clear" w:color="auto" w:fill="FFFFFF"/>
            <w:lang w:val="en-US" w:eastAsia="en-US" w:bidi="ar-SA"/>
          </w:rPr>
          <w:t>[1976] 2 S.C.R. 349</w:t>
        </w:r>
      </w:hyperlink>
      <w:r>
        <w:rPr>
          <w:rFonts w:ascii="arial" w:eastAsia="arial" w:hAnsi="arial" w:cs="arial"/>
          <w:color w:val="000000"/>
          <w:sz w:val="20"/>
          <w:lang w:val="en-US" w:eastAsia="en-US" w:bidi="ar-SA"/>
        </w:rPr>
        <w:t>, the Supreme Court of Canada upheld the constitutional validity of Provincial legislation even where the impugned statute applied solely to non-residents of the enacting Province. It is submitted that this principle is widely recognized in the U.S., demonstrated by the decisions of United States v. Aluminum Co. of America 148 F.2d 416 (2d Circ. 1945) and in Laker Airways v. Sabena, Belgian World Airlines 731 F.2d 909 (D.C. Circ.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United States v. Aluminum Co. of America, supra, a monopoly of foreign corporations had affected the prices of imports and exports of aluminium and the Court approved a government initiative to curtail the activity. In addressing the propriety of such action, Learned Hand J. stated at page 443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settled law ... that any state may impose liabilities, even upon persons not within its allegiance, for conduct outside its borders that has consequences within its borders which the state reprehends; and these liabilities other states will ordinarily recognize...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Laker Airways decision, supra, addressed anti-trust legislation being utilized in an alleged conspiracy case. The Court held that what behaviour a legislature could properly regulate within its borders, it could also attach consequences to such behaviour outside its borders but which had affect within the jurisdiction. At p. 922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long been settled law that a country can regulate conduct occurring outside its territory which causes harmful results within its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Further, at page 923, the Court confirmed that civil legislation could be applied to offshore conspiracies such as in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[L]egislation to protect domestic economic interests can legitimately reach conduct occurring outside the legislating territory intending to damage the protected interests within the territory. As long as the territorial effects are not so inconsequential as to exceed the bounds of reasonableness imposed by international law, prescriptive jurisdiction is legitimately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Thus, the Attorney General argues that these two cases and Moran v. Pyle, supra, support the Legislature's ability and inherent power to enact legislation such as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With respect to the issue of locus of cause of action, the Attorney General submits that the manufacturers have in essence confused the location of the actor with the location of the legal wrong. It is argued that the locus of the manufacturer(s) is largely irrelevant to the Act, but has been made the focus of the argument against it. The Attorney General questioned itself as to whether the Act imposes "choice of law rules on the "foreign defendants" for the wrongs attributed to them that are in conflict with the order and fairness standard formulated by the Supreme Court of Canada in Morguard v. De Savoye, Hunt v. T&amp;N plc., </w:t>
      </w:r>
      <w:hyperlink r:id="rId503" w:history="1">
        <w:r>
          <w:rPr>
            <w:rFonts w:ascii="arial" w:eastAsia="arial" w:hAnsi="arial" w:cs="arial"/>
            <w:i/>
            <w:color w:val="0077CC"/>
            <w:sz w:val="20"/>
            <w:u w:val="single"/>
            <w:shd w:val="clear" w:color="auto" w:fill="FFFFFF"/>
            <w:lang w:val="en-US" w:eastAsia="en-US" w:bidi="ar-SA"/>
          </w:rPr>
          <w:t>[1990] 3 S.C.R. 1077</w:t>
        </w:r>
      </w:hyperlink>
      <w:r>
        <w:rPr>
          <w:rFonts w:ascii="arial" w:eastAsia="arial" w:hAnsi="arial" w:cs="arial"/>
          <w:color w:val="000000"/>
          <w:sz w:val="20"/>
          <w:lang w:val="en-US" w:eastAsia="en-US" w:bidi="ar-SA"/>
        </w:rPr>
        <w:t>] and Tolofson v. Jensen". The response was threefold.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First, the Attorney General asserted that the Act does not impose either choice of law rules or jurisdiction on the foreign defendants as the Act is silent on both those issues. Therefore, any determination of those issues must be resolved by virtue of the real and substantial connection requirement and applicable choice of law rule in the context of any action brought under the Act. The Harrington v. Dow Corning Corp., decision, supra was referenced at paragraph 85 for the proposition that even where legislation provides for extraterritorial operation, it will be limited in its application to those situations where the reach is constitutionally permissible. Muscutt et al. v. Courcelles et al., </w:t>
      </w:r>
      <w:hyperlink r:id="rId504" w:history="1">
        <w:r>
          <w:rPr>
            <w:rFonts w:ascii="arial" w:eastAsia="arial" w:hAnsi="arial" w:cs="arial"/>
            <w:i/>
            <w:color w:val="0077CC"/>
            <w:sz w:val="20"/>
            <w:u w:val="single"/>
            <w:shd w:val="clear" w:color="auto" w:fill="FFFFFF"/>
            <w:lang w:val="en-US" w:eastAsia="en-US" w:bidi="ar-SA"/>
          </w:rPr>
          <w:t>(2002), 213 D.L.R. (4th) 577</w:t>
        </w:r>
      </w:hyperlink>
      <w:r>
        <w:rPr>
          <w:rFonts w:ascii="arial" w:eastAsia="arial" w:hAnsi="arial" w:cs="arial"/>
          <w:color w:val="000000"/>
          <w:sz w:val="20"/>
          <w:lang w:val="en-US" w:eastAsia="en-US" w:bidi="ar-SA"/>
        </w:rPr>
        <w:t xml:space="preserve"> (Ont. C.A.) at paragraph 49 was also referenced for the proposition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[from Morguard and Hunt] that provincial rules of court allowing for service out of the jurisdiction ... must now be read in the light of the constitutional principles of "order and fairness" and "real and substantial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Second, the Attorney General asserted that the mere fact that the Statement of Claim joins a number of foreign defendants in an action to be held in the British Columbia Supreme Court in accordance with the provisions of the Act, does not mean that the Act speaks to jurisdiction or choice of law. The Attorney General argued that these issues hinge on the establishment of a real and substantial connection, which the government has shown is the intent through its response to the manufacturers' challenge of service ex juris. The response is based solely on the relevant provisions of Rule 13 of the Rules of Court, not the Act itself. The Attorney General further reminded the Court that it should not be tempted to read such an implicit intention into the Act due to the presumption of constitutionality. The presumption of constitutionality requires that, "where a law is open to both a narrow and a broad interpretation, and under the broad interpretation the law's application would extend beyond the powers of the enacting legislative body, the Court should "read down" the law so as to confine it to those applications that are within the power of the enacting legislative body." (Hogg, Constitutional Law of Canada, 4th ed. (Toronto: Carswell, 1997) at p. 397).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Third, the Attorney General asserted that even if the Act could be read as dictating jurisdiction and choice of law, it would not be of significance as the Act meets the required tests of real and substantial connection and order and fairness. The Attorney General rebuffed the accusation of the manufacturers that the Act violates the lex loci delecti rules established in Tolofson v. Jensen, supra by arguing that Tolofson is not applicable to the case at bar and that even if it were, the law of British Columbia would be 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Tolofson does not apply, argued the Attorney General, because the cause of action conferred on the government by the Act is not an action in tort. It was explained that there are four distinct elements to the cause of action:</w:t>
      </w:r>
      <w:r>
        <w:rPr>
          <w:rFonts w:ascii="arial" w:eastAsia="arial" w:hAnsi="arial" w:cs="arial"/>
          <w:sz w:val="20"/>
          <w:lang w:val="en-US" w:eastAsia="en-US" w:bidi="ar-SA"/>
        </w:rPr>
        <w:cr/>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tobacco related wrong - defined as a breach of duty owed to persons in British Columbia - in relation to a particular type of tobacco product;</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offering for sale of that type of product in British Columbia;</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Tobacco related diseases suffered by British Columbia residents who qualify for provincial health care benefits; and</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expenditure by the Government of British Columbia of funds to provide those benefits in respect of the treatment of those diseases.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While the cause of action does bear a resemblance to a traditional tort action, it in fact differs in a number of important respects, the most obvious being that the duty of care owed is owed to third parties rather than the plaintiff government. However, the pecuniary loss claimed is loss resulting to the plaintiff, not those to whom the duty is owed. The major difference is that it is not necessary for the government to establish all the elements of a tort in order for it to be found that a tobacco related wrong had occurred. For that reason, it is asserted that Tolofson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Attorney General contends that the proper law to be applied to the Act is the law of British Columbia. All four elements of the cause of action are either confined to or very closely connected to British Columbia, and in particular the duties alleged to have been breached were owed to British Columbians and the harm for which the government is seeking compensation was suffered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the event that the Court was to find that Tolofson would be applicable in these circumstances, the Attorney General argues that the rule must be properly applied. It is submitted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in Tolofson v. Jensen is not, as the Manufacturers suggest, concerned with where the allegedly wrongful </w:t>
      </w:r>
      <w:r>
        <w:rPr>
          <w:rFonts w:ascii="arial" w:eastAsia="arial" w:hAnsi="arial" w:cs="arial"/>
          <w:b/>
          <w:color w:val="000000"/>
          <w:sz w:val="20"/>
          <w:lang w:val="en-US" w:eastAsia="en-US" w:bidi="ar-SA"/>
        </w:rPr>
        <w:t>conduct</w:t>
      </w:r>
      <w:r>
        <w:rPr>
          <w:rFonts w:ascii="arial" w:eastAsia="arial" w:hAnsi="arial" w:cs="arial"/>
          <w:color w:val="000000"/>
          <w:sz w:val="20"/>
          <w:lang w:val="en-US" w:eastAsia="en-US" w:bidi="ar-SA"/>
        </w:rPr>
        <w:t xml:space="preserve"> on the part of the defendant occurred, but rather with where the alleged </w:t>
      </w:r>
      <w:r>
        <w:rPr>
          <w:rFonts w:ascii="arial" w:eastAsia="arial" w:hAnsi="arial" w:cs="arial"/>
          <w:b/>
          <w:color w:val="000000"/>
          <w:sz w:val="20"/>
          <w:lang w:val="en-US" w:eastAsia="en-US" w:bidi="ar-SA"/>
        </w:rPr>
        <w:t>wrong</w:t>
      </w:r>
      <w:r>
        <w:rPr>
          <w:rFonts w:ascii="arial" w:eastAsia="arial" w:hAnsi="arial" w:cs="arial"/>
          <w:color w:val="000000"/>
          <w:sz w:val="20"/>
          <w:lang w:val="en-US" w:eastAsia="en-US" w:bidi="ar-SA"/>
        </w:rPr>
        <w:t xml:space="preserve"> occurred, which necessitates including a consideration of where the consequences of that wrongful conduct were felt. That there is a distinction between where the conduct occurred and where the wrong occurred is apparent from the language used by La Forest J. in his reasons for judgment. After setting out the rule... he says: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situations, of course, notably where an act occurs in one place </w:t>
      </w:r>
      <w:r>
        <w:rPr>
          <w:rFonts w:ascii="arial" w:eastAsia="arial" w:hAnsi="arial" w:cs="arial"/>
          <w:color w:val="000000"/>
          <w:sz w:val="20"/>
          <w:u w:val="single"/>
          <w:lang w:val="en-US" w:eastAsia="en-US" w:bidi="ar-SA"/>
        </w:rPr>
        <w:t>but the consequences are directly felt elsewhere</w:t>
      </w:r>
      <w:r>
        <w:rPr>
          <w:rFonts w:ascii="arial" w:eastAsia="arial" w:hAnsi="arial" w:cs="arial"/>
          <w:color w:val="000000"/>
          <w:sz w:val="20"/>
          <w:lang w:val="en-US" w:eastAsia="en-US" w:bidi="ar-SA"/>
        </w:rPr>
        <w:t>, when the issue of where the tort takes place itself raises thorny issues."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(Outline of argument at 137-38)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Attorney General submits that properly, Moran v. Pyle, supra, is the decision that should govern this case. This is so because "firstly, like the light bulb in Moran v. Pyle, the cigarettes and other tobacco products manufactured by the Manufacturers have entered and continue to enter "into the normal channels of trade"; and secondly, like the defendant in Moran v. Pyle, the Manufacturers have known or ought to have known, and know or ought to know, both: i) that as a result of [their] carelessness [or other wrongful act or omission] a consumer may well be injured; and ii) that "it is reasonably foreseeable that the product would be used or consumed where the [insured persons] used or consumed it"". (Outline of argument at p. 139).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Attorney General further asserts that not only is the principle in Moran v. Pyle, supra, applicable to the situation at hand, but so too is the rationale for it given by Dickson J., wherein he stated at p. 409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tendering his products in the market place directly or through normal distributive channels, a manufacturer ought to assume the burden of defending those products wherever they cause harm as long as the forum into which the manufacturer is taken is one that he reasonably ought to have had in his contemplation when he so tendered his goods.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rule recognizes the important interest a state has in injuries suffered by persons within its territory. It recognizes that the purpose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tort is to protect against carelessly inflicted injury and thus that the predominating element is damage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the Attorney General argues that Dickson J. rejected the "place of acting" theory for determining the situs of a tort, as identified in p. 404-405 of Moran v. Pyle: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myself, I have great difficulty in believing that a careless act of manufacture is anything more than a careless act of manufacture. A plaintiff does not sue because somebody has manufactured something carelessly. He sues because he has been hurt. The duty owed is a duty not to injure. As Pollock [On Torts, 2d ed., p. 14], has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Our law of torts, with all its irregularities, has for its main purpose nothing else than the development of the precept -alterum non laedere-"Thou shalt do no hurt to thy neighbour."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truth to which Atkin, L.J. gave judicial expression in Donoghue v. Stevenson [[1932] A.C. 562]. The same thought is found in Salmond [On Torts], 15th ed. (1969), p. 10: "A tort is a species of civil injury or wrong" and in Fleming 4th ed. (1971), p. 1: "Tort liability exists ... primarily to compensate the person injured."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essence of a tort is the injury or wrong, a paramount factor in determining situs must be the place of the invasion of one's right to bodily security. In a Donoghue v. Stevenson case, can carelessness in manufacture be separated from resulting injury? The jurisdictional act can well be regarded, in an appropriate case, as the infliction of injury and not the fault in manufacture. Pyle is being sued because Moran suffered harm, not because some unidentified employee of Pyle's was allegedly careless.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The Attorney General notes that the core of its case against the manufacturers is a products liability claim. The manufacturers produced tobacco products which were sold in British Columbia, they failed to warn people of the risks associated with those products and as a result of their failure to warn, people continued to use those products and suffered a tobacco related disease. As in Moran v. Pyle, supra,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foreign manufacturer, whose products are manufactured in one jurisdiction but sold in another, and cause harm there, is deemed in law to have occurred in the latter jurisdiction." Therefore, it is submitted that British Columbia law is the only applicable law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find the manufacturers' position that the 2000 Act is constitutionally flawed by virtue of extraterritorial scope is one of merit. The structure of the 2000 Act has the prima facia appearance of being intra vires the power of the Province, however close analysis substantially undermines that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do not find the basic purpose and effect of the 2000 Act, its pith and substance in constitutional terms, has varied essentially from the predecessor 1997 Act. The Province seeks to recover from the tobacco industry nationally and internationally the tobacco related health care costs it has expended.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As with the interpretation of the 1997 Act, to discern the purpose of the enactment of the 2000 Act I have looked to the history of the legislation and the assistance offered by the pleadings of the parties in the statutory cause of action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Nine of fourteen defendants are foreign. Only three of the nine foreign defendants are alleged to have directly "engaged ... in the manufacture and promotion of cigarettes sold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foreign defendants are described as members of "foreign multinational tobacco enterprises" which are engaged "in the manufacture and promotion of cigarettes sold in B.C. and throughout the world". There is reference to the Tobacco Industry Internationally in Part VI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Province has abandoned its pursuit of some defendants joined in the prior action whose liability rested upon theories of "enterprise" and "financial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recast legislation of the 2000 Act must however stand separate scrutiny as to whether it has an impermissible although different extraterritorial reach than the predecessor 1997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main issue with this section of the Act is the use of the term "exposure". The exposure which forms part of the basis for the overall action, has, as suggested by the manufacturers, no locus attached to it. Exposure is a highly important part of the logical chain of action for this wrong. Without exposure to tobacco products there can be no basis for a tobacco related disease. Without the existence of a tobacco related disease, there can be no costs incurred for health care. With no health care costs incurred for tobacco related disease, there is no reason for the government to become involved in an aggregate action against the manufacturers. Therefore, exposure is an essential element to the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 reasonable reading of the Act allows a person to be "exposed" to a tobacco product in another Province or another country; contract a tobacco related disease in that other Province or country as a result; and indeed receive treatment for that disease in another Province or country. That disease resulting from the exposure might then be transported to B.C. either by a resident or former resident returning, or by a new immigrant to the Province, with treatment continuing or commencing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Although the statutory cause of action created is not properly a "tort" as argued by the Attorney General, certain rules of procedure must be considered in deciding the issue of extraterritoriality. There must be sufficient ties between an act, the parties, any harm suffered and the jurisdiction in which the action is brought in order to properly satisfy the boundaries of international law and custom. The lex loci delicti, or the place of injury, is one of the more prevalent considerations in a review of jurisdiction or choice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An issue of interpretation of the Act in these circumstances then is what is the "delecti"? Does the injury or tobacco related disease for which health care benefits are bestowed begin with exposure? Disease is linked to exposure and thus integral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Exposure may be likened to the impact between two vehicles in a motor vehicle accident. The impact (or exposure) causes the injury. The result is, for example, a broken leg (or a tobacco related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Tolofson v. Jensen, supra, the application of the lex loci was proffered by the Supreme Court of Canada as an appropriate choice of law rule. [La Forest J. paragraph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Although I accept that the cause of action created is not properly a "tort" as known before in British Columbia, it is nonetheless a "wrong" and as such there is a similarity of elements. If exposure is a key factor to the wrong, then the requirement for the place of exposure must also be considered. The legislature has refined the Act so that the alleged duty breached, is one that is owed to persons in British Columbia. Therefore, the damage resulting is properly a matter of a local or private nature and a matter in relation to property and civil rights in the Province [S. 92(16) and (13), Constitution Act]. This assertion is however not totally correct. The only definitive ties to the Province are that the costs associated with a tobacco related disease are incurred by the British Columbia government and that the duty upon which the claim for recompense is based is a duty that is owed to persons in British Columbia. The root of the harm, the exposure, could theoretically occur anywhere in the world given the construction of the Act. Further, the actual disease could be caused, occur and manifest itself in places other than British Columbia. Treatment might occur in places other than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response to this, the Attorney General cites the position of Dickson J. in Moran v. Pyle, supra at p. 409 wherein he stated: "... a manufacturer ought to assume the burden of defending those products wherever they cause harm as long as the forum into which the manufacturer is taken is one that he reasonably ought to have had in his contemplation when he so tendered his goods. This is particularly true of dangerously defective goods placed in the interprovincial flow of commerce".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Moran v. Pyle the tort was not complete until the product of negligent manufacture caused injury and damage. The completed tort gave rise to a jurisdiction. Under the 2000 Act injury and damage may occur anywhere in the world. The recovery of health care costs incurred in British Columbia may only be incidental to a completed tort or wrong occurring in another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As it is not clear that the "injury" being suffered within the contemplation of the Act is one that is occurring within the territory of the Province, it has the attributes of an economic injury. It has features of an economic injury to the Province caused by a physical injury to individuals resulting from exposure to tobacco products. There is a ripple down effect, not unlike the theory behind pure economic loss. I do not accept however the 2000 Act was intended to impose liability on that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If the route of manufacturers' liability is undertaken as suggested by the Attorney General under the Moran v. Pyle decision, supra, then the question of reasonable forum contemplation must be considered. Certainly for those manufacturers who produce and sell tobacco products directly in or to British Columbia, it is reasonable to assert that liability for harm would be dealt with in this Province. However, the same logic may not hold true for those manufacturers who sell or distribute tobacco products in other parts of the world. As La Forest J. clearly stated in Tolofson v. Jensen, supra, this is fast becoming a world of easy travel. Therefore, an individual could potentially be exposed to a tobacco product in another part of the world, even develop a tobacco related disease in another part of the world and then come to British Columbia and incur health care costs in further aid of that disease here. In response to such a proposition, the Attorney General argued that such individuals would be "weeded out" of the claim both on an overall statistical basis and if need be on a more scrupulous level. Further, it was argued that consideration of this issue is premature until the actual evidence upon which the claim is based is produced. I am inclined in part to agree. In the absence of the evidence, there is no means by which the Court can assess consideration of the effect of immigration to the Province of exposed persons. This does not however, diminish the Court's duty to consider the effects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If the extraterritorial effect, or component of the Act was minor or an occasional incidental feature, it need not be considered a constitutional bar. I am of the view however that the effect under the 2000 Act cannot be treated as minor or of occasional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agree with counsel for the manufacturers that I may take judicial notice that British Columbia has over the time covered by the Province's claim, had a large immigrant increase to the population coming from many parts of the world. There has also been substantial migration amongst residents of the Canadian provinces. I conclude the potential number of persons whose claims could be impermissibly brought within the jurisdictional reach of the Province and its statutory claim by the provisions of the 2000 Act must be considered as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If exposure were confined to British Columbia, then the lex loci would be more closely tied to this jurisdiction. Such a limitation would prove expedient in both the present and the future, especially given the structure of Canada. Mobility between provinces has a significant potential impact on claims made. It is beyond occasional that an individual could be exposed, develop a tobacco related disease and receive some treatment for that disease in another Province. Then such individual could come to British Columbia and receive further treatment in aid of the disease. If both Provinces have competing legislation and sue for the costs to treat that individual, it would be difficult to determine who has jurisdiction over such an individual. The same argument could be extended outside the Country. These conflicts are likely to occur and must be considered by the Court regardless of whether evidence is presented at this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Unconfined "exposure" gives the cause of action an extraterritorial component. This component is not incidental or inconsequential. It is an essential element to the wrong. Without exposure, there is no cause for the tobacco related disease. Without causation, there is nothing to tie the injury for which the costs were incurred to the tobacco manufacturers. Exposure is the common link. Even in this unusual form of action, there must be a common link upon which to base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my view this is different than the Harrington v. Dow, supra situation argued by the Attorney General. There, the Court allowed an individual to sue in a specific jurisdiction for injury originating in another Province. The difference is that the individual can only sue the company once. There was no potential that the individuals involved could go to another jurisdiction and sue Dow for a second time for the same injury. The same does not hold true in these circumstances. The individual is not suing in these cases, and different governments could attempt to sue for injuries resulting from the same exposure. Given the lack of identifying information, there would be little if no possible way to account for such persons. To allow this would disrupt the stability and finality of issues sought by our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conclude the 2000 Act in respect of the aggregate cause of action of the Province is in pith and substance extraterritorial in its purpose and effect. It is legislation beyond the competence of the Province under the Constitution Act 1867 and the Statute of Westminster 193l.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CONSTITUTIONAL INVALIDITY, SEVERANCE OR READING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have found the dominant purpose of the 2000 Act is essentially unchanged from the 1997 Act. The pith and substance of the 2000 Act continues to be the pursuit nationally and internationally of the tobacco industry for the health care costs the government has incurred on behalf of persons who suffer a tobacco related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extraterritorial reach of the Act again exceeds the Province's constitutional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have considered whether the offending wording could be easily severed or read down as would be required for it to be intra vires and still conform to the original legislative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problem does not lend itself to severance. At best perhaps some form of reading down to impose a territorial limitation on acts and conduct to confine the effect of the Act to a true Moran v. Pyle, supra, type of liability would be required. The heart of the Act is the unique statutory cause of action permitting the Province, as a third party, to recoup the substantial health costs it has incurred in care and treatment of tobacco related disease and illness from the broad spectrum of the global tobacco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I do not find the interpretation of the extra territorial reach of the Act occurs coincident with two equally plausible interpretations, one that is within the constitutional jurisdictional boundaries and another without. To engage in reading down would result in a marked departure from the broad circumstances the Act purports to encompass in allowing recovery by way of an aggregate action and in my view "...a strong inference arises that it is invalid as a whole". [Osborne v. Canada (Treasury Board), </w:t>
      </w:r>
      <w:r>
        <w:rPr>
          <w:rFonts w:ascii="arial" w:eastAsia="arial" w:hAnsi="arial" w:cs="arial"/>
          <w:i/>
          <w:color w:val="000000"/>
          <w:sz w:val="20"/>
          <w:lang w:val="en-US" w:eastAsia="en-US" w:bidi="ar-SA"/>
        </w:rPr>
        <w:t>[1991] 2 S.C.R. 69</w:t>
      </w:r>
      <w:r>
        <w:rPr>
          <w:rFonts w:ascii="arial" w:eastAsia="arial" w:hAnsi="arial" w:cs="arial"/>
          <w:color w:val="000000"/>
          <w:sz w:val="20"/>
          <w:lang w:val="en-US" w:eastAsia="en-US" w:bidi="ar-SA"/>
        </w:rPr>
        <w:t>; p. 103-105].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The case of A.G. for Alberta v. A.G. for Canada </w:t>
      </w:r>
      <w:hyperlink r:id="rId505" w:history="1">
        <w:r>
          <w:rPr>
            <w:rFonts w:ascii="arial" w:eastAsia="arial" w:hAnsi="arial" w:cs="arial"/>
            <w:i/>
            <w:color w:val="0077CC"/>
            <w:sz w:val="20"/>
            <w:u w:val="single"/>
            <w:shd w:val="clear" w:color="auto" w:fill="FFFFFF"/>
            <w:lang w:val="en-US" w:eastAsia="en-US" w:bidi="ar-SA"/>
          </w:rPr>
          <w:t>[1947] 4 D.L.R. 1</w:t>
        </w:r>
      </w:hyperlink>
      <w:r>
        <w:rPr>
          <w:rFonts w:ascii="arial" w:eastAsia="arial" w:hAnsi="arial" w:cs="arial"/>
          <w:color w:val="000000"/>
          <w:sz w:val="20"/>
          <w:lang w:val="en-US" w:eastAsia="en-US" w:bidi="ar-SA"/>
        </w:rPr>
        <w:t xml:space="preserve"> at 11 mandates the Court if it is to read down portions of a statute must be satisfied the "...legislature would have enacted what survives without enacting the part that is ultra vires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do not have that confidence. The history of the legislation indicates the emphasis is upon regaining health care costs paid that related to tobacco illness or disease and not a concern with jurisdictional boundaries that might circumscribe that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Province seeks to create a new and unique action to effect extraordinarily large monetary recovery, retroactively over fifty years, from several national and international companies all within a singular industry. The limits to the legislation permitting that action should be clearly scrutinized and carefully interpreted. The Court should not in the guise of severance or reading down engage in crafting a legislative approach that is presumably designed to maximize recovery. I conclude that severance or reading down would engage the Court in legislative redrafting.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find on the basis of the extraterritorial reach of the Act the plaintiff manufacturers are entitled to the declaration they seek. The Act is inconsistent with the provisions of the Constitution Act of Canada as ultra vires the competence of the British Columbia Legislature. The defendants' applications under Rules 14(6) and 19(24)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Supreme Court of B.C., Vancouver Action #S010421, Her Majesty the Queen v. Imperial Tobacco et al which is founded upon the statutory aggregate cause of action in the Act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Having found the Act unconstitutional, I grant the ex juris defendants' Rule 13 (10) and 14(6) applications to se aside service ex juris without considering or ruling upon any ground for those applications that would arise if the Act were 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June 13,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The Reasons for Judgment in these matters dated June 5, 2003 are hereby amended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With apology, the name "G. Kay", p. 3, counsel for JTI-Macdonal Corp., et al., is corrected to read J.J. 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July 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The Reasons for Judgment in these matters dated June 5, 2003 are hereby amended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Paragraph [255] is hereby retracted and replaced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[255] Having found the Act unconstitutional, I grant the ex juris defendants' Rule 13 (10) and 14(6) applications to se aside service ex juris without considering or ruling upon any ground for those applications that would arise if the Act were 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In all other respects the judgment is affirmed.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2"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Canada Trust Company v. Renard, [2007] B.C.J. No. 798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29 and March 27 - 28,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H981018 and C984908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798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523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2 W.W.R. 279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B.C.L.R. (4th) 305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C.P.C. (6th) 211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55 R.P.R. (4th) 104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588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812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Canada Trust Company, Plaintiff, and Regis Eugene Renard and Velma Elaine Renard, Defendants, and Andre Glockl, Defendant by Counterclaim (Registry No. H981018) And between The Canada Trust Company, Plaintiff, and Regis Eugene Renard and Velma Elaine Renard, Defendants (Registry No. C984908)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3"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7" w:name="Keywords_27"/>
      <w:bookmarkEnd w:id="177"/>
      <w:r>
        <w:rPr>
          <w:rFonts w:ascii="arial" w:eastAsia="arial" w:hAnsi="arial" w:cs="arial"/>
          <w:b/>
          <w:color w:val="000000"/>
          <w:sz w:val="20"/>
          <w:lang w:val="en-US" w:eastAsia="en-US" w:bidi="ar-SA"/>
        </w:rPr>
        <w:t>Civil procedure — Trials — Re-opening hearing — Additional evidence after hearing — Application by Renard for an order that the trial be reopened to admit new evidence dismissed — Trial was not reopened as to do so would have amounted to an abuse of process and an improper prolonging of the litigation.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8" w:name="Case Summary_22"/>
            <w:bookmarkEnd w:id="17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Renard for an order that the trial be reopened to admit new evidence -- Canada Trust Company brought the initial claim pursuant to a promissory note as well as an Order Nisi of foreclosure relating to a mortgage -- Renard counterclaimed on the basis of misrepresentation and fraud -- After a 36 day trial, the counterclaim was dismissed, judgment was granted under the Promissory Note, an Order Nisi of foreclosure was granted, and an Order was made for an assessment to establish the balance owing -- Renard produced an affidavit of a witness as new evidence -- HELD: Application dismissed -- Trial was not reopened as to do so would have amounted to an abuse of process and an improper prolonging of the litigation -- Renard did not establish that a miscarriage of justice would occur if the trial was not reopened and that the evidence or arguments they wished to present would probably change the result of the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Legislation Cited_22"/>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4"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1(5), Rule 26(6), Rule 40(7), Rule 57, Rule 57(13.1)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0" w:name="Counsel_28"/>
      <w:bookmarkEnd w:id="1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K.W. Wellburn.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P. Jaffe.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by Counterclaim: A.G. Sandilands.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1" w:name="Judgment_28"/>
      <w:bookmarkEnd w:id="181"/>
      <w:r>
        <w:pict>
          <v:line id="_x0000_s1166"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2" w:name="BURNYEAT J."/>
            <w:bookmarkEnd w:id="182"/>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Applying pursuant to Rules 1(5) and 40(7) of the  and the inherent jurisdiction of the Court, the Defendants apply for: (a) an order that the Trial of this matter be reopened to admit new evidence and to permit reconsideration of certain findings of fact set out in the Judgment of October 31, 2006 which the Defendants submit constitute errors; and (b) for an order that the Judgment or the enforcement of the Judgment pronounced October 31, 2006 be stayed pending the outcome of the reopening of the Trial. The new evidence is set out in an affidavit sworn by Richard Strom who describes himself as a "Businessman". The Defendants also ask for an award of costs pursuant to Rule 57 of the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After hearing submissions, I was of the view that I would be assisted in dealing with the application of the Defendants if Mr. Strom attended before the Court to be cross-examined on his Affidavit. Accordingly, an Order was made </w:t>
      </w:r>
      <w:r>
        <w:rPr>
          <w:rFonts w:ascii="arial" w:eastAsia="arial" w:hAnsi="arial" w:cs="arial"/>
          <w:i/>
          <w:color w:val="000000"/>
          <w:sz w:val="20"/>
          <w:lang w:val="en-US" w:eastAsia="en-US" w:bidi="ar-SA"/>
        </w:rPr>
        <w:t>ex mero motu</w:t>
      </w:r>
      <w:r>
        <w:rPr>
          <w:rFonts w:ascii="arial" w:eastAsia="arial" w:hAnsi="arial" w:cs="arial"/>
          <w:color w:val="000000"/>
          <w:sz w:val="20"/>
          <w:lang w:val="en-US" w:eastAsia="en-US" w:bidi="ar-SA"/>
        </w:rPr>
        <w:t xml:space="preserve"> pursuant to Rule 26(6)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that Richard Strom be cross-examined regarding the contents of his January 9, 2007 Affidavit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applied for judgment pursuant to a June 24, 1996 promissory note ("Promissory Note") as well as an Order Nisi of foreclosure relating to a June 28, 1996 mortgage ("Mortgage"). The claims on the Promissory Note and the Mortgage were defended on the bases that the Defendant by Counterclaim, Andre Glockl, made certain representations regarding an investment contemplated by the Defendants ("Investment") and that the Defendants, relying on those representations, borrowed funds from the Plaintiff for the Investment at a time when Mr. Glockl knew that the Defendants intended to rely on the representations and that the representations were made negligently or, in the alternative, fraudulently. The Defendants also defended on the basis that Mr. Glockl as the agent and representative of the Plaintiff required the payment to him personally of the sum of $5,000.00 and provision to him personally of a $110,000.00 (U.S. funds) promissory note as a condition of the approval of the loan transaction such that the amounts claimed by the Plaintiff amounted to an unenforceable transaction. In their Counterclaim, the Defendants (Plaintiffs by Counterclaim) stated that Mr. Glockl as the Defendant by Counterclaim by reason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or fraud, caused the Defendants (the Plaintiffs by Counterclaim) damages and that the Plaintiff was vicariously liable to the Defendants (the Plaintiffs by Counterclaim) as a result of the actions of Mr. Glockl.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a 36 day Trial, the Counterclaim was dismissed, judgment was granted under the Promissory Note, an Order Nisi of foreclosure was granted, and an Order was made that there be an assessment before the Registrar to establish the balance owing under the Mortgage and the Promissory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APPLICABLE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Order flowing from the October 31, 2006 Reasons for Judgment has not, as yet, been entered. Accordingly, the doctrine of </w:t>
      </w:r>
      <w:r>
        <w:rPr>
          <w:rFonts w:ascii="arial" w:eastAsia="arial" w:hAnsi="arial" w:cs="arial"/>
          <w:i/>
          <w:color w:val="000000"/>
          <w:sz w:val="20"/>
          <w:lang w:val="en-US" w:eastAsia="en-US" w:bidi="ar-SA"/>
        </w:rPr>
        <w:t>functus officio</w:t>
      </w:r>
      <w:r>
        <w:rPr>
          <w:rFonts w:ascii="arial" w:eastAsia="arial" w:hAnsi="arial" w:cs="arial"/>
          <w:color w:val="000000"/>
          <w:sz w:val="20"/>
          <w:lang w:val="en-US" w:eastAsia="en-US" w:bidi="ar-SA"/>
        </w:rPr>
        <w:t xml:space="preserve"> does not apply. Regarding the discretion available to a Judge in these circumstances, Macdonald J.A. in </w:t>
      </w:r>
      <w:r>
        <w:rPr>
          <w:rFonts w:ascii="arial" w:eastAsia="arial" w:hAnsi="arial" w:cs="arial"/>
          <w:b/>
          <w:i/>
          <w:color w:val="000000"/>
          <w:sz w:val="20"/>
          <w:lang w:val="en-US" w:eastAsia="en-US" w:bidi="ar-SA"/>
        </w:rPr>
        <w:t>Clayton et al v. British American Securities Limited et al</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[1934] 3 W.W.R. 257</w:t>
        </w:r>
      </w:hyperlink>
      <w:r>
        <w:rPr>
          <w:rFonts w:ascii="arial" w:eastAsia="arial" w:hAnsi="arial" w:cs="arial"/>
          <w:color w:val="000000"/>
          <w:sz w:val="20"/>
          <w:lang w:val="en-US" w:eastAsia="en-US" w:bidi="ar-SA"/>
        </w:rPr>
        <w:t xml:space="preserve"> (B.C.C.A.),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 think, a salutary rule to leave unfettered discretion to the trial Judge. He would of course discourage unwarranted attempts to bring forward new evidence available at the trial to disturb the basis of a judgment delivered or to permit a litigant after discovering the effect of a judgment to reestablish a broken-down case with the aid of further proof. If the power is not exercised sparingly and with the greatest care fraud and abuse of the Court's processes would likely result. Without that power however injustice might occur. If, e.g., a document should be discovered after pronouncement of judgment but before entry showing that the judgment was wrong and the trial Judge was convinced of its authenticity no lack of diligence by solicitor in producing it earlier should serve to perpetuate an injustice. (at p. 295)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Sykes v. Sykes</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(1995), 6 B.C.L.R. (3d) 296</w:t>
        </w:r>
      </w:hyperlink>
      <w:r>
        <w:rPr>
          <w:rFonts w:ascii="arial" w:eastAsia="arial" w:hAnsi="arial" w:cs="arial"/>
          <w:color w:val="000000"/>
          <w:sz w:val="20"/>
          <w:lang w:val="en-US" w:eastAsia="en-US" w:bidi="ar-SA"/>
        </w:rPr>
        <w:t xml:space="preserve"> (B.C.C.A.), Wood J.A. stated that the quotation from the judgment of Macdonald J.A. in </w:t>
      </w:r>
      <w:r>
        <w:rPr>
          <w:rFonts w:ascii="arial" w:eastAsia="arial" w:hAnsi="arial" w:cs="arial"/>
          <w:b/>
          <w:i/>
          <w:color w:val="000000"/>
          <w:sz w:val="20"/>
          <w:lang w:val="en-US" w:eastAsia="en-US" w:bidi="ar-SA"/>
        </w:rPr>
        <w:t>Clayton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still represents the law in this Province ...." (at para. 9). In </w:t>
      </w:r>
      <w:r>
        <w:rPr>
          <w:rFonts w:ascii="arial" w:eastAsia="arial" w:hAnsi="arial" w:cs="arial"/>
          <w:b/>
          <w:i/>
          <w:color w:val="000000"/>
          <w:sz w:val="20"/>
          <w:lang w:val="en-US" w:eastAsia="en-US" w:bidi="ar-SA"/>
        </w:rPr>
        <w:t>Coughlin v. Kuntz</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(1997), 43 B.C.L.R. (3d) 360</w:t>
        </w:r>
      </w:hyperlink>
      <w:r>
        <w:rPr>
          <w:rFonts w:ascii="arial" w:eastAsia="arial" w:hAnsi="arial" w:cs="arial"/>
          <w:color w:val="000000"/>
          <w:sz w:val="20"/>
          <w:lang w:val="en-US" w:eastAsia="en-US" w:bidi="ar-SA"/>
        </w:rPr>
        <w:t xml:space="preserve"> (B.C.S.C.), Cohen J. conducted an extensive review of the law relating to the reopening of cases and reviewed a number of decisions where judicial discretion was exercised: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Fouracres v. Taylor</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(1996), 49 C.P.C. (3d) 313</w:t>
        </w:r>
      </w:hyperlink>
      <w:r>
        <w:rPr>
          <w:rFonts w:ascii="arial" w:eastAsia="arial" w:hAnsi="arial" w:cs="arial"/>
          <w:color w:val="000000"/>
          <w:sz w:val="20"/>
          <w:lang w:val="en-US" w:eastAsia="en-US" w:bidi="ar-SA"/>
        </w:rPr>
        <w:t xml:space="preserve"> (B.C. S.C. [In Chambers]), an application was made to reopen a personal injury jury trial after the verdict was rendered, when it was discovered that two witnesses with conflicting evidence were available to come forward with relevant evidence. The existence of both witnesses was known before trial. Saunders J. found that while the court has the jurisdiction to reopen a case, even after judgment is given, that power is to be used sparingly. She summarized the burden upon the applicant at pp. 315-316: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applicant must show that a miscarriage of justice would probably occur without the rehearing and the evidence sought to be adduced will probably change the outcome of the trial ... This reluctance to reopen a case is particularly strong where the case has been tried by judge and 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Saunders J. dismissed the application because it was not clear that the new evidence would probably have changed the outcome of the trial; because the evidence was available at the time of trial; and because reopening the case would create a greater miscarriage of justice then letting the verdict stand.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of Appeal has recently given some guidelines for reopening cases before judgment is entered. In </w:t>
      </w:r>
      <w:r>
        <w:rPr>
          <w:rFonts w:ascii="arial" w:eastAsia="arial" w:hAnsi="arial" w:cs="arial"/>
          <w:i/>
          <w:color w:val="000000"/>
          <w:sz w:val="20"/>
          <w:lang w:val="en-US" w:eastAsia="en-US" w:bidi="ar-SA"/>
        </w:rPr>
        <w:t>Sykes v. Sykes</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(1995), 6 B.C.L.R. (3d) 296</w:t>
        </w:r>
      </w:hyperlink>
      <w:r>
        <w:rPr>
          <w:rFonts w:ascii="arial" w:eastAsia="arial" w:hAnsi="arial" w:cs="arial"/>
          <w:color w:val="000000"/>
          <w:sz w:val="20"/>
          <w:lang w:val="en-US" w:eastAsia="en-US" w:bidi="ar-SA"/>
        </w:rPr>
        <w:t xml:space="preserve"> (B.C.C.A.), the wife in a divorce proceeding appealed the trial judge's decision to reconsider the issue of spousal maintenance after judgment had been given. Wood J.A., for the court, found that although a trial judge has an unfettered discretion to reopen before formal judgment has been entered, the discretion should be exercised sparingly. Wood J.A. stated as follows at pp. 300-301: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new evidence is not an essential prerequisite to a trial judge's exercise of the discretion to reopen. In some cases, it may be the only circumstance which would justify a reopening. Indeed it may be that in many cases a reopening would only be justified on the basis of new evidence which was not available at the time of the original trial. It will in all cases depend on the circumstances. But, a discretion to reopen may also properly be exercised where the trial judge is satisfied, either because of the argument of one of the parties, or on the basis of his own reconsideration of the record, that the original judgment was in error because it overlooked or misconstrued material evidence, or misapplied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of Appeal found, however, that the application to reopen was merely tactical, and was based upon the husband's unwillingness to accept the order that the sale of the matrimonial home be postponed. His argument on the issue could easily have been advanced at the original hearing. The court concluded that this was not a proper basis upon which to exercise the discretion to reopen. (at pp. 366-7)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Additional decisions have set out other reasons why leave should or should not be granted: </w:t>
      </w:r>
      <w:r>
        <w:rPr>
          <w:rFonts w:ascii="arial" w:eastAsia="arial" w:hAnsi="arial" w:cs="arial"/>
          <w:b/>
          <w:i/>
          <w:color w:val="000000"/>
          <w:sz w:val="20"/>
          <w:lang w:val="en-US" w:eastAsia="en-US" w:bidi="ar-SA"/>
        </w:rPr>
        <w:t>McLeay v. Kelowna (City)</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(2002), 2 B.C.L.R. (4th) 187</w:t>
        </w:r>
      </w:hyperlink>
      <w:r>
        <w:rPr>
          <w:rFonts w:ascii="arial" w:eastAsia="arial" w:hAnsi="arial" w:cs="arial"/>
          <w:color w:val="000000"/>
          <w:sz w:val="20"/>
          <w:lang w:val="en-US" w:eastAsia="en-US" w:bidi="ar-SA"/>
        </w:rPr>
        <w:t xml:space="preserve"> (B.C.S.C.) where there was a finding that the evidence in question was available at trial; </w:t>
      </w:r>
      <w:r>
        <w:rPr>
          <w:rFonts w:ascii="arial" w:eastAsia="arial" w:hAnsi="arial" w:cs="arial"/>
          <w:b/>
          <w:i/>
          <w:color w:val="000000"/>
          <w:sz w:val="20"/>
          <w:lang w:val="en-US" w:eastAsia="en-US" w:bidi="ar-SA"/>
        </w:rPr>
        <w:t>Virani v. Dhami</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2002 BCSC 662</w:t>
        </w:r>
      </w:hyperlink>
      <w:r>
        <w:rPr>
          <w:rFonts w:ascii="arial" w:eastAsia="arial" w:hAnsi="arial" w:cs="arial"/>
          <w:color w:val="000000"/>
          <w:sz w:val="20"/>
          <w:lang w:val="en-US" w:eastAsia="en-US" w:bidi="ar-SA"/>
        </w:rPr>
        <w:t xml:space="preserve"> where there was a finding that the evidence did not go to the core of the case and that the defendant could have requested the evidence at any time during the trial; </w:t>
      </w:r>
      <w:r>
        <w:rPr>
          <w:rFonts w:ascii="arial" w:eastAsia="arial" w:hAnsi="arial" w:cs="arial"/>
          <w:b/>
          <w:i/>
          <w:color w:val="000000"/>
          <w:sz w:val="20"/>
          <w:lang w:val="en-US" w:eastAsia="en-US" w:bidi="ar-SA"/>
        </w:rPr>
        <w:t>Noble v. Hewson Pharmaceutical Corp. et al</w:t>
      </w:r>
      <w:r>
        <w:rPr>
          <w:rFonts w:ascii="arial" w:eastAsia="arial" w:hAnsi="arial" w:cs="arial"/>
          <w:color w:val="000000"/>
          <w:sz w:val="20"/>
          <w:lang w:val="en-US" w:eastAsia="en-US" w:bidi="ar-SA"/>
        </w:rPr>
        <w:t xml:space="preserve">, [2004] 47 C.P.C. (5th) 107 (B.C.S.C.) where, on the basis of the decision in the Supreme Court of Canada in </w:t>
      </w:r>
      <w:r>
        <w:rPr>
          <w:rFonts w:ascii="arial" w:eastAsia="arial" w:hAnsi="arial" w:cs="arial"/>
          <w:b/>
          <w:i/>
          <w:color w:val="000000"/>
          <w:sz w:val="20"/>
          <w:lang w:val="en-US" w:eastAsia="en-US" w:bidi="ar-SA"/>
        </w:rPr>
        <w:t>671122 Ontario Ltd. v. Sagaz Industries Canada Inc.</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[2001] 2 S.C.R. 983</w:t>
        </w:r>
      </w:hyperlink>
      <w:r>
        <w:rPr>
          <w:rFonts w:ascii="arial" w:eastAsia="arial" w:hAnsi="arial" w:cs="arial"/>
          <w:color w:val="000000"/>
          <w:sz w:val="20"/>
          <w:lang w:val="en-US" w:eastAsia="en-US" w:bidi="ar-SA"/>
        </w:rPr>
        <w:t xml:space="preserve">, in rare cases even evidence that may have been discoverable prior to trial through the application of due diligence may be admissible; </w:t>
      </w:r>
      <w:r>
        <w:rPr>
          <w:rFonts w:ascii="arial" w:eastAsia="arial" w:hAnsi="arial" w:cs="arial"/>
          <w:b/>
          <w:i/>
          <w:color w:val="000000"/>
          <w:sz w:val="20"/>
          <w:lang w:val="en-US" w:eastAsia="en-US" w:bidi="ar-SA"/>
        </w:rPr>
        <w:t>M.(S.) v. R.(D.D.)</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(1996), 26 B.C.L.R. (3d) 231</w:t>
        </w:r>
      </w:hyperlink>
      <w:r>
        <w:rPr>
          <w:rFonts w:ascii="arial" w:eastAsia="arial" w:hAnsi="arial" w:cs="arial"/>
          <w:color w:val="000000"/>
          <w:sz w:val="20"/>
          <w:lang w:val="en-US" w:eastAsia="en-US" w:bidi="ar-SA"/>
        </w:rPr>
        <w:t xml:space="preserve"> (B.C.C.A.) where, by oversight, counsel neglected to lead evidence that may be material to the outcome; </w:t>
      </w:r>
      <w:r>
        <w:rPr>
          <w:rFonts w:ascii="arial" w:eastAsia="arial" w:hAnsi="arial" w:cs="arial"/>
          <w:b/>
          <w:i/>
          <w:color w:val="000000"/>
          <w:sz w:val="20"/>
          <w:lang w:val="en-US" w:eastAsia="en-US" w:bidi="ar-SA"/>
        </w:rPr>
        <w:t>Gold v. The Toronto Dominion Bank</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[1998] B.C.J. No. 3074</w:t>
        </w:r>
      </w:hyperlink>
      <w:r>
        <w:rPr>
          <w:rFonts w:ascii="arial" w:eastAsia="arial" w:hAnsi="arial" w:cs="arial"/>
          <w:color w:val="000000"/>
          <w:sz w:val="20"/>
          <w:lang w:val="en-US" w:eastAsia="en-US" w:bidi="ar-SA"/>
        </w:rPr>
        <w:t xml:space="preserve"> (B.C.S.C.) where Hutchinson J. stated: "Once considered reasons have been filed, an application to reopen can take on the nature of an appeal, and the litigation may be prolonged unnecessarily in the wrong forum. (at para. 3); </w:t>
      </w:r>
      <w:r>
        <w:rPr>
          <w:rFonts w:ascii="arial" w:eastAsia="arial" w:hAnsi="arial" w:cs="arial"/>
          <w:b/>
          <w:i/>
          <w:color w:val="000000"/>
          <w:sz w:val="20"/>
          <w:lang w:val="en-US" w:eastAsia="en-US" w:bidi="ar-SA"/>
        </w:rPr>
        <w:t>Mexico v. Metalclad Corp.</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(2001), 95 B.C.L.R. (3d) 169</w:t>
        </w:r>
      </w:hyperlink>
      <w:r>
        <w:rPr>
          <w:rFonts w:ascii="arial" w:eastAsia="arial" w:hAnsi="arial" w:cs="arial"/>
          <w:color w:val="000000"/>
          <w:sz w:val="20"/>
          <w:lang w:val="en-US" w:eastAsia="en-US" w:bidi="ar-SA"/>
        </w:rPr>
        <w:t xml:space="preserve"> where the judge had failed to deal with a matter that had been brought forward by counsel during the trial; </w:t>
      </w:r>
      <w:r>
        <w:rPr>
          <w:rFonts w:ascii="arial" w:eastAsia="arial" w:hAnsi="arial" w:cs="arial"/>
          <w:b/>
          <w:i/>
          <w:color w:val="000000"/>
          <w:sz w:val="20"/>
          <w:lang w:val="en-US" w:eastAsia="en-US" w:bidi="ar-SA"/>
        </w:rPr>
        <w:t>R. v. Melo</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(1986), 29 C.C.C. (3d) 173</w:t>
        </w:r>
      </w:hyperlink>
      <w:r>
        <w:rPr>
          <w:rFonts w:ascii="arial" w:eastAsia="arial" w:hAnsi="arial" w:cs="arial"/>
          <w:color w:val="000000"/>
          <w:sz w:val="20"/>
          <w:lang w:val="en-US" w:eastAsia="en-US" w:bidi="ar-SA"/>
        </w:rPr>
        <w:t xml:space="preserve"> (Ont.C.A.) where the Court found that the Crown had "ample opportunity" to prove its case and was not entitled to reopen the case as of right; and </w:t>
      </w:r>
      <w:r>
        <w:rPr>
          <w:rFonts w:ascii="arial" w:eastAsia="arial" w:hAnsi="arial" w:cs="arial"/>
          <w:b/>
          <w:i/>
          <w:color w:val="000000"/>
          <w:sz w:val="20"/>
          <w:lang w:val="en-US" w:eastAsia="en-US" w:bidi="ar-SA"/>
        </w:rPr>
        <w:t>K.F.P. v. D.J.P.</w:t>
      </w:r>
      <w:r>
        <w:rPr>
          <w:rFonts w:ascii="arial" w:eastAsia="arial" w:hAnsi="arial" w:cs="arial"/>
          <w:color w:val="000000"/>
          <w:sz w:val="20"/>
          <w:lang w:val="en-US" w:eastAsia="en-US" w:bidi="ar-SA"/>
        </w:rPr>
        <w:t xml:space="preserve"> (2004) 7 C.P.C. (6th) 165 (B.C.S.C.) where the Court found that no explanation had been given about why the contents of a safety deposit box had not been examined earlier and where there had been a failure to establish that the evidence could not have been discovered by exercising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scope of the discretion available is very wide with the overriding consideration being that justice be served so that a miscarriage of justice does not occur: </w:t>
      </w:r>
      <w:r>
        <w:rPr>
          <w:rFonts w:ascii="arial" w:eastAsia="arial" w:hAnsi="arial" w:cs="arial"/>
          <w:b/>
          <w:i/>
          <w:color w:val="000000"/>
          <w:sz w:val="20"/>
          <w:lang w:val="en-US" w:eastAsia="en-US" w:bidi="ar-SA"/>
        </w:rPr>
        <w:t>Lusignan (Litigation Guardian of) v. Concordia Hospital</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[1999] 1 W.W.R. 733</w:t>
        </w:r>
      </w:hyperlink>
      <w:r>
        <w:rPr>
          <w:rFonts w:ascii="arial" w:eastAsia="arial" w:hAnsi="arial" w:cs="arial"/>
          <w:color w:val="000000"/>
          <w:sz w:val="20"/>
          <w:lang w:val="en-US" w:eastAsia="en-US" w:bidi="ar-SA"/>
        </w:rPr>
        <w:t xml:space="preserve"> (Man. Q.B.) at para. 6; and </w:t>
      </w:r>
      <w:r>
        <w:rPr>
          <w:rFonts w:ascii="arial" w:eastAsia="arial" w:hAnsi="arial" w:cs="arial"/>
          <w:b/>
          <w:i/>
          <w:color w:val="000000"/>
          <w:sz w:val="20"/>
          <w:lang w:val="en-US" w:eastAsia="en-US" w:bidi="ar-SA"/>
        </w:rPr>
        <w:t>Coughlin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365.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am satisfied that it is necessary to apply a two part test in determining whether to exercise my discretion to reopen the Trial. In </w:t>
      </w:r>
      <w:r>
        <w:rPr>
          <w:rFonts w:ascii="arial" w:eastAsia="arial" w:hAnsi="arial" w:cs="arial"/>
          <w:b/>
          <w:i/>
          <w:color w:val="000000"/>
          <w:sz w:val="20"/>
          <w:lang w:val="en-US" w:eastAsia="en-US" w:bidi="ar-SA"/>
        </w:rPr>
        <w:t>Sagaz</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Major J.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Design brought a motion to have the trial reopened to hear the fresh evidence. The trial judge applied the two-part test from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Scott v. Cook</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[1970] 2 O.R. 769</w:t>
        </w:r>
      </w:hyperlink>
      <w:r>
        <w:rPr>
          <w:rFonts w:ascii="arial" w:eastAsia="arial" w:hAnsi="arial" w:cs="arial"/>
          <w:color w:val="000000"/>
          <w:sz w:val="20"/>
          <w:lang w:val="en-US" w:eastAsia="en-US" w:bidi="ar-SA"/>
        </w:rPr>
        <w:t xml:space="preserve"> (H.C.)] ... to assist in determining whether to exercise his discretion to reopen the trial. First, he decided that the evidence, if presented at trial, probably would not have changed the result. Second, he found that the evidence could have been obtained before trial by the exercise of reasonable diligence. The Court of Appeal overturned the trial judge's decision, having found that he erred on both branches of the test and that the trial should have been reopened to hear Kavana's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the case law dictates that the trial judge must exercise his discretion to reopen the trial "sparingly and with the greatest care" so that "fraud and abuse of the Court's processes" do not result (see </w:t>
      </w:r>
      <w:r>
        <w:rPr>
          <w:rFonts w:ascii="arial" w:eastAsia="arial" w:hAnsi="arial" w:cs="arial"/>
          <w:i/>
          <w:color w:val="000000"/>
          <w:sz w:val="20"/>
          <w:lang w:val="en-US" w:eastAsia="en-US" w:bidi="ar-SA"/>
        </w:rPr>
        <w:t>Clayton, supra</w:t>
      </w:r>
      <w:r>
        <w:rPr>
          <w:rFonts w:ascii="arial" w:eastAsia="arial" w:hAnsi="arial" w:cs="arial"/>
          <w:color w:val="000000"/>
          <w:sz w:val="20"/>
          <w:lang w:val="en-US" w:eastAsia="en-US" w:bidi="ar-SA"/>
        </w:rPr>
        <w:t xml:space="preserve">, at p. 295, cited in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at pp. 773-74).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trial judge decided not to exercise his discretion to reopen the trial because neither of the two steps of the test in Scott, supra, was met to his satisfaction. First, he found that he could not say that the new evidence, if presented at trial, would probably have changed the result, only that it may have changed the result. If the trial were to be reopened, Landow's evidence might well not be believed. His credibility would be in issue. Second, the trial judge found that Landow's evidence could have been obtained before trial. Design could have compelled Landow to testify under oath at trial. While this carried some risk, the trial judge viewed it as a trial strategy, a conclusion he was entitled to 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61-2)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party seeking to reopen the trial must establish on a balance of probabilities that a miscarriage of justice will occur if the new evidence is not received: </w:t>
      </w:r>
      <w:r>
        <w:rPr>
          <w:rFonts w:ascii="arial" w:eastAsia="arial" w:hAnsi="arial" w:cs="arial"/>
          <w:b/>
          <w:i/>
          <w:color w:val="000000"/>
          <w:sz w:val="20"/>
          <w:lang w:val="en-US" w:eastAsia="en-US" w:bidi="ar-SA"/>
        </w:rPr>
        <w:t>Vance v. Vance</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(1981), 34 B.C.L.R. 209</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K.F.P. v. D.J.P.</w:t>
      </w:r>
      <w:r>
        <w:rPr>
          <w:rFonts w:ascii="arial" w:eastAsia="arial" w:hAnsi="arial" w:cs="arial"/>
          <w:color w:val="000000"/>
          <w:sz w:val="20"/>
          <w:lang w:val="en-US" w:eastAsia="en-US" w:bidi="ar-SA"/>
        </w:rPr>
        <w:t xml:space="preserve"> (2004) 7 C.P.C. (6th) 165 (B.C.S.C.). In deciding that no miscarriage of justice would result if the trial was not reopened, Wedge J. stated in </w:t>
      </w:r>
      <w:r>
        <w:rPr>
          <w:rFonts w:ascii="arial" w:eastAsia="arial" w:hAnsi="arial" w:cs="arial"/>
          <w:b/>
          <w:i/>
          <w:color w:val="000000"/>
          <w:sz w:val="20"/>
          <w:lang w:val="en-US" w:eastAsia="en-US" w:bidi="ar-SA"/>
        </w:rPr>
        <w:t>K.F.P.</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of this matter took seven days to complete, and required further written submissions thereafter. Preparation for the litigation spanned almost three years. The cost of the litigation for both parties has been significant. Does fairness, at the expense of finality, dictate that the trial ought to be reopened to receive and consider the new evidence? I have concluded that it does not. (at para. 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for the following reasons that no miscarriage of justice will result if the trial is not reopened: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new evidence would probably change the outcome of the trial, the change would not be significant given the overall value of the assets.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P. could have discovered the evidence before trial had she exercised reasonable diligence. Moreover, although the new evidence was clearly available immediately after trial, Ms P. waited until reasons for judgment were delivered to determine whether the evidence she discovered after trial affected its outcome.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POTENTIAL EVIDENCE OF MR. 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Affidavit of Richard Strom deals with a number of matters which the Defendants submit were critical to the findings of fact that were made and the conclusions at law that were drawn from those findings of fact. While it may well be that certain findings of fact set out in the October 31, 2006 Reasons for Judgment would have changed if I had accepted the contemplated evidence of Mr. Strom, I cannot come to the conclusion that the outcome of the litigation either "may" change or "probably" would change; </w:t>
      </w:r>
      <w:r>
        <w:rPr>
          <w:rFonts w:ascii="arial" w:eastAsia="arial" w:hAnsi="arial" w:cs="arial"/>
          <w:b/>
          <w:i/>
          <w:color w:val="000000"/>
          <w:sz w:val="20"/>
          <w:lang w:val="en-US" w:eastAsia="en-US" w:bidi="ar-SA"/>
        </w:rPr>
        <w:t>Sagaz</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As well, I cannot conclude that this is one of those rare cases where the evidence of Mr. Strom should be heard even though it was discoverable prior to the Trial through the application of even a modicum of due diligence. There are also a number of other reasons why the Trial should not be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submit that a number of "key findings of fact" in the Reasons for Judgment were critical to the outcome of the litigation and these findings were based in part on the preference of the evidence of Mr. Glockl over the evidence of the Defendants and that this preference "can be shown to be in error". The findings referred to include: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June 7, 1996, the Defendants had already decided to participate in the Investment being promoted by Mr. Strom;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gave Mr. Glockl false employment and income information on or about June 10, 1996;</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telephone call to the Defendants regarding the due diligence Mr. Glockl had undertaken to investigate the Investment did not take place on June 10, 1996, or prior to when the Defendants had committed themselves to invest in the project being promoted by Mr. Strom;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provided $3,000.00 (U.S. funds) to Mr. Strom prior to the agreement by Mr. Strom to cover the cost of the promissory note for $110,000.00 (U.S. funds) and $5,000.00 cash required by Mr. Glockl prior to Mr. Glockl taking steps to have the loans to the Defendants approved by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assurances said to have been provided by Mr. Glockl to the Defendants regarding the investment scheme that Mr. Strom would only receive after the Defendants had decided to invest in the investment scheme with Mr. Strom and provide the $3,000.00 (U.S. funds) to Mr. Strom;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conversations regarding the investment scheme which took place between Messrs. Glockl and Strom took place only after the Defendants had provided the $3,000.00 (U.S. funds) to Mr. Strom;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regarding the loans made to the Defendants and which would ordinarily be in the files maintained by the Plaintiff were not purposely removed by Mr. Glockl and did not go missing from the files of the Plaintiff until after July 16, 1997 when the employment of Mr. Glockl with the Plaintiff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question of whether the Defendants had already decided to invest in the Investment promoted by Mr. Strom by June 7, 1996, I came to the conclusion that they had and that nothing that was subsequently stated by Mr. Glockl influenced that decision. In his Affidavit, Mr. Strom indicates that Mr. Renard stated that he would have to consult his banker prior to making the decision about whether to invest. However, during the cross-examination, Mr. Strom indicated that he had been advised by Mr. Lehman that an investor was available. I am satisfied that this investor was Mr. Renard. In the Reasons for Judgment, I also concluded that Mr. Renard could not be believed when he indicated that the purpose of attending the meeting with Mr. Strom was to obtain reimbursement for his expenses and not to proceed with the Investment. In this regard, I found that Mr. Renard had attempted to reach Mr. Glockl on several occasions prior to the June 7, 1996 meeting and that there would be no reason for those attempts to have been made other than that Mr. Renard was attempting to obtain funds for the Investment proposed by Mr. Strom. Accordingly, I cannot conclude that my finding of fact would have been different or that, even if my finding of fact would have been different, this new finding would probably change the outcome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Regarding whether the Defendants gave Mr. Glockl false employment information on June 10, 1996 or not, Mr. Strom indicated that he communicated employment information about the Renards to Mr. Glockl on June 10, 1996 so that it may have been Mr. Strom and not the Defendants who provided the false information to Mr. Glockl. Whether or not this is the case, the only source of information that Mr. Strom would have about income of the Defendants would be information provided to Mr. Strom by them or on their behalf at or before the meeting on June 7, 1996. Accordingly, even if the false employment and income information had been given to Mr. Glockl by Mr. Strom, so that I would conclude that the Defendants did not directly provide that information to Mr. Glockl, my finding of fact in that regard would not likely change as Mr. Renard would be the source directly or indirectly of the information given to Mr. Glockl. In any event, the outcome of the litigation would probably not change as a result of any new finding of fact on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Regarding the telephone conversation that the Defendants testified that Mr. Glockl had with them on June 10, 1996 when he advised them about his "due diligence" relating to the investment proposal of Mr. Strom, Mr. Strom indicates that he had communications with Mr. Glockl the day before the Renards provided $3,000.00 (U.S. funds) to Mr. Strom on June 11, 1996. The Defendants submit that the alleged conversation must have taken place on the evening of June 10, 1996. In his Affidavit, Mr. Strom could only say that the conversation with Mr. Glockl was "two or three days" after the first meeting (June 7, 1996) that he had with Mr. Renard. During the cross-examination on his Affidavit, Mr. Strom was less certain about the date when he says he spoke to Mr. Glockl and then sent him information about the Investment. In concluding that the conversation had not taken place on June 10, 1996, I found as facts that the position taken by the Renards as to when that conversation had taken place was contrary to the answers given at the December 11, 2003 Examination for Discovery of Ms. Renard and the April 15, 2003 Examination for Discovery of Mr. Renard and contrary to a number of other findings that I made as set out in paras. 62 through 71 of the Reasons for Judgment. Accordingly, I cannot conclude that my finding of fact in this regard would have changed and, in any event, the Defendants were prepared to provide $3,000.00 (U.S. funds) to Mr. Strom prior to an agreement being reached that a number of costs associated with the demands of Mr. Glockl would be met from the funds available from the Investment. Accordingly, even if my finding of fact in this regard subsequently changed, I could not conclude that the Defendants relied upon any alleged misrepresentations or fraudulent misrepresentations made by Mr. Glockl in order that the result of the litigation would not have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Regarding whether the Defendants provided $3,000.00 (U.S. funds) to Mr. Strom without an agreement that the promissory note in favour of Mr. Glockl and the cash to be paid to Mr. Glockl would be covered by the returns available from the Investment promoted by Mr. Strom, Mr. Strom in his Affidavit indicates that the $3,000.00 (U.S. funds) was provided to him "... only after I had confirmed that the cost of paying out the Glockl promissory note would be covered by the Investment proceeds, and would not be borne by the Renards personally." Mr. Strom made a similar statement regarding the $5,000.00 amount to be paid to Mr. Glockl. Under cross-examination, Mr. Strom stated that it would be necessary for him to check with a Mr. Smith before he would be in a position to provide Mr. Renard with those assurances and that the $3,000.00 (U.S. funds) were provided to him prior to him being in a position to confirm those matters with Mr. Smith. Accordingly, I would still be in a position to conclude that the Renards decided to go ahead with the Investment and provide Mr. Strom with $3,000.00 (U.S. funds) even though they had no assurances on June 11, 1996 that recovery of $5,000.00 and payment of $110,000.00 (U.S. funds) would be available out of the anticipated profits from the Investment promoted by Mr. Strom. Accordingly, I would not be in a position to conclude that the result on this particular issue would be different or that I would not conclude that the decision had been made to make the investment with Mr. Strom even if I could conclude that the conversation that they had with Mr. Glockl took place before the $3,000.00 (U.S. funds) was provided to Mr. Strom. In any event, I cannot conclude that the outcome of the litigation probably would be changed as I ultimately found that the loss claimed by the Defendants flowed not from anything done or not done or said or not said by Mr. Glockl but, rather, from their own actions in not safeguarding the funds that they received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Regarding the missing bank documents and the findings that they went missing from the files of the Plaintiff after July 16, 1997 when the employment of Mr. Glockl was terminated by the Plaintiff and that the documents were not purposely removed by Mr. Glockl from the records of the Plaintiff, Mr. Strom in his Affidavit states that he had a conversation with Mr. Glockl in mid-1997 and that Mr. Glockl told him: "... that he had removed material from the Renards' file at the bank in order to ensure that others at the bank would not discover what Mr. Glockl had done in connection with the Renards." Even if I had come to the conclusion that the missing bank documents had purposely been removed by Mr. Glockl to hide what he had done so that my finding in this regard would have changed, I cannot be satisfied that the overall result of the litigation would have changed. First, I found that the testimony of Mr. Glockl consisted of "many inconsistencies and fabrications" (at para. 72 of the Reasons for Judgment). Accordingly, purposely removing documents from the files maintained by the Plaintiff would merely have reinforced that finding. Second, I found that Mr. Glockl had required the payment of $5,000.00 cash and the provision of a $110,000.00 (U.S. funds) promissory note to him personally as pre-condition of approving the Mortgage and the Promissory Note and the advance of funds. Despite this finding, I also found that the Mortgage and Promissory Note in favour of the Plaintiff remained enforceable. Any further findings of the dishonesty of Mr. Glockl would not have changed the outcome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Any changes in the findings of facts as requested by the Defendants would not lead to a finding that the damages suffered by the Defendants were as a result of the actions of Mr. Glockl and, vicariously, the actions of the Plaintiff. I found as a fact that the economic woes of the Defendants could not be traced to the actions taken by Mr. Glockl or by the Plaintiff but rather to the actions of the Defendants relating to: "... their own greed in making the Investment after being beguiled by the assurances received from Messrs. Strom and Sailer" and the lack of care shown by the Defendants when they entrusted the money to a company controlled by Mr. Strom and then allowed or took part in those funds being forwarded allegedly in trust without taking all proper steps to be in a position to retrieve the funds if the trust conditions were not subsequently fulfilled. As I pointed out in my Reasons for Judgment (at para. 90), there was no evidence that Mr. Glockl was asked or actually gave advice to the Defendants about how the Defendants could protect the funds that they borrowed from the Plaintiff. In this regard, I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funds were lost, not because Mr. Glockl advised the Renards regarding the legitimacy of the ... [Investment] but, because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Renard in providing the funds to ... [Mr. Strom] without taking appropriate steps to safeguard the disbursement of the funds. The proximate cause of any loss is the carelessness of Mr. Renard rather than any statements alleged to have been made by Mr. Glockl.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should also be noted that I found as a fact that a substantial portion of the funds that were advanced to the Defendants by the Plaintiff were actually available to the Defendants to pay off an existing mortgage on their property, to make payments to the Plaintiff, to cover personal expenses, to purchase a vehicle, and to pay miscellaneous expenses. While the Defendants took the position that they did not have to account for these considerable funds when establishing the damages they say flowed from what was done or not done by the Plaintiff and the Defendant by Counterclaim, I could not reach that conclusion so, even assuming that some of the outcome to the litigation would have changed, I did not conclude that the Counterclaim of the Defendants would be successful in whole (at paras. 239-40).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Accordingly, applying the two-part test set out in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as approved and adopted in </w:t>
      </w:r>
      <w:r>
        <w:rPr>
          <w:rFonts w:ascii="arial" w:eastAsia="arial" w:hAnsi="arial" w:cs="arial"/>
          <w:b/>
          <w:i/>
          <w:color w:val="000000"/>
          <w:sz w:val="20"/>
          <w:lang w:val="en-US" w:eastAsia="en-US" w:bidi="ar-SA"/>
        </w:rPr>
        <w:t>Sagaz</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I cannot conclude that the result would "probably" change or even that it would "maybe" change. On the assumption that I am incorrect in arriving at that conclusion, I cannot conclude that the evidence could not have been found with due diligence and I cannot conclude that this is one of those "rare cases" where due diligence must be shown: </w:t>
      </w:r>
      <w:r>
        <w:rPr>
          <w:rFonts w:ascii="arial" w:eastAsia="arial" w:hAnsi="arial" w:cs="arial"/>
          <w:b/>
          <w:i/>
          <w:color w:val="000000"/>
          <w:sz w:val="20"/>
          <w:lang w:val="en-US" w:eastAsia="en-US" w:bidi="ar-SA"/>
        </w:rPr>
        <w:t>Sagaz</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is not a case where a document only recently was found and could not have been found through due diligence. Rather, this is an unwarranted attempt to bring forward evidence that was available at Trial. In this regard, all counsel were asked to make submissions and made submissions regarding the question of whether an adverse inference should be drawn by the failure to call Mr. Strom as a witness. From what was said by counsel during the Trial, it was clear that the Plaintiff and the Defendants were aware of how to contact Mr. Strom. I described the failure to call Mr. Strom as a witness as "... an unfortunate omission." (at para. 76). However, I also concluded that it would not be appropriate to draw an adverse inference against either the Defendants or the Plaintiff as I could not conclude Mr. Strom might be expected to provide important supporting evidence for one party but not the other. After hearing the cross-examination of Mr. Strom, I remain of that view. Accordingly, this is not a case where the evidence was not available previously. In fact, this is a case where no party thought it necessary to call Mr. 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reviewing the Affidavit and after reviewing the answers given at the cross-examination of Mr. Strom on his Affidavit, I can now conclude that the evidence of Mr. Strom would be critical on a number of points raised by the Defendants as Mr. Strom played a critical role in what occurred and why the Defendants were prepared to invest with a charlatan the funds they borrowed from the Plaintiff. On the hearing of this application, counsel for the Defendants was candid that a tactical decision was made not to call Mr. Strom as a witness. I see no need to prolong this litigation unnecessarily because of a decision taken by counsel for the Defendants that Mr. Strom would not be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am also satisfied that it would be inappropriate to reopen a trial where the evidence of a potential witness "... might well not be believed.": </w:t>
      </w:r>
      <w:r>
        <w:rPr>
          <w:rFonts w:ascii="arial" w:eastAsia="arial" w:hAnsi="arial" w:cs="arial"/>
          <w:b/>
          <w:i/>
          <w:color w:val="000000"/>
          <w:sz w:val="20"/>
          <w:lang w:val="en-US" w:eastAsia="en-US" w:bidi="ar-SA"/>
        </w:rPr>
        <w:t>Sagaz</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62. It is clear that the credibility of Mr. Strom would be an issue if the Trial was reopened to hear his evidence. Having had the advantage of hearing him being cross-examined by all three counsel, I have no hesitation in concluding his recollection about these matters was hazy at best, that his credibility as a witness would be very much in issue, and that much of his testimony contradicted what had been set out in the Affidavit prepared for him by counsel for the Defendants. In summary, what he said under cross-examination was simply not believable and, in any event, contradictory to much of the theory of the Defendants as advanced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Counsel for the Defendants also alleges a number of errors of law. I am satisfied that it would be inappropriate for me to attempt to change the original Reasons for Judgment if I have misapplied the law. An appeal from the Orders made after Trial has been filed. Any attempt to correct any alleged errors would be inappropriate as it would deprive the Defendants of their right to that appeal and inappropriately establish me as the appellant reviewer of my own Reasons for Judgment. It would be inappropriate to reopen this litigation as I am satisfied that the litigation may be prolonged unnecessarily in the wrong forum: </w:t>
      </w:r>
      <w:r>
        <w:rPr>
          <w:rFonts w:ascii="arial" w:eastAsia="arial" w:hAnsi="arial" w:cs="arial"/>
          <w:b/>
          <w:i/>
          <w:color w:val="000000"/>
          <w:sz w:val="20"/>
          <w:lang w:val="en-US" w:eastAsia="en-US" w:bidi="ar-SA"/>
        </w:rPr>
        <w:t>Gold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exercising "sparingly" the power available to me, the Trial should not be reopened as to do so would amount to an abuse of process and an improper prolonging of the litigation. The Defendants have not established on a balance of probabilities that a miscarriage of justice would occur without the reopening of the Trial and that the evidence or arguments they now wish to present would probably change the result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I cannot conclude that the miscarriage of justice would probably occur without the rehearing requested by the Defendants, the application of the Defendants is dismissed. The Plaintiff and the Defendant by Counterclaim will be entitled to their costs which I will set summarily pursuant to Rule 57(13.1)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at $3,150.00 each, payable forthwith. As well, any previous orders made regarding a stay of proceedings in this matter are vacated.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Chen v. Cao, [2014] B.C.J. No. 432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18-21,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S116691, S117002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432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404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Xiang Bin Chen, Plaintiff, and Sa Cao, Shafik Ladha, RE/MAX Westcoast Realty Ltd., Defendants And between Sa Cao, Plaintiff, and Xiangbin Chen,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8"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3" w:name="Keywords_28"/>
      <w:bookmarkEnd w:id="183"/>
      <w:r>
        <w:rPr>
          <w:rFonts w:ascii="arial" w:eastAsia="arial" w:hAnsi="arial" w:cs="arial"/>
          <w:b/>
          <w:color w:val="000000"/>
          <w:sz w:val="20"/>
          <w:lang w:val="en-US" w:eastAsia="en-US" w:bidi="ar-SA"/>
        </w:rPr>
        <w:t>Real property law — Sale of land — Misrepresentation — Negligent misrepresentation — Action by plaintiff for damages for negligent misrepresentation dismissed — Plaintiff agreed to purchase defendant's home for $1.05 million — Plaintiff failed to complete transaction due to alleged negligent misrepresentation regarding home's square footage — Action was tried with vendor's action for breach of contract — Vendor and real estate firm's motion for dismissal based on no evidence was allowed — Floor plan and listing documents supported alternate inferences including defendants' position based on living space plus garage space — There was no evidence regarding nature of garage space or industry standard regarding its inclusion in square footage calculation.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4" w:name="Case Summary_23"/>
            <w:bookmarkEnd w:id="1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Chen, against the defendants, Cao, Ladha and Remax Westcoast Realty, for damages for negligent misrepresentation. In July 2011, the parties entered a contract whereby the plaintiff agreed to purchase a property from Cao for $1.05 million. The transaction was due to complete at the end of September 2011. The plaintiff paid a deposit of $51,500 that remained held in trust. The plaintiff failed to complete the purchase of the property due to what he alleged was a negligent misrepresentation regarding the residence's square footage. He joined the real estate agent and firm as defendants on the basis they were responsible for the listing misrepresenting the square footage. In response, Cao commenced an action seeking damages for breach of contract and forfeiture of the deposit. The property was ultimately sold to a third party for less than $1.05 million. The actions were heard at the same time. At the conclusion of the plaintiff's case, the defendants brought a motion to dismiss the action on the basis of no evidence.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5" w:name="Holdings of Court_16"/>
            <w:bookmarkEnd w:id="185"/>
            <w:r>
              <w:rPr>
                <w:rFonts w:ascii="arial" w:eastAsia="arial" w:hAnsi="arial" w:cs="arial"/>
                <w:color w:val="000000"/>
                <w:sz w:val="20"/>
                <w:lang w:val="en-US" w:eastAsia="en-US" w:bidi="ar-SA"/>
              </w:rPr>
              <w:t>HELD: Motion allowed and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anyone had measured the residence to determine its precise square footage. The floor plan and MLS listing documents supported a number of alternate inferences regarding total floor space, one of which supported the defendants' position based on the square footage of the total finished living space plus the garage space. There was insufficient evidence regarding the nature of the garage space to infer that its inclusion in the square footage was a false of misleading statement. In any event, there was no evidence regarding the industry standard of inclusion or exclusion of garage space in the finished area of a home. Therefore, there was no evidence supporting a breach of the duty of care by the real estate agent and firm. This was not an appropriate case to permit re-opening to call additional evidence. The action was thus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6" w:name="Legislation Cited_23"/>
      <w:bookmarkEnd w:id="1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9"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12-5(4)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7" w:name="Counsel_29"/>
      <w:bookmarkEnd w:id="1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0"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Xiang Bin Chen: Cameron L.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Sa Cao: Song Xue.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Shafik Ladha and RE/MAX Westcoast Realty Ltd.: Christopher J.A.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9"/>
      <w:bookmarkEnd w:id="188"/>
      <w:r>
        <w:pict>
          <v:line id="_x0000_s1171"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C.J. BRUCE J."/>
            <w:bookmarkEnd w:id="189"/>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dispute between the parties concerns the sale of a residence located at 10371 Shell Road, Richmond, BC (the "Property"). On July 11, 2011, the claimant, (Xiang Bin Chen), and the defendant (Sa Cao) entered into a contract whereby Chen agreed to purchase the Property from Cao for a price of $1,050,000. Chen paid a deposit of $51,500, which continues to be held in trust. The completion date was September 29,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Chen failed to complete the purchase of the Property on the completion date as a result of what he alleges was a negligent misrepresentation of the square footage of the residence on the Property. Whereas the Multiple Listing Service ("MLS") listing for the Property indicated that the residence was 4024 square feet, after he signed the contract Chen discovered that the actual square footage of the residence was 3404 square feet. Chen joined the seller's real estate agent (Shafik Ladha and RE/MAX Westcoast Realty Ltd.) as parties to the action because they were responsible for the MLS listing that misrepresented the square footage of the residence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response to Chen's action, Cao commenced an action against Chen for damages as a result of his breach of the contract. Although the Property was subsequently sold to a third party, the purchase price was less than $1,050,000. In addition, Cao seeks an order that the deposit paid by Chen be forfeited to him by way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consent, the Court granted an order that both actions would be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Chen called two witnesses in his case; himself and his daughter-in-law Ms. Yin. The parties also filed a joint book of documents that each party agreed was admissible in the trial. At the conclusion of Chen's case, Ladha and RE/MAX Westcoast Realty Ltd. applied for a dismissal of the action based on no evidence pursuant to Rule 12-5(4)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Cao also argued that Chen's action against her should be dismissed based on Ladha and RE/MAX's no evidence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argue that Chen has failed to prove some evidence regarding each element of the tort of negligent misrepresentation. Relying upon </w:t>
      </w:r>
      <w:r>
        <w:rPr>
          <w:rFonts w:ascii="arial" w:eastAsia="arial" w:hAnsi="arial" w:cs="arial"/>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the defendants maintain the tort of negligent misrepresentation is only proven when the following requirements are met:</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statement negligently made;</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on the person making the statement to the recipient. A duty of care does not arise unless the person making the statement is possessed of special skill or knowledge on the matter in question; and the circumstances establish that a reasonable person making the statement would know that the recipient is relying upon his skill or judgment;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reliance on the statement by its recipient; and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suffered as a consequence of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say there is no evidence of a false statement negligently made. The total area of the residence is 4024 square feet or larger when one includes the garage space as part of the total area. Further, the defendants maintain there is no evidence that to include the garage space in the calculation of total area is negligent in that it falls below the standards expected of a real estate agent. In this regard, the defendants argue Chen's case must fail because he has not led expert evidence of the standard of care: </w:t>
      </w:r>
      <w:r>
        <w:rPr>
          <w:rFonts w:ascii="arial" w:eastAsia="arial" w:hAnsi="arial" w:cs="arial"/>
          <w:i/>
          <w:color w:val="000000"/>
          <w:sz w:val="20"/>
          <w:lang w:val="en-US" w:eastAsia="en-US" w:bidi="ar-SA"/>
        </w:rPr>
        <w:t>Perrault v. North Vancouver (District)</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2010 BCSC 382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Seiler et al. v. Mutual Fire Insurance Company et al.</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2003 BCSC 1423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defendants also maintain that the seller's agent owed no duty of care to Chen in the circumstances because it would have placed them in a conflict of interest position regarding their own client: </w:t>
      </w:r>
      <w:r>
        <w:rPr>
          <w:rFonts w:ascii="arial" w:eastAsia="arial" w:hAnsi="arial" w:cs="arial"/>
          <w:i/>
          <w:color w:val="000000"/>
          <w:sz w:val="20"/>
          <w:lang w:val="en-US" w:eastAsia="en-US" w:bidi="ar-SA"/>
        </w:rPr>
        <w:t>Gordon v. Krieg</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2013 BCSC 842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defendants argue that while there is some evidence that Chen relied upon the statements concerning square footage contained in the MLS listing, it was not reasonable to rely on such statements in light of the clear waiver or warranty contained in the document. It is no excuse that Chen failed to read this waiver or failed to have it translated into Mandarin: see </w:t>
      </w:r>
      <w:r>
        <w:rPr>
          <w:rFonts w:ascii="arial" w:eastAsia="arial" w:hAnsi="arial" w:cs="arial"/>
          <w:i/>
          <w:color w:val="000000"/>
          <w:sz w:val="20"/>
          <w:lang w:val="en-US" w:eastAsia="en-US" w:bidi="ar-SA"/>
        </w:rPr>
        <w:t>Saberi v. Angell Hasman &amp; Associates</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2008 BCSC 680</w:t>
        </w:r>
      </w:hyperlink>
      <w:r>
        <w:rPr>
          <w:rFonts w:ascii="arial" w:eastAsia="arial" w:hAnsi="arial" w:cs="arial"/>
          <w:color w:val="000000"/>
          <w:sz w:val="20"/>
          <w:lang w:val="en-US" w:eastAsia="en-US" w:bidi="ar-SA"/>
        </w:rPr>
        <w:t>. The defendants also maintain that Chen did not rely on the statement concerning square footage in the MLS listing, but on his assessment, after viewing the home, that it was large enough to meet his family's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Lastly, the defendants argue there is no evidence of a loss incurred by Chen because the property appraisal indicates the home, at 4024 square feet, has a market value of $1,050,000, which was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to these arguments, Cao says Chen's case should be dismissed because there is no evidence of a representation made by her regarding the square footage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Chen argues there was a misleading statement in the MLS listing authored by the defendant real estate agent because it is standard industry practice not to include the garage space in the finished area or living area of the home. To include the garage space in the finished area without defining it as garage space misled Chen as to the total living area of the residence by ( he says) 520 square feet. Chen argues that this is the type of case in which it is not necessary to call expert evidence to prove the standard of care because it is obvious that an error of this magnitude constitutes a breach of industry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Alternatively, Chen argues that the court should take judicial notice of the standards set by the Real Estate Board of British Columbia without the need to call evidence of these standards and without the need to call an expert to establish the standard of care expected of real estate agents in BC. Further, Chen argues that the court should accept the findings of fact in </w:t>
      </w:r>
      <w:r>
        <w:rPr>
          <w:rFonts w:ascii="arial" w:eastAsia="arial" w:hAnsi="arial" w:cs="arial"/>
          <w:i/>
          <w:color w:val="000000"/>
          <w:sz w:val="20"/>
          <w:lang w:val="en-US" w:eastAsia="en-US" w:bidi="ar-SA"/>
        </w:rPr>
        <w:t>Manarin v. Stelmaschuk Doucette Realty Ltd. and Leckie</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2010 BCPC 81</w:t>
        </w:r>
      </w:hyperlink>
      <w:r>
        <w:rPr>
          <w:rFonts w:ascii="arial" w:eastAsia="arial" w:hAnsi="arial" w:cs="arial"/>
          <w:color w:val="000000"/>
          <w:sz w:val="20"/>
          <w:lang w:val="en-US" w:eastAsia="en-US" w:bidi="ar-SA"/>
        </w:rPr>
        <w:t xml:space="preserve">, that the Real Estate Council of BC instructs realtors that when measuring homes it is standard practice not to include non-living spaces such as a garage in their calculations. Chen maintains that such a clear error requires no expert evidence and is self-evident: </w:t>
      </w:r>
      <w:r>
        <w:rPr>
          <w:rFonts w:ascii="arial" w:eastAsia="arial" w:hAnsi="arial" w:cs="arial"/>
          <w:i/>
          <w:color w:val="000000"/>
          <w:sz w:val="20"/>
          <w:lang w:val="en-US" w:eastAsia="en-US" w:bidi="ar-SA"/>
        </w:rPr>
        <w:t>Davie v. Huchschlag et al.</w:t>
      </w:r>
      <w:r>
        <w:rPr>
          <w:rFonts w:ascii="arial" w:eastAsia="arial" w:hAnsi="arial" w:cs="arial"/>
          <w:color w:val="000000"/>
          <w:sz w:val="20"/>
          <w:lang w:val="en-US" w:eastAsia="en-US" w:bidi="ar-SA"/>
        </w:rPr>
        <w:t xml:space="preserve"> (5 July 1993), Vancouver C910767 (B.C.S.C.); </w:t>
      </w:r>
      <w:r>
        <w:rPr>
          <w:rFonts w:ascii="arial" w:eastAsia="arial" w:hAnsi="arial" w:cs="arial"/>
          <w:i/>
          <w:color w:val="000000"/>
          <w:sz w:val="20"/>
          <w:lang w:val="en-US" w:eastAsia="en-US" w:bidi="ar-SA"/>
        </w:rPr>
        <w:t>Mlazgar v. Brick</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1999 SKQB 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Hack v. Rusnak</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2013 SKPC 128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Guy v. Wagner et al</w:t>
      </w:r>
      <w:r>
        <w:rPr>
          <w:rFonts w:ascii="arial" w:eastAsia="arial" w:hAnsi="arial" w:cs="arial"/>
          <w:color w:val="000000"/>
          <w:sz w:val="20"/>
          <w:lang w:val="en-US" w:eastAsia="en-US" w:bidi="ar-SA"/>
        </w:rPr>
        <w:t xml:space="preserve">., (9 February 1987), </w:t>
      </w:r>
      <w:hyperlink r:id="rId541" w:history="1">
        <w:r>
          <w:rPr>
            <w:rFonts w:ascii="arial" w:eastAsia="arial" w:hAnsi="arial" w:cs="arial"/>
            <w:i/>
            <w:color w:val="0077CC"/>
            <w:sz w:val="20"/>
            <w:u w:val="single"/>
            <w:shd w:val="clear" w:color="auto" w:fill="FFFFFF"/>
            <w:lang w:val="en-US" w:eastAsia="en-US" w:bidi="ar-SA"/>
          </w:rPr>
          <w:t>[1987] B.C.J. No. 138</w:t>
        </w:r>
      </w:hyperlink>
      <w:r>
        <w:rPr>
          <w:rFonts w:ascii="arial" w:eastAsia="arial" w:hAnsi="arial" w:cs="arial"/>
          <w:color w:val="000000"/>
          <w:sz w:val="20"/>
          <w:lang w:val="en-US" w:eastAsia="en-US" w:bidi="ar-SA"/>
        </w:rPr>
        <w:t>, New Westminster C941842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further alternative, Chen applied to re-open his case to call expert evidence of the standard of care. The defendants opposed this application on the ground that to do so constitutes improper splitting of Chen's case. This evidence was available to Chen before the commencement of the trial and he was not taken by surprise by the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agree with the defendants that Chen must establish some evidence of the four requirements described in </w:t>
      </w:r>
      <w:r>
        <w:rPr>
          <w:rFonts w:ascii="arial" w:eastAsia="arial" w:hAnsi="arial" w:cs="arial"/>
          <w:i/>
          <w:color w:val="000000"/>
          <w:sz w:val="20"/>
          <w:lang w:val="en-US" w:eastAsia="en-US" w:bidi="ar-SA"/>
        </w:rPr>
        <w:t>Kingu</w:t>
      </w:r>
      <w:r>
        <w:rPr>
          <w:rFonts w:ascii="arial" w:eastAsia="arial" w:hAnsi="arial" w:cs="arial"/>
          <w:color w:val="000000"/>
          <w:sz w:val="20"/>
          <w:lang w:val="en-US" w:eastAsia="en-US" w:bidi="ar-SA"/>
        </w:rPr>
        <w:t xml:space="preserve"> at para. 22 in order to successfully defend this no evidence motion. The evidence must not be weighed at this stage but merely considered to determine if, assuming the evidence is believed, it could support the inferences sought to be drawn by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is not a straightforward case of a mathematical or clerical error regarding the square footage of the residence located on the Property. There is no evidence that anyone has taken measurements of the residence to establish its precise square footage. Although Chen retained an expert to appraise the Property, the appraiser did not take his own measurements and instead assumed the Property was either 4024 square feet or 3445 square feet to establish their comparable market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before the court regarding the square footage of the residence is contained in the following documents: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floor plan of the main floor and roof and the basement and foundation dated April 18, 2001, that indicated a total area of 2070 square feet on the main floor and roof and 1440 square feet on the basement level and an additional floor space of 520 square feet in the garage.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MLS listing document dated February 12, 2009 that indicated the main floor area of the residence was 2005 square feet and the basement had 1440 square feet of finished space with a grand total floor area of 3445 square feet. This document was authored by Srivatsan Rangaraajan as a Global Force Realty Ltd. agent and as listing agent for the then owner, B. &amp; P. Gounder.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MLS listing document dated March 16, 2010, that indicated the main floor area was 2064 square feet and the finished "floor down" was a total of 1960 square feet for a grand total floor area of 4024 square feet. This document was authored by the defendant, Ladha as a RE/MAX agent and as listing agent for Cao.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MLS listing document dated October 11, 2011, that indicated the main floor area was 2000 square feet and the finished floor area down was 1440 square feet and the unfinished floor area was 590 square feet for a grand total floor area of 4030. This document was authored by Michael He as Royal Pacific Riverside Realty agent and as the listing agent for Cao.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Although this evidence is capable of supporting a number of alternate inferences regarding the total floor space of the Property, one inference that could be drawn is that the home has 3445 square feet of finished living space and 520 to 590 square feet of garage space. This necessarily leads to a conclusion that Ladha did not falsely represent the total area of the Property as significantly less than its actual measurements because the addition of these figures results in a total area of between 3965 and 4035 square feet. The question is essentially whether Ladha falsely misrepresented or misled Chen by not differentiating between the garage and the other areas of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MLS document authored by Ladha, the garage space is included, without differentiation, in the calculation of "finished floor basement". Whether or not this mischaracterizes the "garage" area depends upon the nature of this space in this particular residence. There is very little evidence before the court regarding the inside of the home apart from the description of the rooms contained in the MLS listing documents. Chen testified that there were two suites in the basement that were occupied by tenants; however, he did not view one of the suites and provided no description of the other. Further, Chen did not testify that he viewed the garage and did not testify as to whether it was finished or unfinished space. From the photograph of the residence contained in the MLS listing documents, it is apparent that the garage is attached to the residence and is parallel with the ground or basement floor. While the floor plan refers to a "double garage", it does not indicate whether the room is finished or unfinished. The only evidence that the garage is unfinished floor space is the statement in the MLS document dated October 11, 2011, which includes 590 square feet in this category of total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paucity of evidence concerning the lower floor of the residence is a concern because it may well be that one of the suites in the basement is located in the garage space or that the garage is finished living space in some respect. It would be mere conjecture to infer from the term "garage space" that it is entirely unfinished. Thus I am unable to infer from the limited evidence before me whether it was a false or a misleading statement to include the garage in this home in the category of "finished floor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If I am wrong in this conclusion, and the characterization of the 590 square feet as "unfinished floor" in the October 11, 2011, MLS listing document is some evidence that the garage space was falsely characterized by Ladha, the question remains whether this is an error that falls below the standard of care expected of a realtor acting for the seller as a listing agent. There is no evidence before the court as to the industry standard regarding the inclusion or exclusion of garage space in the finished area of a home. Whether or not there is a need for expert evidence on this point, Chen called no evidence of industry standards. Instead, Chen asks the court to take judicial notice of industry standards or accept the findings of fact in </w:t>
      </w:r>
      <w:r>
        <w:rPr>
          <w:rFonts w:ascii="arial" w:eastAsia="arial" w:hAnsi="arial" w:cs="arial"/>
          <w:i/>
          <w:color w:val="000000"/>
          <w:sz w:val="20"/>
          <w:lang w:val="en-US" w:eastAsia="en-US" w:bidi="ar-SA"/>
        </w:rPr>
        <w:t>Manarin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unable to accept that the standard of care in the real estate industry in BC regarding the characterization of a garage as unfinished floor space is broadly known and accepted such that the court could take judicial notice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Further, the conditions for admitting testimony from a prior proceeding are clearly absent in this case. It is hearsay evidence and must be approached from the perspective of necessity and reliability. I find that neither criterion is established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First, there is no indication that the evidence of the standards in the real estate industry led in </w:t>
      </w:r>
      <w:r>
        <w:rPr>
          <w:rFonts w:ascii="arial" w:eastAsia="arial" w:hAnsi="arial" w:cs="arial"/>
          <w:i/>
          <w:color w:val="000000"/>
          <w:sz w:val="20"/>
          <w:lang w:val="en-US" w:eastAsia="en-US" w:bidi="ar-SA"/>
        </w:rPr>
        <w:t>Manarin</w:t>
      </w:r>
      <w:r>
        <w:rPr>
          <w:rFonts w:ascii="arial" w:eastAsia="arial" w:hAnsi="arial" w:cs="arial"/>
          <w:color w:val="000000"/>
          <w:sz w:val="20"/>
          <w:lang w:val="en-US" w:eastAsia="en-US" w:bidi="ar-SA"/>
        </w:rPr>
        <w:t xml:space="preserve"> was under oath and subject to cross-examination. The Provincial Court is empowered to accept hearsay evidence and there is nothing in the judgment that indicates whether the evidence concerning standards set by the Real Estate Council of BC was admitted through an expert witness, a lay witness, as hearsay or by consent. Moreover, it is apparent that without a transcript of the proceedings before the Provincial Court in</w:t>
      </w:r>
      <w:r>
        <w:rPr>
          <w:rFonts w:ascii="arial" w:eastAsia="arial" w:hAnsi="arial" w:cs="arial"/>
          <w:i/>
          <w:color w:val="000000"/>
          <w:sz w:val="20"/>
          <w:lang w:val="en-US" w:eastAsia="en-US" w:bidi="ar-SA"/>
        </w:rPr>
        <w:t xml:space="preserve"> Manarin</w:t>
      </w:r>
      <w:r>
        <w:rPr>
          <w:rFonts w:ascii="arial" w:eastAsia="arial" w:hAnsi="arial" w:cs="arial"/>
          <w:color w:val="000000"/>
          <w:sz w:val="20"/>
          <w:lang w:val="en-US" w:eastAsia="en-US" w:bidi="ar-SA"/>
        </w:rPr>
        <w:t xml:space="preserve">, the court does not have a complete record of the evidence sought to be admitted in this trial. Second, the parties to this action and the </w:t>
      </w:r>
      <w:r>
        <w:rPr>
          <w:rFonts w:ascii="arial" w:eastAsia="arial" w:hAnsi="arial" w:cs="arial"/>
          <w:i/>
          <w:color w:val="000000"/>
          <w:sz w:val="20"/>
          <w:lang w:val="en-US" w:eastAsia="en-US" w:bidi="ar-SA"/>
        </w:rPr>
        <w:t>Manarin</w:t>
      </w:r>
      <w:r>
        <w:rPr>
          <w:rFonts w:ascii="arial" w:eastAsia="arial" w:hAnsi="arial" w:cs="arial"/>
          <w:color w:val="000000"/>
          <w:sz w:val="20"/>
          <w:lang w:val="en-US" w:eastAsia="en-US" w:bidi="ar-SA"/>
        </w:rPr>
        <w:t xml:space="preserve"> action are not the same and the defendants in this trial did not have an opportunity to cross-examine the witness who may or may not have testified in the </w:t>
      </w:r>
      <w:r>
        <w:rPr>
          <w:rFonts w:ascii="arial" w:eastAsia="arial" w:hAnsi="arial" w:cs="arial"/>
          <w:i/>
          <w:color w:val="000000"/>
          <w:sz w:val="20"/>
          <w:lang w:val="en-US" w:eastAsia="en-US" w:bidi="ar-SA"/>
        </w:rPr>
        <w:t>Manarin</w:t>
      </w:r>
      <w:r>
        <w:rPr>
          <w:rFonts w:ascii="arial" w:eastAsia="arial" w:hAnsi="arial" w:cs="arial"/>
          <w:color w:val="000000"/>
          <w:sz w:val="20"/>
          <w:lang w:val="en-US" w:eastAsia="en-US" w:bidi="ar-SA"/>
        </w:rPr>
        <w:t xml:space="preserve"> trial. Third, there is no necessity proven. Chen is not forced to rely on the testimony led in an earlier proceeding because the declarant is now deceased or otherwise unavailable to testify in this trial. Indeed, Chen could have led this evidence from any realtor licenced to practice in BC. Without these prerequisites, it is my view that the evidence lacks the proper safeguards and guarantees of trustworthiness to overcome the dangers inherent in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a consequence, there is no evidence before the court from which I may infer that including garage space in the category of finished floor space falls below the standards expected of a realtor. This may not be a case in which expert evidence of the standard of care is mandatory (unlike the circumstances before Justice Kloegman in </w:t>
      </w:r>
      <w:r>
        <w:rPr>
          <w:rFonts w:ascii="arial" w:eastAsia="arial" w:hAnsi="arial" w:cs="arial"/>
          <w:i/>
          <w:color w:val="000000"/>
          <w:sz w:val="20"/>
          <w:lang w:val="en-US" w:eastAsia="en-US" w:bidi="ar-SA"/>
        </w:rPr>
        <w:t>Perrault</w:t>
      </w:r>
      <w:r>
        <w:rPr>
          <w:rFonts w:ascii="arial" w:eastAsia="arial" w:hAnsi="arial" w:cs="arial"/>
          <w:color w:val="000000"/>
          <w:sz w:val="20"/>
          <w:lang w:val="en-US" w:eastAsia="en-US" w:bidi="ar-SA"/>
        </w:rPr>
        <w:t>); however, it is also not a case where the conduct is dishonest or fraudulent or so blatantly negligent or egregious that no evidence of the standards expected of a realtor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I said earlier, this is not a straightforward mathematical error or a clerical mistake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founded upon the duty of a realtor who provides information to prospective buyers to exercise reasonable care and skill to ensure the information is accurate. Characterizing a garage as finished or unfinished floor space requires the exercise of judgment by the realtor. Whether or not Ladha's characterization of the garage in this case as finished floor area was negligent clearly depends on industry standards. Absent some evidence of what those standards are the court is unable to draw any inferences regarding Ladha's exercise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Thus I must conclude that while there may be a duty of care owed by Ladha and RE/MAX to Chen, there is no evidence that he breached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Turning to Chen's alternate argument, I am also satisfied that this is not an appropriate case to permit a re-opening to call additional evidence. Chen was aware of the evidentiary burden upon him to prove negligent misrepresentation. The defendants made their position regarding the requirement to adduce expert evidence clear prior to trial. Thus Chen cannot argue that he was taken by surprise. To permit Chen to re-open his case in these circumstances would be tantamount to permitting him to split his case. The evidence required to establish the standard of care was available to Chen prior to trial with the exercise of due diligence. Chen chose to proceed to trial on the basis that expert evidence of the standard of care was not necessary and the court could take judicial notice of the standard of care. The failure to lead evidence regarding this element of the tort was not merely an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my view, the circumstances of this case are similar to the facts in </w:t>
      </w:r>
      <w:r>
        <w:rPr>
          <w:rFonts w:ascii="arial" w:eastAsia="arial" w:hAnsi="arial" w:cs="arial"/>
          <w:i/>
          <w:color w:val="000000"/>
          <w:sz w:val="20"/>
          <w:lang w:val="en-US" w:eastAsia="en-US" w:bidi="ar-SA"/>
        </w:rPr>
        <w:t>Seiler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Seiler</w:t>
      </w:r>
      <w:r>
        <w:rPr>
          <w:rFonts w:ascii="arial" w:eastAsia="arial" w:hAnsi="arial" w:cs="arial"/>
          <w:color w:val="000000"/>
          <w:sz w:val="20"/>
          <w:lang w:val="en-US" w:eastAsia="en-US" w:bidi="ar-SA"/>
        </w:rPr>
        <w:t>, the plaintiffs sought to re-open their case when the court granted the defendants' no evidence motion based on a failure to call expert evidence of the standard of care. At paras. 44-46, Edwards J. dismissed the application to re-open on the ground that it was impermissible case splitting: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decision in this case not to call expert evidence essential to prove their case was not an oversight. Plaintiffs' counsel's submission was that expert evidence was not necessary in this case. To permit the plaintiffs to now introduce expert evidence, or to apply to call defendants' representatives as hostile witnesses would amount to permitting the plaintiffs to split their case.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Gold v. Gold</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[1992] B.C.J. No. 651</w:t>
        </w:r>
      </w:hyperlink>
      <w:r>
        <w:rPr>
          <w:rFonts w:ascii="arial" w:eastAsia="arial" w:hAnsi="arial" w:cs="arial"/>
          <w:color w:val="000000"/>
          <w:sz w:val="20"/>
          <w:lang w:val="en-US" w:eastAsia="en-US" w:bidi="ar-SA"/>
        </w:rPr>
        <w:t xml:space="preserve"> refers to authority that the Court has inherent jurisdiction to permit a party to re-open a case to introduce evidence which could not have been discovered with due diligence. This is not such a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Rule 40(7) does not permit case splitting in this way. I find it is not open to the plaintiff to seek to continue the trail despite the defendants' successful applications under Rule 40(8).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reasoning applies equally to the case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these reasons, I dismiss Chen's action against the defendants for negligent misrepresentation. The defendants are entitled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Cao's action against Chen should be rescheduled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2"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First National Properties Ltd. v. Northland Road Services Ltd., [2008] B.C.J. No. 830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S77578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830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569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70 C.L.R. (3d) 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C.E.L.R. (3d) 170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916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656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First National Properties Ltd., Plaintiff, and Northland Road Services Ltd., James Feragen and Scott A. LaPrairie, Defendants, and Amec Earth &amp; Environmental Limited,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3"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9"/>
      <w:bookmarkEnd w:id="190"/>
      <w:r>
        <w:rPr>
          <w:rFonts w:ascii="arial" w:eastAsia="arial" w:hAnsi="arial" w:cs="arial"/>
          <w:b/>
          <w:color w:val="000000"/>
          <w:sz w:val="20"/>
          <w:lang w:val="en-US" w:eastAsia="en-US" w:bidi="ar-SA"/>
        </w:rPr>
        <w:t>Civil litigation — Civil procedure — Disposition without trial — Dismissal of action — Delay or failure to prosecute — Prejudice to defendant — Time for applying — Application for dismissal of action allowed — Plaintiff commenced an action against the defendant for remediation costs of salt contamination on land leased by the defendant — Defendant claimed the contamination had been resolved in 1993 — Cause of action had begun in 1997, but plaintiff filed a Statement of Claim in 2002 — As the quantum for costs was only realized in 2006, the action was not statute-barred under the Limitations Act — The plaintiff's delay in bringing the action was inordinate, and would cause prejudice to defendant if allowed to proceed.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Limitations of actions — General principles — Legislation — Interpretations — Statutes — Time — When time begins to run — Application for dismissal of action allowed — Plaintiff commenced an action against the defendant for remediation costs of salt contamination on land leased by the defendant — Defendant claimed the contamination had been resolved in 1993 — Cause of action had begun in 1997, but plaintiff filed a Statement of Claim in 2002 — As the quantum for costs was only realized in 2006, the action was not statute-barred under the Limitations Act — The plaintiff's delay in bringing the action was inordinate, and would cause prejudice to defendant if allowed to proceed.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Environmental law — Environmental liability — Contaminated land — Sire remediation — Application for dismissal of action allowed — Plaintiff commenced an action against the defendant for remediation costs of salt contamination on land leased by the defendant — Defendant claimed the contamination had been resolved in 1993 — Cause of action had begun in 1997, but plaintiff filed a Statement of Claim in 2002 — As the quantum for costs was only realized in 2006, the action was not statute-barred under the Limitations Act — The plaintiff's delay in bringing the action was inordinate, and would cause prejudice to defendant if allowed to proceed.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24"/>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Northland Road Services for dismissal of action. Northland had leased property from the plaintiff First National in 1990. In 1992, a complaint was lodged against both parties for the contamination by salt of neighbouring properties. Northland retained an environmental consultant and undertook preventative measures, supported by First National. In 1996, another complaint of alleged salt contamination was lodged to First National. First National terminated Northland's lease in 1997, and alleged that Northland was responsible for remediation of the salt contamination. Northland argued that the contamination had been resolved through its actions in 1993. First National commenced an action in 2002, arguing that it had incurred remediation costs which Northland was responsible for. First National completed the remediation of the site in 2006, and filed a Statement of Claim for the costs in 2007, over five years after the Writ of Summons had been filed. Northland sought to have the action dismissed on the grounds that it was statute-barred by the operation of the Limitations Act, and alternatively that the action be dismissed for want of prosecution. First National contended that the action was subject to the six-year limitation period for a claim for indemnity.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2" w:name="Holdings of Court_17"/>
            <w:bookmarkEnd w:id="19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limitation period began to run when the plaintiff, exercising reasonable diligence, discovered or ought to have discovered material facts on which a claim was based. First National's cause of action arose in 1997, but the quantum of the remediation costs was not known until 2006, which was a material fact to the cause of action. The application for dismissal on the basis that the action was statute-barred failed. To determine whether an action could be dismissed for want of prosecution, there had to have been an inordinate delay, the delay had to have been inexcusable, and the delay was to have been likely to cause serious prejudice to the defendant. Inordinate delay had to be considered in the context of the proceedings and not in relation to when the cause of action arose. The plaintiff had an obligation to proceed with due diligence and expedition when an action was commenced. The delay of the plaintiffs was inordinate, and no satisfactory explanations had been offered. The prejudice caused by the delay to the defendant was significant, as the initial complaint had been made in 1992, yet First National waited until 2002 before commencing the action. First National had the power to commence an action in 1997 and chose not to do so. As a just determination of the dispute was no longer assured, the application to dismiss for want of prosecution was allowed.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3" w:name="Legislation Cited_24"/>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4"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Environmental Management Act, </w:t>
      </w:r>
      <w:hyperlink r:id="rId550" w:history="1">
        <w:r>
          <w:rPr>
            <w:rFonts w:ascii="arial" w:eastAsia="arial" w:hAnsi="arial" w:cs="arial"/>
            <w:i/>
            <w:color w:val="0077CC"/>
            <w:sz w:val="20"/>
            <w:u w:val="single"/>
            <w:shd w:val="clear" w:color="auto" w:fill="FFFFFF"/>
            <w:lang w:val="en-US" w:eastAsia="en-US" w:bidi="ar-SA"/>
          </w:rPr>
          <w:t>S.B.C. 2003, c. 53, s. 39</w:t>
        </w:r>
      </w:hyperlink>
      <w:r>
        <w:rPr>
          <w:rFonts w:ascii="arial" w:eastAsia="arial" w:hAnsi="arial" w:cs="arial"/>
          <w:color w:val="000000"/>
          <w:sz w:val="20"/>
          <w:lang w:val="en-US" w:eastAsia="en-US" w:bidi="ar-SA"/>
        </w:rPr>
        <w:t>(1), s. 44, s. 45(1), s. 47, s. 47(1), s. 47(5), s.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Limitations Act, R.S.B.C. 1996, c. 266, s. 3(2), s. 3(2)(a), 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1(5), Rule 2(7),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Waste Management Act, R.S.B.C. 1996, c. 482, s. 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4" w:name="Counsel_30"/>
      <w:bookmarkEnd w:id="1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Letcher and S.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Bilawich.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5" w:name="Judgment_30"/>
      <w:bookmarkEnd w:id="195"/>
      <w:r>
        <w:pict>
          <v:line id="_x0000_s1176"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6" w:name="D.M. SMITH J."/>
            <w:bookmarkEnd w:id="196"/>
            <w:r>
              <w:rPr>
                <w:rFonts w:ascii="arial" w:eastAsia="arial" w:hAnsi="arial" w:cs="arial"/>
                <w:b/>
                <w:color w:val="000000"/>
                <w:sz w:val="30"/>
                <w:lang w:val="en-US" w:eastAsia="en-US" w:bidi="ar-SA"/>
              </w:rPr>
              <w:t>D.M.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NATURE OF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corporate defendant Northland Road Services Ltd. ("Northland"), and the personal defendant directors of Northland, James Feragen and Scott LaPrairie, apply for an order pursuant to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that the action commenced by the plaintiff First National Properties Ltd. ("First National"), be dismissed on the grounds that it is statute-barred by the operation of the </w:t>
      </w:r>
      <w:r>
        <w:rPr>
          <w:rFonts w:ascii="arial" w:eastAsia="arial" w:hAnsi="arial" w:cs="arial"/>
          <w:b/>
          <w:i/>
          <w:color w:val="000000"/>
          <w:sz w:val="20"/>
          <w:lang w:val="en-US" w:eastAsia="en-US" w:bidi="ar-SA"/>
        </w:rPr>
        <w:t>Limitations Act</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as amended. In the alternative, the defendants apply for an order pursuant to Rule 2(7)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that the action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action was commenced on December 16, 2002. It involves a claim against Northland for the recovery of remediation costs pursuant to s. 27 of the </w:t>
      </w:r>
      <w:r>
        <w:rPr>
          <w:rFonts w:ascii="arial" w:eastAsia="arial" w:hAnsi="arial" w:cs="arial"/>
          <w:b/>
          <w:i/>
          <w:color w:val="000000"/>
          <w:sz w:val="20"/>
          <w:lang w:val="en-US" w:eastAsia="en-US" w:bidi="ar-SA"/>
        </w:rPr>
        <w:t>Waste Management Act</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 Northland is a highway maintenance contractor that leased property near Fort St. John from First National between 1990 and 1997. First National alleges that during that period Northland stockpiled salt that leached onto neighbouring properties. In 1992 First National and Northland received a complaint from the owner of one of the neighbouring properties. Northland retained the services of HBT Agra Limited ("Agra"), now called Amec Earth &amp; Environmental Limited ("Amec"), to remedy the problem. First National claims the problem was not resolved and that after Northland's lease ended in October 1997 First National incurred remediation costs to clean up the contaminated property. In this action, First National seeks to collect those costs from the corporate and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 preliminary issue arose on the Rule 18A application as to whether a limitation defence can be determined by summary judgment in advance of a trial. This issue was recently addressed in </w:t>
      </w:r>
      <w:r>
        <w:rPr>
          <w:rFonts w:ascii="arial" w:eastAsia="arial" w:hAnsi="arial" w:cs="arial"/>
          <w:b/>
          <w:i/>
          <w:color w:val="000000"/>
          <w:sz w:val="20"/>
          <w:lang w:val="en-US" w:eastAsia="en-US" w:bidi="ar-SA"/>
        </w:rPr>
        <w:t>Canada (Attorney General) v. Lameman</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[2008] S.C.J. No. 14</w:t>
        </w:r>
      </w:hyperlink>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where the Supreme Court of Canada endorsed the use of the summary judgment rule for determining if an action was statute-barred. The court concluded that if an action was statute-barred, there would be "no genuine issue of material fact requiring trial". At para. 10 and 11 it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summary judgment rule serves an important purpose in the civil litigation system. It prevents claims or defences that have no chance of success from proceeding to trial. Trying unmeritorious claims imposes a heavy price in terms of time and cost on the parties to the litigation and on the justice system. It is essential to the proper operation of the justice system and beneficial to the parties that claims that have no chance of success be weeded out at an early stage. Conversely, it is essential to justice that claims disclosing real issues that may be successful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this reason, the bar on a motion for summary judgment is high. The defendant who seeks summary dismissal bears the evidentiary burden of showing that there is "no genuine issue of material fact requiring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this case, the chronology of events is largely undisputed. For that reason, I am satisfied that if the within action is found to be statute-barred, there would be "no genuine issue of material fact requiring trial". I am also satisfied the defendants' application is sufficiently discrete that a full and complete examination of the factual matrix upon which the claim is based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CHRONOLOGY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Northland operates a highway maintenance business. In March 1990, it entered into a lease of property near Fort St. John with First National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July 1992, an owner of neighbouring property complained to Northland and First National that his property had been contaminated by salt originating from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Between 1992 and 1994, Northland retained a professional environmental consultant, Agra, to investigate, recommend and help implement preventative solutions. Agra initially recommended a perimeter ditch around the stockpile on the Property but that proved inadequate. Agra next recommended the installation of a liner in the ditch (the "containment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October 1993 the containment structure was built and installed. First National supported Northland's remedial action. Agra subsequently inspected, approved and certified the containment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August 16, 1994, Agra changed its name to Amec.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May 1, 1996, a solicitor for the owner of the neighbouring property wrote First National alleging ongoing contamination by salt originating from the Property. First National passed the letter on to Northland on June 7, 1996. On June 10, 1996, Northland replied to First National enclosing a chronological summary of events concerning the neighbouring property and a copy of Amec's October 21, 1993 report to Northland indicating the apparent success of the containment structure. On June 21, 1996, First National acknowledged receipt of Northland's letter of June 10, 1996, and its enclosures.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August 12, 1996, First National again wrote Northland regarding remediation of the alleged salt contamination. Northland did not respond to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16, 1997, First National wrote to Northland stating that its lease was being terminated effective October 31, 1997; that Northland had until then to remove all sand, salt and other materials it deposited on the Property; that Northland's occupation of the property resulted in the contamination of the Property, the surrounding property owned by First National and the neighbouring complainant's property; that First National required Northland's proposal to restore the contaminated areas of the Property and the neighbouring complainant's property, to their pre-contaminated state by October 31, 1997; and that after October 31, 1997, First National would take the necessary steps to remediate the Property, the neighbouring complainant's property and recover all costs from Northland.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October 31, 1997, Northland vacated the Property. Since November 1, 1997, First National has had exclusive possession and control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21, 2001, First National again wrote Northland alleging that Northland was responsible for remediation of the salt contamination of the Property and the neighbouring complainant's property and that Northland should pay for site testing by Amec and remediation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June 11, 2001, counsel for First National wrote to Northland repeating its claim that Northland was responsible for the salt contamination on the Property and the neighbouring complainant's property. Counsel for Northland responded on June 21, 2001, confirming its earlier position that the alleged salt contamination had been resolved by the contamination structure installed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December 16, 2002, First National commenced this action naming Northland and its directors, Feragen and LaPrairie in their personal capacities. It did not serve the Writ of Summons until December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interim, on December 17, 2002, counsel for First National wrote to Northland alleging Northland had failed to remove the contaminants from the Property before the expiration of its lease and demanding that it do so by December 20, 2002. In 2003 Northland inspected the property and found only some wooden timbers that it thought might have been remnants from the former salt shed, and some barrels and tires that it believed someone else had deposited on the Property. Northland removed all of these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being served with the Writ of Summons, the defendants filed an Appearance to the action on December 10,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First National did not file or deliver a Statement of Claim after being served with the defendants' Appearance and the action became dormant.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2005 the parties exchanged letters regarding the scheduling of settlement discussions. However, no meeting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First National completed remediation of the site in the latter part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was no express agreement between First National and Northland that the action would be deferred for settlement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December 19, 2006, First National filed and delivered to the defendants a Notice of Intention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April 2, 2007, the defendants retained their current counsel who filed a Notice of Change of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April 3, 2007 (five years and three months after the Writ of Summons was filed), First National filed a Statement of Claim seeking a declaration that the defendants are responsible for remediation of the Property and neighbouring properties, the remediation costs incurred by First National,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May 1, 2007, the defendants filed a Statement of Defence and Third Party Notice against Amec. Amec filed an appearance on May 11, 2007, and a Statement of Defence to the Third Party Notice on June 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December 19, 2007, the defendants delivered this summary judgment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1996 Northland's Quality Control Officer moved to Peru. His current whereabouts is unknown. On October 20, 2006, Northland's Superintendent died. Both Northland officers worked at the Property during the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Waste Management Act</w:t>
      </w:r>
      <w:r>
        <w:rPr>
          <w:rFonts w:ascii="arial" w:eastAsia="arial" w:hAnsi="arial" w:cs="arial"/>
          <w:color w:val="000000"/>
          <w:sz w:val="20"/>
          <w:lang w:val="en-US" w:eastAsia="en-US" w:bidi="ar-SA"/>
        </w:rPr>
        <w:t xml:space="preserve"> was proclaimed on April 1, 1997. It was replaced by the </w:t>
      </w:r>
      <w:r>
        <w:rPr>
          <w:rFonts w:ascii="arial" w:eastAsia="arial" w:hAnsi="arial" w:cs="arial"/>
          <w:b/>
          <w:i/>
          <w:color w:val="000000"/>
          <w:sz w:val="20"/>
          <w:lang w:val="en-US" w:eastAsia="en-US" w:bidi="ar-SA"/>
        </w:rPr>
        <w:t>Environmental Management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on July 8, 2004.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its predecessor contain a number of similar provisions including the material ones to this application. In particular,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created a new cause of action for the recovery of reasonably incurred costs of remediation of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Sections 47(1) and 47(5)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set out the general principles of liability for remediation:</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responsible for remediation at a contaminated site is absolutely, retroactively and jointly and separately liable to any person or government body for reasonably incurred costs of remediation of the contaminated site, whether incurred on or off the contaminated site.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s. 50(3) </w:t>
      </w:r>
      <w:r>
        <w:rPr>
          <w:rFonts w:ascii="arial" w:eastAsia="arial" w:hAnsi="arial" w:cs="arial"/>
          <w:i/>
          <w:color w:val="000000"/>
          <w:sz w:val="20"/>
          <w:lang w:val="en-US" w:eastAsia="en-US" w:bidi="ar-SA"/>
        </w:rPr>
        <w:t>[minor contributors]</w:t>
      </w:r>
      <w:r>
        <w:rPr>
          <w:rFonts w:ascii="arial" w:eastAsia="arial" w:hAnsi="arial" w:cs="arial"/>
          <w:color w:val="000000"/>
          <w:sz w:val="20"/>
          <w:lang w:val="en-US" w:eastAsia="en-US" w:bidi="ar-SA"/>
        </w:rPr>
        <w:t>, any person, including, but not limited to, a responsible person and a director, who incurs costs in carrying out remediation of a contaminated site may commence an action or a proceeding to recover the reasonably incurred costs of remediation from one or more responsible persons in accordance with the principles of liability set out in this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 contaminated site is defined in s. 39(1)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"contaminated site" means an area of the land in which the soil or any groundwater lying beneath it, or the water or the underlying sediment, contains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hazardous waste,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prescribed substance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quantities or concentrations exceeding prescribed risk based or numerical criteria or standards or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Section 39(1)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also defines "person" as including "a government body and any director, officer, employee or agent of a person or government body"; "operator" as "a person who is or was in control of or responsible for any operation located at a contaminated site"; and "owner" as a person who is in possession, has the right of control, or occupies or controls the use of real property. Section 45(1) provides that a current or previous owner or operator of a contaminated site is responsible for its remediation. These definitions encompass both the corporate and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Section 44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establishes an administrative or regulatory process in which a director or allocation panel can order remediation from a responsible person and then allocate the remediation costs between other responsible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Section 54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an alternative independent remediation procedure that effectively bypasses the regulatory process. The latter process authorizes a party who has voluntarily incurred remediation costs for a contaminated site, to commence an action for a declaration that a site was contaminated. Upon the granting of the declaration, the party can obtain an order for recovery of its reasonable remediation costs and an order apportioning those costs among other responsible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First National has employed the latter process in its commencement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expressly provide a limitation period for a remediation cost-recovery action. One must examine the provisions of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to determine the period in which such an action must be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LIMITATIONS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Section 3(2)(a)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(4)(k), for damages in respect of injury to person or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If s. 3(2) does not apply, the default provisions of s. 3(5) say:</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light of these provisions, the characterization of First National's claim is critical to the determination of which provision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defendants characterize the action as a claim for damage to property. They submit that in pith and substance the action is a claim for environmental damage to land and rely on the definition of a "contaminated site" in s. 39(1)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to support their claim. In the alternative, they submit the claim is for breach of a statutory duty to remediate contaminated property. Based on these characterizations of the nature of First National's action, they contend that the applicable limitation period is two years from the date First National became aware of the damage to the Property, which was as early as 1992 and as late as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support of their position the defendants rely on </w:t>
      </w:r>
      <w:r>
        <w:rPr>
          <w:rFonts w:ascii="arial" w:eastAsia="arial" w:hAnsi="arial" w:cs="arial"/>
          <w:b/>
          <w:i/>
          <w:color w:val="000000"/>
          <w:sz w:val="20"/>
          <w:lang w:val="en-US" w:eastAsia="en-US" w:bidi="ar-SA"/>
        </w:rPr>
        <w:t>Low v. Petro-Canada Inc.</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[2001] B.C.J. No. 318</w:t>
        </w:r>
      </w:hyperlink>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2001 BCSC 251</w:t>
        </w:r>
      </w:hyperlink>
      <w:r>
        <w:rPr>
          <w:rFonts w:ascii="arial" w:eastAsia="arial" w:hAnsi="arial" w:cs="arial"/>
          <w:color w:val="000000"/>
          <w:sz w:val="20"/>
          <w:lang w:val="en-US" w:eastAsia="en-US" w:bidi="ar-SA"/>
        </w:rPr>
        <w:t>, in which Macaulay J. held that a claim for damages including environmental remediation costs that arose from the leakage or spillage over time of gasoline from an underground storage tank, was statute-barred after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First National characterizes its claim as a remediation cost-recovery action that is uniquely provided for under the provisions of the </w:t>
      </w:r>
      <w:r>
        <w:rPr>
          <w:rFonts w:ascii="arial" w:eastAsia="arial" w:hAnsi="arial" w:cs="arial"/>
          <w:b/>
          <w:i/>
          <w:color w:val="000000"/>
          <w:sz w:val="20"/>
          <w:lang w:val="en-US" w:eastAsia="en-US" w:bidi="ar-SA"/>
        </w:rPr>
        <w:t>Waste Management Act</w:t>
      </w:r>
      <w:r>
        <w:rPr>
          <w:rFonts w:ascii="arial" w:eastAsia="arial" w:hAnsi="arial" w:cs="arial"/>
          <w:color w:val="000000"/>
          <w:sz w:val="20"/>
          <w:lang w:val="en-US" w:eastAsia="en-US" w:bidi="ar-SA"/>
        </w:rPr>
        <w:t xml:space="preserve"> and its successor provisions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contends that as that legislation was not implemented until April 1, 1997, time does not begin to run until that date. It submits that the nature of the claim is not for damages based on tort, contract or statutory duty but is more akin to a claim for indemnity and therefore subject to the s. 3(5) six 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support of its position, First National relies on </w:t>
      </w:r>
      <w:r>
        <w:rPr>
          <w:rFonts w:ascii="arial" w:eastAsia="arial" w:hAnsi="arial" w:cs="arial"/>
          <w:b/>
          <w:i/>
          <w:color w:val="000000"/>
          <w:sz w:val="20"/>
          <w:lang w:val="en-US" w:eastAsia="en-US" w:bidi="ar-SA"/>
        </w:rPr>
        <w:t>Bramalea-Pritzker Associates v. Stephen J. Cannell Productions</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[1992] B.C.J. No. 2570</w:t>
        </w:r>
      </w:hyperlink>
      <w:r>
        <w:rPr>
          <w:rFonts w:ascii="arial" w:eastAsia="arial" w:hAnsi="arial" w:cs="arial"/>
          <w:color w:val="000000"/>
          <w:sz w:val="20"/>
          <w:lang w:val="en-US" w:eastAsia="en-US" w:bidi="ar-SA"/>
        </w:rPr>
        <w:t xml:space="preserve"> (C.A.) (QL). The circumstances in that case involved an indemnification agreement for damage caused by a television stunt in a hotel's glass-enclosed elevator. The defendant stunt operators unsuccessfully applied to have the plaintiff hotel's action for damages dismissed as being statute-barred after two years. The dismissal of their application was upheld on appeal on the grounds that the plaintiff's action was in the nature of a claim for indemnity under an agreement rather than for damages, and therefore was not subject to the shorter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 the action statute-barred?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 limitation period begins to run when the plaintiff, by exercise of reasonable diligence, discovers or ought to have discovered material facts on which a claim is based. The court in </w:t>
      </w:r>
      <w:r>
        <w:rPr>
          <w:rFonts w:ascii="arial" w:eastAsia="arial" w:hAnsi="arial" w:cs="arial"/>
          <w:b/>
          <w:i/>
          <w:color w:val="000000"/>
          <w:sz w:val="20"/>
          <w:lang w:val="en-US" w:eastAsia="en-US" w:bidi="ar-SA"/>
        </w:rPr>
        <w:t>Lameman</w:t>
      </w:r>
      <w:r>
        <w:rPr>
          <w:rFonts w:ascii="arial" w:eastAsia="arial" w:hAnsi="arial" w:cs="arial"/>
          <w:color w:val="000000"/>
          <w:sz w:val="20"/>
          <w:lang w:val="en-US" w:eastAsia="en-US" w:bidi="ar-SA"/>
        </w:rPr>
        <w:t xml:space="preserve"> reiterated this principle as it was established in </w:t>
      </w:r>
      <w:r>
        <w:rPr>
          <w:rFonts w:ascii="arial" w:eastAsia="arial" w:hAnsi="arial" w:cs="arial"/>
          <w:b/>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at 224.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issues in this application are: what is the cause of action, and when did it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submit the cause of action is for damages for environmental contamination of property or alternatively for enforcement of a statutory duty to remediate a contaminated site. They submit the cause of action arose at the latest in 1996. They say that First National was in possession of all the material facts for an environmental claim against Northland by May 1, 1996, or in the alternative by June 7, 1996, when First National wrote to Northland for details of the remedial work Northland had undertaken on the Property. Applying either the two-year or six-year limitation period, they submit that First National's claim is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First National submits the earliest the cause of action could have arisen was April 1, 1997, when the </w:t>
      </w:r>
      <w:r>
        <w:rPr>
          <w:rFonts w:ascii="arial" w:eastAsia="arial" w:hAnsi="arial" w:cs="arial"/>
          <w:b/>
          <w:i/>
          <w:color w:val="000000"/>
          <w:sz w:val="20"/>
          <w:lang w:val="en-US" w:eastAsia="en-US" w:bidi="ar-SA"/>
        </w:rPr>
        <w:t>Waste Management Act</w:t>
      </w:r>
      <w:r>
        <w:rPr>
          <w:rFonts w:ascii="arial" w:eastAsia="arial" w:hAnsi="arial" w:cs="arial"/>
          <w:color w:val="000000"/>
          <w:sz w:val="20"/>
          <w:lang w:val="en-US" w:eastAsia="en-US" w:bidi="ar-SA"/>
        </w:rPr>
        <w:t xml:space="preserve"> was implemented. In fact, however, it says the cause of action did not arise until First National had completed its remediation of the property in 2006. It contends the quantification of its remediation costs is a material fact that was not known until 2006 and that time did not begin to run until all the material facts were known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If the Court finds that the cause of action arose on April 1, 1997, it must decide which of the two limitation periods is applicable. On the other hand, if the Court decides the cause of action did not arise until 2006 after all the material facts, including the remediation costs, were known to First National, the issue is moot as the action was commenced well before the time began to run for the purpose of determining the appropriate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Workshop Holdings Ltd. v. CAE Machinery Ltd.</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[2003] B.C.J. No. 165</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2003 BCCA 56</w:t>
        </w:r>
      </w:hyperlink>
      <w:r>
        <w:rPr>
          <w:rFonts w:ascii="arial" w:eastAsia="arial" w:hAnsi="arial" w:cs="arial"/>
          <w:color w:val="000000"/>
          <w:sz w:val="20"/>
          <w:lang w:val="en-US" w:eastAsia="en-US" w:bidi="ar-SA"/>
        </w:rPr>
        <w:t xml:space="preserve">, is the only appellate decision to date that has discussed the </w:t>
      </w:r>
      <w:r>
        <w:rPr>
          <w:rFonts w:ascii="arial" w:eastAsia="arial" w:hAnsi="arial" w:cs="arial"/>
          <w:b/>
          <w:i/>
          <w:color w:val="000000"/>
          <w:sz w:val="20"/>
          <w:lang w:val="en-US" w:eastAsia="en-US" w:bidi="ar-SA"/>
        </w:rPr>
        <w:t>Waste Management Act</w:t>
      </w:r>
      <w:r>
        <w:rPr>
          <w:rFonts w:ascii="arial" w:eastAsia="arial" w:hAnsi="arial" w:cs="arial"/>
          <w:color w:val="000000"/>
          <w:sz w:val="20"/>
          <w:lang w:val="en-US" w:eastAsia="en-US" w:bidi="ar-SA"/>
        </w:rPr>
        <w:t xml:space="preserve">. The circumstances of the case involved the developer Workshop Holdings Ltd. ("Workshop") commencing an action against the defendant CAE Machinery Ltd. ("CAE") which operated a brass foundry on the property between 1924 and 1941. In the action, Workshop made a claim for recovery of remediation costs it had voluntarily incurred to clean-up property it proposed to develop. The defendant applied to dismiss the action on the grounds that it had not sought a final determination under the regulatory process of the </w:t>
      </w:r>
      <w:r>
        <w:rPr>
          <w:rFonts w:ascii="arial" w:eastAsia="arial" w:hAnsi="arial" w:cs="arial"/>
          <w:b/>
          <w:i/>
          <w:color w:val="000000"/>
          <w:sz w:val="20"/>
          <w:lang w:val="en-US" w:eastAsia="en-US" w:bidi="ar-SA"/>
        </w:rPr>
        <w:t>Waste Management Act</w:t>
      </w:r>
      <w:r>
        <w:rPr>
          <w:rFonts w:ascii="arial" w:eastAsia="arial" w:hAnsi="arial" w:cs="arial"/>
          <w:color w:val="000000"/>
          <w:sz w:val="20"/>
          <w:lang w:val="en-US" w:eastAsia="en-US" w:bidi="ar-SA"/>
        </w:rPr>
        <w:t xml:space="preserve"> before commencing its action. CAE contended that such a determination was a statutory prerequisite to Workshop's independent cost-recovery action. The chambers judge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allowing the appeal, the court held there was no such prerequisite to an independent cost-recovery action under the </w:t>
      </w:r>
      <w:r>
        <w:rPr>
          <w:rFonts w:ascii="arial" w:eastAsia="arial" w:hAnsi="arial" w:cs="arial"/>
          <w:b/>
          <w:i/>
          <w:color w:val="000000"/>
          <w:sz w:val="20"/>
          <w:lang w:val="en-US" w:eastAsia="en-US" w:bidi="ar-SA"/>
        </w:rPr>
        <w:t>Waste Management Act.</w:t>
      </w:r>
      <w:r>
        <w:rPr>
          <w:rFonts w:ascii="arial" w:eastAsia="arial" w:hAnsi="arial" w:cs="arial"/>
          <w:color w:val="000000"/>
          <w:sz w:val="20"/>
          <w:lang w:val="en-US" w:eastAsia="en-US" w:bidi="ar-SA"/>
        </w:rPr>
        <w:t xml:space="preserve"> In the course of addressing the requirements of the </w:t>
      </w:r>
      <w:r>
        <w:rPr>
          <w:rFonts w:ascii="arial" w:eastAsia="arial" w:hAnsi="arial" w:cs="arial"/>
          <w:b/>
          <w:i/>
          <w:color w:val="000000"/>
          <w:sz w:val="20"/>
          <w:lang w:val="en-US" w:eastAsia="en-US" w:bidi="ar-SA"/>
        </w:rPr>
        <w:t>Waste Management Act</w:t>
      </w:r>
      <w:r>
        <w:rPr>
          <w:rFonts w:ascii="arial" w:eastAsia="arial" w:hAnsi="arial" w:cs="arial"/>
          <w:color w:val="000000"/>
          <w:sz w:val="20"/>
          <w:lang w:val="en-US" w:eastAsia="en-US" w:bidi="ar-SA"/>
        </w:rPr>
        <w:t>, Huddart J.A., for the court, made the following comments at para. 41, 43, 44, 46, 61 and 70, regarding the legislation: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Fundamental to the new scheme were three principles: absolute liability, retroactivity, and joint and several liability, all in aid of the underlying governmental policy of "polluter-pay"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policy underlying the new scheme is to strive to hold those who benefited economically from that contamination responsible for its remediation.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Professors Tollefson and Belevsky noted at p. 58 of their final report "External Review of Remediation Liability Provisions: The Waste Management Amendment Act, 1993" (31 July 1996), ... traditional common law analysis was thought insufficient to allocate the costs of pollution remediation properly. Limitation periods were considered to pose a significant barrier to the recovery of damages at common law for historical pollution. Contract analysis focuses only on current and immediately previous owners of a site.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imposes a burden on those bringing an environmental action to establish causation as well as the failure to meet the appropriate standard of care. This is a difficult burden when contamination is the result of the activities of many businesses over many years. At page 60, they noted that the principle of retrospectivity is important to ensure the net can be cast sufficiently widely to capture all previous polluters, not just the current of penultimate owners or operators of the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concepts of absolute and joint and several liability facilitate actions against alleged polluters, make recovery of damages from multiple defendants more likely, and remove the burden of proving causation or fault-based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 a plain reading, it [now s. 47(5)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creates a statutory cause of action for any person who has remediated a contaminated site, -- defined in s. 26(1) [now s. 39(1)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to mean an area of land in which the soil or any groundwater lying beneath it, or the water or the underlying sediment, contains a special waste or other prescribed substance -- to recover its "reasonably incurred" clean-up costs from other "responsible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Simply put, s. 27 [now s. 47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is not ambiguous when read alone. It does not become so when read in the context of Part 4, or its object or its purpose. It creates a new civil cause of action, entire unto itself, as a means of requiring the polluter to pay and encouraging an owner to remediate.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Workshop</w:t>
      </w:r>
      <w:r>
        <w:rPr>
          <w:rFonts w:ascii="arial" w:eastAsia="arial" w:hAnsi="arial" w:cs="arial"/>
          <w:color w:val="000000"/>
          <w:sz w:val="20"/>
          <w:lang w:val="en-US" w:eastAsia="en-US" w:bidi="ar-SA"/>
        </w:rPr>
        <w:t xml:space="preserve"> is authority for the proposition that s. 47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created a new statutory cause of action for the recovery of remediation costs by those who voluntarily undertake that task. In the subsequent trial (at </w:t>
      </w:r>
      <w:hyperlink r:id="rId558" w:history="1">
        <w:r>
          <w:rPr>
            <w:rFonts w:ascii="arial" w:eastAsia="arial" w:hAnsi="arial" w:cs="arial"/>
            <w:i/>
            <w:color w:val="0077CC"/>
            <w:sz w:val="20"/>
            <w:u w:val="single"/>
            <w:shd w:val="clear" w:color="auto" w:fill="FFFFFF"/>
            <w:lang w:val="en-US" w:eastAsia="en-US" w:bidi="ar-SA"/>
          </w:rPr>
          <w:t>[2005] B.C.J. No. 940</w:t>
        </w:r>
      </w:hyperlink>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2005 BCSC 631</w:t>
        </w:r>
      </w:hyperlink>
      <w:r>
        <w:rPr>
          <w:rFonts w:ascii="arial" w:eastAsia="arial" w:hAnsi="arial" w:cs="arial"/>
          <w:color w:val="000000"/>
          <w:sz w:val="20"/>
          <w:lang w:val="en-US" w:eastAsia="en-US" w:bidi="ar-SA"/>
        </w:rPr>
        <w:t xml:space="preserve">), Wedge J. held that the cause of action under the </w:t>
      </w:r>
      <w:r>
        <w:rPr>
          <w:rFonts w:ascii="arial" w:eastAsia="arial" w:hAnsi="arial" w:cs="arial"/>
          <w:b/>
          <w:i/>
          <w:color w:val="000000"/>
          <w:sz w:val="20"/>
          <w:lang w:val="en-US" w:eastAsia="en-US" w:bidi="ar-SA"/>
        </w:rPr>
        <w:t>Waste Management Act</w:t>
      </w:r>
      <w:r>
        <w:rPr>
          <w:rFonts w:ascii="arial" w:eastAsia="arial" w:hAnsi="arial" w:cs="arial"/>
          <w:color w:val="000000"/>
          <w:sz w:val="20"/>
          <w:lang w:val="en-US" w:eastAsia="en-US" w:bidi="ar-SA"/>
        </w:rPr>
        <w:t xml:space="preserve"> did not arise until the legislative scheme first created liability for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To the defendants, this finding may appear unfair. They rely on the comments in </w:t>
      </w:r>
      <w:r>
        <w:rPr>
          <w:rFonts w:ascii="arial" w:eastAsia="arial" w:hAnsi="arial" w:cs="arial"/>
          <w:b/>
          <w:i/>
          <w:color w:val="000000"/>
          <w:sz w:val="20"/>
          <w:lang w:val="en-US" w:eastAsia="en-US" w:bidi="ar-SA"/>
        </w:rPr>
        <w:t>Lameman</w:t>
      </w:r>
      <w:r>
        <w:rPr>
          <w:rFonts w:ascii="arial" w:eastAsia="arial" w:hAnsi="arial" w:cs="arial"/>
          <w:color w:val="000000"/>
          <w:sz w:val="20"/>
          <w:lang w:val="en-US" w:eastAsia="en-US" w:bidi="ar-SA"/>
        </w:rPr>
        <w:t xml:space="preserve"> as to the policy behind limitation periods. In </w:t>
      </w:r>
      <w:r>
        <w:rPr>
          <w:rFonts w:ascii="arial" w:eastAsia="arial" w:hAnsi="arial" w:cs="arial"/>
          <w:b/>
          <w:i/>
          <w:color w:val="000000"/>
          <w:sz w:val="20"/>
          <w:lang w:val="en-US" w:eastAsia="en-US" w:bidi="ar-SA"/>
        </w:rPr>
        <w:t>Lameman</w:t>
      </w:r>
      <w:r>
        <w:rPr>
          <w:rFonts w:ascii="arial" w:eastAsia="arial" w:hAnsi="arial" w:cs="arial"/>
          <w:color w:val="000000"/>
          <w:sz w:val="20"/>
          <w:lang w:val="en-US" w:eastAsia="en-US" w:bidi="ar-SA"/>
        </w:rPr>
        <w:t xml:space="preserve"> the court made reference to </w:t>
      </w:r>
      <w:r>
        <w:rPr>
          <w:rFonts w:ascii="arial" w:eastAsia="arial" w:hAnsi="arial" w:cs="arial"/>
          <w:b/>
          <w:i/>
          <w:color w:val="000000"/>
          <w:sz w:val="20"/>
          <w:lang w:val="en-US" w:eastAsia="en-US" w:bidi="ar-SA"/>
        </w:rPr>
        <w:t>Wewaykum Indian Band v. Canada</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[2002] 4 S.C.R. 245</w:t>
        </w:r>
      </w:hyperlink>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2002 SCC 79</w:t>
        </w:r>
      </w:hyperlink>
      <w:r>
        <w:rPr>
          <w:rFonts w:ascii="arial" w:eastAsia="arial" w:hAnsi="arial" w:cs="arial"/>
          <w:color w:val="000000"/>
          <w:sz w:val="20"/>
          <w:lang w:val="en-US" w:eastAsia="en-US" w:bidi="ar-SA"/>
        </w:rPr>
        <w:t>, and noted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policy behind limitation periods is to strike a balance between protecting the defendant's entitlement, after a time, to organize his affairs without fearing a suit, and treating the plaintiff fairly with regard to his circumstances. This policy applies as much to Aboriginal claims as to other claims, as stated at para. 121 of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Witnesses are no longer available, historical documents are lost and difficult to contextualize, and expectations of fair practices change. Evolving standards of conduct and new standards of liability eventually make it unfair to judge actions of the past by the standards of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These comments are apposite to the circumstances of this action. In defending the action, Northland is faced with evolving environmental standards, fading memories of potential witnesses dating back to Northland's 1990-1997 operation at the Property, the relocation and death of material Northland employees who were responsible for managing its operations at the relevant times, and the prejudice it has experienced by its inability to obtain reasonably contemporaneous expert evidence which might have assisted its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However, the legislature has spoken. As Huddart J.A. in </w:t>
      </w:r>
      <w:r>
        <w:rPr>
          <w:rFonts w:ascii="arial" w:eastAsia="arial" w:hAnsi="arial" w:cs="arial"/>
          <w:b/>
          <w:i/>
          <w:color w:val="000000"/>
          <w:sz w:val="20"/>
          <w:lang w:val="en-US" w:eastAsia="en-US" w:bidi="ar-SA"/>
        </w:rPr>
        <w:t>Workshop</w:t>
      </w:r>
      <w:r>
        <w:rPr>
          <w:rFonts w:ascii="arial" w:eastAsia="arial" w:hAnsi="arial" w:cs="arial"/>
          <w:color w:val="000000"/>
          <w:sz w:val="20"/>
          <w:lang w:val="en-US" w:eastAsia="en-US" w:bidi="ar-SA"/>
        </w:rPr>
        <w:t xml:space="preserve"> noted at para. 26, "that a court's interpretation and application of any statutory scheme should advance not hobble the integrity of the scheme and that a legislature's intention as to who should decide what is to be respected."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authorizes governmental officials to issue remediation orders against those who, in their view, are responsible person(s) for the cleanup of contaminated lands, and permits owners or operators of contaminated sites to voluntarily clean up their properties and thereafter recover their reasonable remediation costs from other responsible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Section 47 creates a new statutory cause of action that is status based, not fault based. The object of the legislation is to encourage prompt remediation of contaminated sites. It does not impose a statutory obligation to remediate a contaminated site but rather provides a right to recover reasonable remediation costs from a "responsible person", if ordered to do so by a government official or by the Court pursuant to s. 47(5).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it is not an offence to contaminate a site, only to fail to remediate if ordered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cause of action is absolute, retroactive, and imposes separate liability on all "responsible persons" that are very broadly defined. It does not limit its retroactive (i.e., retrospective) application to actions where a plaintiff's knowledge of the material facts arose within the limitation periods provided by ss. 3(2) or 3(5)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and that would have been statute-barred on April 1, 1997. </w:t>
      </w:r>
      <w:r>
        <w:rPr>
          <w:rFonts w:ascii="arial" w:eastAsia="arial" w:hAnsi="arial" w:cs="arial"/>
          <w:b/>
          <w:i/>
          <w:color w:val="000000"/>
          <w:sz w:val="20"/>
          <w:lang w:val="en-US" w:eastAsia="en-US" w:bidi="ar-SA"/>
        </w:rPr>
        <w:t>Workshop</w:t>
      </w:r>
      <w:r>
        <w:rPr>
          <w:rFonts w:ascii="arial" w:eastAsia="arial" w:hAnsi="arial" w:cs="arial"/>
          <w:color w:val="000000"/>
          <w:sz w:val="20"/>
          <w:lang w:val="en-US" w:eastAsia="en-US" w:bidi="ar-SA"/>
        </w:rPr>
        <w:t xml:space="preserve"> confirms the Court cannot make an order for the recovery of remediation costs until those costs are known (see para. 26 and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sum, I find that First National's cause of action did not arise until April 1, 1997. While the facts upon which the action is based were conclusively known to First National as early as 1996, they were not material facts until the cause of action was created in 1997. Section 47(5) authorizes the recovery of reasonably incurred costs or remediation from responsible persons. This quantum of the remediation costs is a material fact to the cause of action and was not known until 2006. In these circumstances it matters not whether s. 3(2) or s. 3(5)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applies as the time did not begin to run until the latter part of 2006, well after the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am supported in this conclusion by the comments of Esson J.A. in </w:t>
      </w:r>
      <w:r>
        <w:rPr>
          <w:rFonts w:ascii="arial" w:eastAsia="arial" w:hAnsi="arial" w:cs="arial"/>
          <w:b/>
          <w:i/>
          <w:color w:val="000000"/>
          <w:sz w:val="20"/>
          <w:lang w:val="en-US" w:eastAsia="en-US" w:bidi="ar-SA"/>
        </w:rPr>
        <w:t>Bera v. Marr</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(1986), 1 B.C.L.R. (2d) 1</w:t>
        </w:r>
      </w:hyperlink>
      <w:r>
        <w:rPr>
          <w:rFonts w:ascii="arial" w:eastAsia="arial" w:hAnsi="arial" w:cs="arial"/>
          <w:color w:val="000000"/>
          <w:sz w:val="20"/>
          <w:lang w:val="en-US" w:eastAsia="en-US" w:bidi="ar-SA"/>
        </w:rPr>
        <w:t xml:space="preserve"> (C.A.), where he stated at para. 39 that the limitation period begins at the date upon which all the elements of the cause of action came into existence: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as appears from ss. 3(2) and 8(1), defines the beginning of the period of limitation as being the date on which the right to bring action arose. That must mean the date upon which the cause of action was complete; the date upon which all of the elements of the cause of action had come into existence, whether or not the person entitled to the cause of action was aware of all the facts upon which its existence depended.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result, the defendants' application for dismissal of the action on the basis that it is statute-barred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alternative, the defendants apply to dismiss the action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Should the action be dismissed for want of prosecution?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Rule 2(7)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upon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test to be applied in such an application was set out in </w:t>
      </w:r>
      <w:r>
        <w:rPr>
          <w:rFonts w:ascii="arial" w:eastAsia="arial" w:hAnsi="arial" w:cs="arial"/>
          <w:b/>
          <w:i/>
          <w:color w:val="000000"/>
          <w:sz w:val="20"/>
          <w:lang w:val="en-US" w:eastAsia="en-US" w:bidi="ar-SA"/>
        </w:rPr>
        <w:t>Irving v. Irving</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xml:space="preserve"> (C.A.). It sets out three criteria to be met in order for the court to consider dismissing the proceedings: (i) where there has been an inordinate delay; (ii) where the inordinate delay is inexcusable; and (iii) where the delay had caused, or is likely to cause, serious prejudice to the defendant. The court went on to add that even if all three criteria are met, that does not lead to an automatic dismissal. The court must go on to consider whether in all of the circumstances "the balance of justice demands that the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Twenty years later, in </w:t>
      </w:r>
      <w:r>
        <w:rPr>
          <w:rFonts w:ascii="arial" w:eastAsia="arial" w:hAnsi="arial" w:cs="arial"/>
          <w:b/>
          <w:i/>
          <w:color w:val="000000"/>
          <w:sz w:val="20"/>
          <w:lang w:val="en-US" w:eastAsia="en-US" w:bidi="ar-SA"/>
        </w:rPr>
        <w:t>Tundra Helicopters v. Allison Gas Turbine</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98 B.C.L.R. (3d) 238</w:t>
        </w:r>
      </w:hyperlink>
      <w:r>
        <w:rPr>
          <w:rFonts w:ascii="arial" w:eastAsia="arial" w:hAnsi="arial" w:cs="arial"/>
          <w:color w:val="000000"/>
          <w:sz w:val="20"/>
          <w:lang w:val="en-US" w:eastAsia="en-US" w:bidi="ar-SA"/>
        </w:rPr>
        <w:t>, Esson J.A. at para. 15 described this test as a "bare bones" statement of the present law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Inordinate delay is to be considered in the context of the proceedings themselves and not in relation to when the cause of action arose. On the matter of delay, Lambert J.A. in </w:t>
      </w:r>
      <w:r>
        <w:rPr>
          <w:rFonts w:ascii="arial" w:eastAsia="arial" w:hAnsi="arial" w:cs="arial"/>
          <w:b/>
          <w:i/>
          <w:color w:val="000000"/>
          <w:sz w:val="20"/>
          <w:lang w:val="en-US" w:eastAsia="en-US" w:bidi="ar-SA"/>
        </w:rPr>
        <w:t>Rhyolite Resources Inc. v. CanQuest Resource Corp.</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1999 BCCA 36</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64 B.C.L.R. (3d) 80</w:t>
        </w:r>
      </w:hyperlink>
      <w:r>
        <w:rPr>
          <w:rFonts w:ascii="arial" w:eastAsia="arial" w:hAnsi="arial" w:cs="arial"/>
          <w:color w:val="000000"/>
          <w:sz w:val="20"/>
          <w:lang w:val="en-US" w:eastAsia="en-US" w:bidi="ar-SA"/>
        </w:rPr>
        <w:t xml:space="preserve"> stated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interests of the good administration of justice may well require that proceedings, once begun, be pursued with reasonable expedition, even though the limitation period has not expired and new proceedings could be brought at any time before the limitation period expires. All these matters must be considered on an application to dismiss for want of prosecution brought either before or after the expiry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Ballance J. also discussed what constituted inordinate delay in </w:t>
      </w:r>
      <w:r>
        <w:rPr>
          <w:rFonts w:ascii="arial" w:eastAsia="arial" w:hAnsi="arial" w:cs="arial"/>
          <w:b/>
          <w:i/>
          <w:color w:val="000000"/>
          <w:sz w:val="20"/>
          <w:lang w:val="en-US" w:eastAsia="en-US" w:bidi="ar-SA"/>
        </w:rPr>
        <w:t>De Cotiis v. Viam Holdings Ltd.</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[2004] B.C.J. No. 2088</w:t>
        </w:r>
      </w:hyperlink>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2004 BCSC 1301</w:t>
        </w:r>
      </w:hyperlink>
      <w:r>
        <w:rPr>
          <w:rFonts w:ascii="arial" w:eastAsia="arial" w:hAnsi="arial" w:cs="arial"/>
          <w:color w:val="000000"/>
          <w:sz w:val="20"/>
          <w:lang w:val="en-US" w:eastAsia="en-US" w:bidi="ar-SA"/>
        </w:rPr>
        <w:t xml:space="preserve">, leave to appeal to B.C.C.A. refused, </w:t>
      </w:r>
      <w:hyperlink r:id="rId564" w:history="1">
        <w:r>
          <w:rPr>
            <w:rFonts w:ascii="arial" w:eastAsia="arial" w:hAnsi="arial" w:cs="arial"/>
            <w:i/>
            <w:color w:val="0077CC"/>
            <w:sz w:val="20"/>
            <w:u w:val="single"/>
            <w:shd w:val="clear" w:color="auto" w:fill="FFFFFF"/>
            <w:lang w:val="en-US" w:eastAsia="en-US" w:bidi="ar-SA"/>
          </w:rPr>
          <w:t>[2005] B.C.J. No. 188</w:t>
        </w:r>
      </w:hyperlink>
      <w:r>
        <w:rPr>
          <w:rFonts w:ascii="arial" w:eastAsia="arial" w:hAnsi="arial" w:cs="arial"/>
          <w:color w:val="000000"/>
          <w:sz w:val="20"/>
          <w:lang w:val="en-US" w:eastAsia="en-US" w:bidi="ar-SA"/>
        </w:rPr>
        <w:t xml:space="preserve">, CA032391 (January 24, 2005). Her comments at para. 17 were adopted in </w:t>
      </w:r>
      <w:r>
        <w:rPr>
          <w:rFonts w:ascii="arial" w:eastAsia="arial" w:hAnsi="arial" w:cs="arial"/>
          <w:b/>
          <w:i/>
          <w:color w:val="000000"/>
          <w:sz w:val="20"/>
          <w:lang w:val="en-US" w:eastAsia="en-US" w:bidi="ar-SA"/>
        </w:rPr>
        <w:t>Hanna's Construction Services Ltd. v. Blue River III, Inc.</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[2006] B.C.J. No. 607</w:t>
        </w:r>
      </w:hyperlink>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2006 BCCA 142</w:t>
        </w:r>
      </w:hyperlink>
      <w:r>
        <w:rPr>
          <w:rFonts w:ascii="arial" w:eastAsia="arial" w:hAnsi="arial" w:cs="arial"/>
          <w:color w:val="000000"/>
          <w:sz w:val="20"/>
          <w:lang w:val="en-US" w:eastAsia="en-US" w:bidi="ar-SA"/>
        </w:rPr>
        <w:t xml:space="preserve">, where Thackray J.A. at para. 22 quoted the following passage from para. 17 in </w:t>
      </w:r>
      <w:r>
        <w:rPr>
          <w:rFonts w:ascii="arial" w:eastAsia="arial" w:hAnsi="arial" w:cs="arial"/>
          <w:b/>
          <w:i/>
          <w:color w:val="000000"/>
          <w:sz w:val="20"/>
          <w:lang w:val="en-US" w:eastAsia="en-US" w:bidi="ar-SA"/>
        </w:rPr>
        <w:t>De Cotiis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facts peculiar to a particular case obviously impact on whether a period of delay can be legitimately characterized as inordinate. Consequently, in evaluating whether the delay in the case at hand is inordinate, reference to time periods which have been examined in other decided cases will be of marginal assistance. There is no absolute measurement of time after which a delay will automatically be treated as inordinate. In assessing the matter, the court is to apply the principles laid down in the authorities while recognizing that the facts unique to each case will have a significant influence on the outcome.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It is clear from these comments that once an action has been commenced, the plaintiff has an obligation to proceed with diligence and expedition. In </w:t>
      </w:r>
      <w:r>
        <w:rPr>
          <w:rFonts w:ascii="arial" w:eastAsia="arial" w:hAnsi="arial" w:cs="arial"/>
          <w:b/>
          <w:i/>
          <w:color w:val="000000"/>
          <w:sz w:val="20"/>
          <w:lang w:val="en-US" w:eastAsia="en-US" w:bidi="ar-SA"/>
        </w:rPr>
        <w:t>Lindholm v. Pollen</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(1986), 3 B.C.L.R. (2d) 23</w:t>
        </w:r>
      </w:hyperlink>
      <w:r>
        <w:rPr>
          <w:rFonts w:ascii="arial" w:eastAsia="arial" w:hAnsi="arial" w:cs="arial"/>
          <w:color w:val="000000"/>
          <w:sz w:val="20"/>
          <w:lang w:val="en-US" w:eastAsia="en-US" w:bidi="ar-SA"/>
        </w:rPr>
        <w:t xml:space="preserve"> (S.C.), Gow J. confirmed this principle at para. 16-17: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animating principle lying back of any system of administration of justice is that litigation be proceeded with diligence and expedition. This principle is expressed in R. 1(5) that the object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to secure the just, speedy and inexpensive determination of every proceeding on its merits and echoed in s. 11 of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xml:space="preserve">, which speaks of the right to be tried within a reasonable time. A just determination can only be attained if an action is tried while the facts are still within the recollection of the witnesses. As was said in </w:t>
      </w:r>
      <w:r>
        <w:rPr>
          <w:rFonts w:ascii="arial" w:eastAsia="arial" w:hAnsi="arial" w:cs="arial"/>
          <w:i/>
          <w:color w:val="000000"/>
          <w:sz w:val="20"/>
          <w:lang w:val="en-US" w:eastAsia="en-US" w:bidi="ar-SA"/>
        </w:rPr>
        <w:t>Russell v. Glassman</w:t>
      </w:r>
      <w:r>
        <w:rPr>
          <w:rFonts w:ascii="arial" w:eastAsia="arial" w:hAnsi="arial" w:cs="arial"/>
          <w:color w:val="000000"/>
          <w:sz w:val="20"/>
          <w:lang w:val="en-US" w:eastAsia="en-US" w:bidi="ar-SA"/>
        </w:rPr>
        <w:t xml:space="preserve"> (1959), 66 Man.R. 464 at 472: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is entitled to have the best evidence obtainable. Even in the simplest of cases there is often great difficulty in ascertaining the relevant facts where the testimony is recent in the memory of the witnesses, a difficulty manifestly greatly increased when witnesses are asked to remember events or circumstances which occurred four years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actions of this kind it is more than highly desirable that there be conveyed to the trial judge reliable evidence of the ambience of the alleged events. Effluxion of time here has been so great that the very substantial likelihood is that the evidence will have deteriorated to the point where it can be of little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circumstances in </w:t>
      </w:r>
      <w:r>
        <w:rPr>
          <w:rFonts w:ascii="arial" w:eastAsia="arial" w:hAnsi="arial" w:cs="arial"/>
          <w:b/>
          <w:i/>
          <w:color w:val="000000"/>
          <w:sz w:val="20"/>
          <w:lang w:val="en-US" w:eastAsia="en-US" w:bidi="ar-SA"/>
        </w:rPr>
        <w:t>Lindholm</w:t>
      </w:r>
      <w:r>
        <w:rPr>
          <w:rFonts w:ascii="arial" w:eastAsia="arial" w:hAnsi="arial" w:cs="arial"/>
          <w:color w:val="000000"/>
          <w:sz w:val="20"/>
          <w:lang w:val="en-US" w:eastAsia="en-US" w:bidi="ar-SA"/>
        </w:rPr>
        <w:t xml:space="preserve"> involved an alleged defamation. The action was subject to a two year limitation period. The alleged defamatory words were spoken in September 1982. The Writ of Summons was issued in November 1982. The successful application to dismiss the action for want of prosecution was made in April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Esson J.A. in </w:t>
      </w:r>
      <w:r>
        <w:rPr>
          <w:rFonts w:ascii="arial" w:eastAsia="arial" w:hAnsi="arial" w:cs="arial"/>
          <w:b/>
          <w:i/>
          <w:color w:val="000000"/>
          <w:sz w:val="20"/>
          <w:lang w:val="en-US" w:eastAsia="en-US" w:bidi="ar-SA"/>
        </w:rPr>
        <w:t>Bonaparte Indian Band v. Lakeridge Contracting Ltd.</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1999 BCCA 729</w:t>
        </w:r>
      </w:hyperlink>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71 B.C.L.R. (3d) 217</w:t>
        </w:r>
      </w:hyperlink>
      <w:r>
        <w:rPr>
          <w:rFonts w:ascii="arial" w:eastAsia="arial" w:hAnsi="arial" w:cs="arial"/>
          <w:color w:val="000000"/>
          <w:sz w:val="20"/>
          <w:lang w:val="en-US" w:eastAsia="en-US" w:bidi="ar-SA"/>
        </w:rPr>
        <w:t>, also spoke of the impact of delay in a proceeding. In allowing the appeal and dismissing the action against the appellants, Esson J.A. offered the following observations on Rule 2(7)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Another purpose of the rule is, of course, to advance the public interest in litigation being conducted without undue delay. That matter was emphasized in </w:t>
      </w:r>
      <w:r>
        <w:rPr>
          <w:rFonts w:ascii="arial" w:eastAsia="arial" w:hAnsi="arial" w:cs="arial"/>
          <w:i/>
          <w:color w:val="000000"/>
          <w:sz w:val="20"/>
          <w:lang w:val="en-US" w:eastAsia="en-US" w:bidi="ar-SA"/>
        </w:rPr>
        <w:t>Irving, supra,</w:t>
      </w:r>
      <w:r>
        <w:rPr>
          <w:rFonts w:ascii="arial" w:eastAsia="arial" w:hAnsi="arial" w:cs="arial"/>
          <w:color w:val="000000"/>
          <w:sz w:val="20"/>
          <w:lang w:val="en-US" w:eastAsia="en-US" w:bidi="ar-SA"/>
        </w:rPr>
        <w:t xml:space="preserve"> by Seaton J.A. who quoted at length from the judgment of the Court of Appeal in </w:t>
      </w:r>
      <w:r>
        <w:rPr>
          <w:rFonts w:ascii="arial" w:eastAsia="arial" w:hAnsi="arial" w:cs="arial"/>
          <w:i/>
          <w:color w:val="000000"/>
          <w:sz w:val="20"/>
          <w:lang w:val="en-US" w:eastAsia="en-US" w:bidi="ar-SA"/>
        </w:rPr>
        <w:t>Allen v. McAlpine, supra</w:t>
      </w:r>
      <w:r>
        <w:rPr>
          <w:rFonts w:ascii="arial" w:eastAsia="arial" w:hAnsi="arial" w:cs="arial"/>
          <w:color w:val="000000"/>
          <w:sz w:val="20"/>
          <w:lang w:val="en-US" w:eastAsia="en-US" w:bidi="ar-SA"/>
        </w:rPr>
        <w:t xml:space="preserve">, where each member of the court expressed in colourful and forceful language the reasons why excessive delay should not be condoned by the court. The difficulties are, of course, aggravated in cases in which the plaintiffs may have to resort to s.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As Iacobucci and Major JJ. (Lamer C.J.C. concurring) said in their dissenting judgment in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172 D.L.R. (4th) 385</w:t>
        </w:r>
      </w:hyperlink>
      <w:r>
        <w:rPr>
          <w:rFonts w:ascii="arial" w:eastAsia="arial" w:hAnsi="arial" w:cs="arial"/>
          <w:color w:val="000000"/>
          <w:sz w:val="20"/>
          <w:lang w:val="en-US" w:eastAsia="en-US" w:bidi="ar-SA"/>
        </w:rPr>
        <w:t xml:space="preserve"> at p. 398 (D.L.R.):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[32] It is apparent that the interpretive difficulties attending s. 6(4) can be easily remedied by the British Columbia legislature. For now, unfortunately, a section designed to temper the injustice of an absolute statute of limitations will commit the opposite but equal injustice of effectively abolishing the statute of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With respect, the same comments could be made in regard to the enactment of s. 47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This "polluter-pay" provision is designed to extend the net far and wide. Its expansive liability principle has a corresponding effect of curtailing the provisions of the </w:t>
      </w:r>
      <w:r>
        <w:rPr>
          <w:rFonts w:ascii="arial" w:eastAsia="arial" w:hAnsi="arial" w:cs="arial"/>
          <w:b/>
          <w:i/>
          <w:color w:val="000000"/>
          <w:sz w:val="20"/>
          <w:lang w:val="en-US" w:eastAsia="en-US" w:bidi="ar-SA"/>
        </w:rPr>
        <w:t>Limitations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third criterion for establishing prejudice was addressed in </w:t>
      </w:r>
      <w:r>
        <w:rPr>
          <w:rFonts w:ascii="arial" w:eastAsia="arial" w:hAnsi="arial" w:cs="arial"/>
          <w:b/>
          <w:i/>
          <w:color w:val="000000"/>
          <w:sz w:val="20"/>
          <w:lang w:val="en-US" w:eastAsia="en-US" w:bidi="ar-SA"/>
        </w:rPr>
        <w:t>Busse v. Robinson Morelli Chertkow</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1999 BCCA 313</w:t>
        </w:r>
      </w:hyperlink>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63 B.C.L.R. (3d) 174</w:t>
        </w:r>
      </w:hyperlink>
      <w:r>
        <w:rPr>
          <w:rFonts w:ascii="arial" w:eastAsia="arial" w:hAnsi="arial" w:cs="arial"/>
          <w:color w:val="000000"/>
          <w:sz w:val="20"/>
          <w:lang w:val="en-US" w:eastAsia="en-US" w:bidi="ar-SA"/>
        </w:rPr>
        <w:t>. Goldie J.A., for the court, concluded that once the defendant had established the delay complained of was inordinate and inexcusable, a rebuttable presumption of prejudice arises and the onus then falls on the plaintiff to establish, on a balance of probabilities, that the defendants have not suffered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This test was later refined in </w:t>
      </w:r>
      <w:r>
        <w:rPr>
          <w:rFonts w:ascii="arial" w:eastAsia="arial" w:hAnsi="arial" w:cs="arial"/>
          <w:b/>
          <w:i/>
          <w:color w:val="000000"/>
          <w:sz w:val="20"/>
          <w:lang w:val="en-US" w:eastAsia="en-US" w:bidi="ar-SA"/>
        </w:rPr>
        <w:t>Tundra</w:t>
      </w:r>
      <w:r>
        <w:rPr>
          <w:rFonts w:ascii="arial" w:eastAsia="arial" w:hAnsi="arial" w:cs="arial"/>
          <w:color w:val="000000"/>
          <w:sz w:val="20"/>
          <w:lang w:val="en-US" w:eastAsia="en-US" w:bidi="ar-SA"/>
        </w:rPr>
        <w:t xml:space="preserve"> where Esson J.A., for the court, stated at para. 35 to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regard it as error in principle to dispose of the issue of prejudice by asking whether the plaintiffs had rebutted 'the presumption of prejudice that arises in the circumstances' and by going on to answer that question in the negative. The "presumption of prejudice" is not a presumption of law. It can be termed a presumption of fact but only in the sense, as it is put in Sopinka and Lederman "The Law of Evidence in Civil Cases", 1974 at p. 378: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term "presumption of fact" is used in many instances in which it is desired merely to shift the secondary burden to a particular party. When used in this sense, it means that the facts are such that a certain inference should, but need not, be logically drawn.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in that sense that the word "presumption" is employed in </w:t>
      </w:r>
      <w:r>
        <w:rPr>
          <w:rFonts w:ascii="arial" w:eastAsia="arial" w:hAnsi="arial" w:cs="arial"/>
          <w:i/>
          <w:color w:val="000000"/>
          <w:sz w:val="20"/>
          <w:lang w:val="en-US" w:eastAsia="en-US" w:bidi="ar-SA"/>
        </w:rPr>
        <w:t>Busse v. Robinson Morelli Chertkow, supra</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[1999] B.C.J. No. 1101</w:t>
        </w:r>
      </w:hyperlink>
      <w:r>
        <w:rPr>
          <w:rFonts w:ascii="arial" w:eastAsia="arial" w:hAnsi="arial" w:cs="arial"/>
          <w:color w:val="000000"/>
          <w:sz w:val="20"/>
          <w:lang w:val="en-US" w:eastAsia="en-US" w:bidi="ar-SA"/>
        </w:rPr>
        <w:t xml:space="preserve">. In considering whether the presumption of prejudice has any application in a particular case, the question properly to be asked, as stated by Goldie J.A. in para. 27 of </w:t>
      </w:r>
      <w:r>
        <w:rPr>
          <w:rFonts w:ascii="arial" w:eastAsia="arial" w:hAnsi="arial" w:cs="arial"/>
          <w:i/>
          <w:color w:val="000000"/>
          <w:sz w:val="20"/>
          <w:lang w:val="en-US" w:eastAsia="en-US" w:bidi="ar-SA"/>
        </w:rPr>
        <w:t>Busse</w:t>
      </w:r>
      <w:r>
        <w:rPr>
          <w:rFonts w:ascii="arial" w:eastAsia="arial" w:hAnsi="arial" w:cs="arial"/>
          <w:color w:val="000000"/>
          <w:sz w:val="20"/>
          <w:lang w:val="en-US" w:eastAsia="en-US" w:bidi="ar-SA"/>
        </w:rPr>
        <w:t>,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has the plaintiff established on a balance of probabilities that the defendant has not suffered prejudice or that other circumstances would make it unjust to terminate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that question it may be misleading to approach it by asking whether the plaintiff offered evidence on the point. In most cases, it will only be the defendant who is in a position to offer evidence as to the existence of specific prejudice -- as two of the defendants attempted to do in this case. The plaintiff often will be able only to point to the overall circumstances, including the absence of any evidence from the defendant of specific prejudice, as establishing on the balance of probabilities that serious prejudice has not been suffered.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much of the evidence which tends to prove absence of prejudice was put in the record by those defendants who sought to establish that the case against them is a weak one. It matters not who puts forward the evidence. The question remains whether, on a balance of probabilities, absence of prejudice has been established. In considering that, it must be borne in mind that in all contested law suits there is likely to be sufficient passage of time that memories erode to some extent, records may be lost, witnesses may disappear. It is no light matter to dismiss an action for want of prosecution.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satisfied the plaintiff's delay in the conduct of this action was inordinate. It began with a one year delay in serving the Writ of Summons, continued with a three year delay in serving the Statement of Claim, and remained dormant between April and December 2007. It was only the defendants' timely response to the plaintiff's actions, each interspersed by lengthy periods of non-action by the plaintiff, that moved the proceeding along. At this stage of the action, the plaintiff has yet to provide discovery of documents, no examinations for discovery have been set and no trial date has been secured. None of this delay is attributable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Moreover, no satisfactory explanation has been offered by the plaintiff. There was some suggestion that the delay in 2004 and 2005 was due to settlement discussions. However, no such discussions ever took place. I am satisfied that the inordinate delay caused by the plaintiff was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presumptive prejudice caused by the plaintiff's inordinate and inexcusable delay is significant. It began with the creation of a new cause of action on April 1, 1997, which extended the time in which First National could bring this action.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for the imposition of liability in a remediation cost-recovery action that is absolute, retroactive, and joint and several against a broad spectrum of potential payors. This is powerful legislation that creates a "polluter pay" responsibility, regardless of fault or time, for the purpose of implementing the policy objective of cleaning up contaminated sites. The legislation also extends to both corporate and individual "responsible persons" alike. In these circumstances, I am of the view that plaintiffs who seek to rely on the advantages provided by the liability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have a parallel obligation to proceed with their cost-recovery actions in a diligent and expeditious manner in order to minimize the risk of prejudice to the defendants' ability to effectively respond to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this case, the initial complaint by an owner of neighbouring property was first made in 1992. In 1993 the defendants took steps to address the complaint. Thereafter, they made their position clear that they would not accept responsibility for any further complaint of alleged contamination. First National knew of that position in 1993. The defendants reiterated their position in 1996. Their position did not change after the </w:t>
      </w:r>
      <w:r>
        <w:rPr>
          <w:rFonts w:ascii="arial" w:eastAsia="arial" w:hAnsi="arial" w:cs="arial"/>
          <w:b/>
          <w:i/>
          <w:color w:val="000000"/>
          <w:sz w:val="20"/>
          <w:lang w:val="en-US" w:eastAsia="en-US" w:bidi="ar-SA"/>
        </w:rPr>
        <w:t>Waste Management Act</w:t>
      </w:r>
      <w:r>
        <w:rPr>
          <w:rFonts w:ascii="arial" w:eastAsia="arial" w:hAnsi="arial" w:cs="arial"/>
          <w:color w:val="000000"/>
          <w:sz w:val="20"/>
          <w:lang w:val="en-US" w:eastAsia="en-US" w:bidi="ar-SA"/>
        </w:rPr>
        <w:t xml:space="preserve"> was implemented on April 1, 1997. Yet, First National chose to wait until December 2002 before commencing the action and a further year before serving the defendants with the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That delay was prejudicial to the plaintiff. If First National had commenced the action in 1997, before the defendants' lease had ended, the defendants might have been able to take steps to further investigate and address the plaintiff's allegation of ongoing contamination. At that time, two of Northland's two management employees might have been able to access the effectiveness of the containment structure. By waiting until December 2003 before giving the defendants' notice of the action, over ten years after the issue first arose and five years after the cause of action was created, First National has significantly diminished the defendants' ability to advance their defence to the action. Moreover, by not completing its remediation of the site until 2006, First National further delayed and thereby prejudiced the defendants' ability to pursue a limitation defence. In short, First National had the power to pursue its claim in a diligent and expeditious manner as early as 1997 and chose not to do so. That deliberate conduct has exacerbated the extent of the defendants'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First National contends the defendants' claims of prejudice are non-specific. However, it is reasonable to infer that First National had to have been aware of the prejudice it was creating by its lack of diligence in pursuing the action. It is reasonable to presume that evidence relevant to the issues in dispute would have degraded significantly or have been lost because of First National's delay. This is confirmed by the specific aspects of the defendants' claims of prejudice. Material witnesses are no longer available. In these circumstances I am satisfied the plaintiff has not established an absence of prejudice to the defendants by the inordinate and inexcusable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Rule 1(5) provides for the just, speedy and inexpensive determination of every proceeding on its merits. The passage of six years since the commencement of the action, with no possibility that it will be ready to proceed to trial in the near future, the lack of availability of material witnesses, the expectation of failing memories over the length of time from when the allegation first arose, and the inability of the defendants to retain relatively contemporaneous experts to address the claim of ongoing contamination, creates a significant imbalance in favour of the plaintiff that is a direct result of the plaintiff's failure to pursue its claim in a timely manner. In my view, a just determination of the dispute is no longer assured.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result, I am persuaded the interests of justice require the defendants' application to dismiss the action for want of prosecution,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parties have liberty to speak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7"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Fletcher v. Hyak Wilderness Adventures Inc., [2000] B.C.J. No. 2528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Harvey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11,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19, 2000.</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S053493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2528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1824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101 A.C.W.S. (3d) 1043</w:t>
      </w:r>
    </w:p>
    <w:p>
      <w:pPr>
        <w:spacing w:before="120" w:line="260" w:lineRule="atLeast"/>
        <w:rPr>
          <w:lang w:val="en-US" w:eastAsia="en-US" w:bidi="ar-SA"/>
        </w:rPr>
      </w:pPr>
      <w:r>
        <w:rPr>
          <w:rFonts w:ascii="arial" w:eastAsia="arial" w:hAnsi="arial" w:cs="arial"/>
          <w:color w:val="000000"/>
          <w:sz w:val="20"/>
          <w:lang w:val="en-US" w:eastAsia="en-US" w:bidi="ar-SA"/>
        </w:rPr>
        <w:t>Between Anita Fletcher, plaintiff, and Hyak Wilderness Adventures Inc., Jade Springs Investments (1987) Ltd., and John Doe,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8" style="position:absolute;z-index:2516910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7" w:name="Keywords_30"/>
      <w:bookmarkEnd w:id="197"/>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Occupier, what constitutes.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8" w:name="Case Summary_25"/>
            <w:bookmarkEnd w:id="19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Jade Spring Investments for dismissal of the claim against it by Fletcher for personal injuries. Jade acknowledged that it owned the campground on which Fletcher suffered her injuries, but claimed that it was not an occupier. It claimed that the defendant Hyak Wilderness Adventures was responsible for the activities leading to Fletcher's injuries. The defendants had entered into a contract pursuant to which they had common business interests in the campground, a retail store on the property and the rafting operation. </w:t>
            </w:r>
            <w:r>
              <w:rPr>
                <w:lang w:val="en-US" w:eastAsia="en-US" w:bidi="ar-SA"/>
              </w:rPr>
              <w:cr/>
            </w:r>
          </w:p>
          <w:p>
            <w:pPr>
              <w:spacing w:before="120" w:line="260" w:lineRule="atLeast"/>
              <w:ind w:left="240"/>
              <w:jc w:val="both"/>
              <w:rPr>
                <w:lang w:val="en-US" w:eastAsia="en-US" w:bidi="ar-SA"/>
              </w:rPr>
            </w:pPr>
            <w:bookmarkStart w:id="199" w:name="Holdings of Court_18"/>
            <w:bookmarkEnd w:id="199"/>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It could not be said that there was no bona fide triable issue regarding Jade's liability given that there was evidence that the defendants were operating jointly, or with their common interests in mind. The evidence did not support Jade's position that Hyak had exclusive use and control of the premises. </w:t>
            </w:r>
            <w:r>
              <w:rPr>
                <w:lang w:val="en-US" w:eastAsia="en-US" w:bidi="ar-SA"/>
              </w:rPr>
              <w:cr/>
            </w:r>
          </w:p>
          <w:p>
            <w:pPr>
              <w:rPr>
                <w:lang w:val="en-US" w:eastAsia="en-US" w:bidi="ar-SA"/>
              </w:rPr>
            </w:pPr>
          </w:p>
        </w:tc>
      </w:tr>
    </w:tbl>
    <w:p>
      <w:pPr>
        <w:jc w:val="both"/>
        <w:rPr>
          <w:lang w:val="en-US" w:eastAsia="en-US" w:bidi="ar-SA"/>
        </w:rPr>
      </w:pPr>
      <w:bookmarkStart w:id="200" w:name="Legislation Cited_25"/>
      <w:bookmarkEnd w:id="20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79" style="position:absolute;z-index:2517422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 18(6).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Occupier's Liability Act.</w:t>
      </w:r>
      <w:r>
        <w:rPr>
          <w:lang w:val="en-US" w:eastAsia="en-US" w:bidi="ar-SA"/>
        </w:rPr>
        <w:cr/>
      </w:r>
    </w:p>
    <w:p>
      <w:pPr>
        <w:keepNext/>
        <w:spacing w:before="240" w:line="340" w:lineRule="atLeast"/>
        <w:rPr>
          <w:lang w:val="en-US" w:eastAsia="en-US" w:bidi="ar-SA"/>
        </w:rPr>
      </w:pPr>
      <w:bookmarkStart w:id="201" w:name="Counsel_31"/>
      <w:bookmarkEnd w:id="20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0" style="position:absolute;z-index:2517934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 McKendrick, for the plaintiff. J.A. Zak, for the defendant, Jade Springs Investments Ltd. D. Vampleu, for the defendant, Hyak Wilderness Adventures Inc.</w:t>
      </w:r>
      <w:r>
        <w:rPr>
          <w:lang w:val="en-US" w:eastAsia="en-US" w:bidi="ar-SA"/>
        </w:rPr>
        <w:cr/>
      </w:r>
    </w:p>
    <w:p>
      <w:pPr>
        <w:spacing w:after="240"/>
        <w:rPr>
          <w:lang w:val="en-US" w:eastAsia="en-US" w:bidi="ar-SA"/>
        </w:rPr>
      </w:pPr>
      <w:bookmarkStart w:id="202" w:name="Judgment_31"/>
      <w:bookmarkEnd w:id="202"/>
      <w:r>
        <w:pict>
          <v:line id="_x0000_s1181" style="position:absolute;z-index:25184358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3" w:name="HARVEY J."/>
            <w:bookmarkEnd w:id="203"/>
            <w:r>
              <w:rPr>
                <w:rFonts w:ascii="arial" w:eastAsia="arial" w:hAnsi="arial" w:cs="arial"/>
                <w:b/>
                <w:color w:val="000000"/>
                <w:sz w:val="30"/>
                <w:lang w:val="en-US" w:eastAsia="en-US" w:bidi="ar-SA"/>
              </w:rPr>
              <w:t>HARVEY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Jade, applies under Rule 18A or Rule 18(6) for an Order that the plaintiff's claim against Jade be dismissed on the basis that there is no merit to the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Jade's, submission is based essentially upon the fact that while it owned the premises and campground area at which the plaintiff suffered injury during activities being conducted thereon at the time, it was not an occupier as that term is defined under the Occupier's Liability Act and therefore not liable for the plaintiff's injuries. Jade maintains at all material times the defendant Hyak was responsible for the activities held within it's designated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keeping with the conclusion I have reached, I do not consider it necessary to set out at length the able submissions of counsel or to comment upon the authority to which I was referred.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consider it sufficient to say that upon consideration of the evidence presently available and the authority to which I was referred I conclude it would be premature at this time to order dismissal of the plaintiff's claim against Jade.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Here, I cannot say there is not a bona fide triable issue for a number of reasons, not the least of which is that at the material times, Jade and Hyak appear to have had common business interests in the operation of the campsite, a retail store situate upon it owned by Jade together with the rafting operation. In this regard in one of the documents forming part of the contractual relationship between the said defendants the statement is made related to the operation of the Jade Springs campsite and the Hyak Wilderness Adventure "Hopefully this will help increase mid-week business for both of us." In this perspective I accept the submission of counsel for Hyak that the said defendants were operating "jointly" or at the very least with their common interests in mind at the material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Finally, In my view, the circumstances here are not such as to attempt to determine the issue of liability of Jade by a restrictive interpretation of the provisions of the said Act. In any event, the evidence does not support the position of Jade that Hyak had exclusive use and control of the premises.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would dimiss the application. I leave the question of costs to the discretion of the trial judge.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HARVEY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Gebru v. Gill, [2005] B.C.J. No. 168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Barber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January 13, 2005.</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February 3,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M025336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168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135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137 A.C.W.S. (3d) 526</w:t>
      </w:r>
    </w:p>
    <w:p>
      <w:pPr>
        <w:spacing w:before="120" w:line="260" w:lineRule="atLeast"/>
        <w:rPr>
          <w:lang w:val="en-US" w:eastAsia="en-US" w:bidi="ar-SA"/>
        </w:rPr>
      </w:pPr>
      <w:r>
        <w:rPr>
          <w:rFonts w:ascii="arial" w:eastAsia="arial" w:hAnsi="arial" w:cs="arial"/>
          <w:color w:val="000000"/>
          <w:sz w:val="20"/>
          <w:lang w:val="en-US" w:eastAsia="en-US" w:bidi="ar-SA"/>
        </w:rPr>
        <w:t>Between Gebrehiwot Girmay Gebru, plaintiff, and Russell Gill and Yellow Cab Co.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3"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4" w:name="Keywords_31"/>
      <w:bookmarkEnd w:id="204"/>
      <w:r>
        <w:rPr>
          <w:rFonts w:ascii="arial" w:eastAsia="arial" w:hAnsi="arial" w:cs="arial"/>
          <w:b/>
          <w:color w:val="000000"/>
          <w:sz w:val="20"/>
          <w:lang w:val="en-US" w:eastAsia="en-US" w:bidi="ar-SA"/>
        </w:rPr>
        <w:t xml:space="preserve">Civil procedure — Applications and motions — Conduct of hearing — Adjournments — Evidence — Trials — Adjournment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5" w:name="Case Summary_26"/>
            <w:bookmarkEnd w:id="20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 Gebru, to adjourn a five-day jury trial. Liability was a major issue in the case. The defendant, Gill, objected to an adjournment since it would have delayed the trial by nearly a year. The trial would have been over five years after the date of the accident. This would have affected the witnesses' memories. Gebru sought to adjourn the trial until after a neurologist had examined him. Gebru was scheduled to see the neurologist after the set trial date; however, the referral was made three months earlier. </w:t>
            </w:r>
            <w:r>
              <w:rPr>
                <w:lang w:val="en-US" w:eastAsia="en-US" w:bidi="ar-SA"/>
              </w:rPr>
              <w:cr/>
            </w:r>
          </w:p>
          <w:p>
            <w:pPr>
              <w:spacing w:before="120" w:line="260" w:lineRule="atLeast"/>
              <w:ind w:left="240"/>
              <w:jc w:val="both"/>
              <w:rPr>
                <w:lang w:val="en-US" w:eastAsia="en-US" w:bidi="ar-SA"/>
              </w:rPr>
            </w:pPr>
            <w:bookmarkStart w:id="206" w:name="Holdings of Court_19"/>
            <w:bookmarkEnd w:id="206"/>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explanation as to why the application to adjourn had not been brought earlier or why the appointment with the neurologist could not have been scheduled earlier. The application was brought too late. </w:t>
            </w:r>
            <w:r>
              <w:rPr>
                <w:lang w:val="en-US" w:eastAsia="en-US" w:bidi="ar-SA"/>
              </w:rPr>
              <w:cr/>
            </w:r>
          </w:p>
          <w:p>
            <w:pPr>
              <w:rPr>
                <w:lang w:val="en-US" w:eastAsia="en-US" w:bidi="ar-SA"/>
              </w:rPr>
            </w:pPr>
          </w:p>
        </w:tc>
      </w:tr>
    </w:tbl>
    <w:p>
      <w:pPr>
        <w:jc w:val="both"/>
        <w:rPr>
          <w:lang w:val="en-US" w:eastAsia="en-US" w:bidi="ar-SA"/>
        </w:rPr>
      </w:pPr>
      <w:bookmarkStart w:id="207" w:name="Counsel_32"/>
      <w:bookmarkEnd w:id="20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4" style="position:absolute;z-index:2517432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M.G. Galambos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Agent for Counsel for Defendants: I. Lee</w:t>
      </w:r>
      <w:r>
        <w:rPr>
          <w:lang w:val="en-US" w:eastAsia="en-US" w:bidi="ar-SA"/>
        </w:rPr>
        <w:cr/>
      </w:r>
    </w:p>
    <w:p>
      <w:pPr>
        <w:spacing w:after="240"/>
        <w:rPr>
          <w:lang w:val="en-US" w:eastAsia="en-US" w:bidi="ar-SA"/>
        </w:rPr>
      </w:pPr>
      <w:bookmarkStart w:id="208" w:name="Judgment_32"/>
      <w:bookmarkEnd w:id="208"/>
      <w:r>
        <w:pict>
          <v:line id="_x0000_s1185" style="position:absolute;z-index:25179443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9" w:name="MASTER BARBER (orally)"/>
            <w:bookmarkEnd w:id="209"/>
            <w:r>
              <w:rPr>
                <w:rFonts w:ascii="arial" w:eastAsia="arial" w:hAnsi="arial" w:cs="arial"/>
                <w:b/>
                <w:color w:val="000000"/>
                <w:sz w:val="30"/>
                <w:lang w:val="en-US" w:eastAsia="en-US" w:bidi="ar-SA"/>
              </w:rPr>
              <w:t>MASTER BARBER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to adjourn a five-day jury trial presently set for January 31,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out of a motor vehicle accident which occurred on July the 15th, 2001. Liability is hotly contested in this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 is opposed by the defendants on several bases. One is that a new trial would be perhaps a year or more away, which would mean that it would be over five years from the date of the accident to the date of trial, and as liability is an issue the memories of witnesses could be further degraded in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to that, the defence points out that the basis on which this application is made is a referral note from Dr. Klein (phonetic), which is dated October 1,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first time that it is suggested in the material that a neurologist could see the plaintiff is February the 15th, 2005, namely, after the trial. There is no explanation as to why an earlier date could not be received. There is no explanation as to why this application was not made earlier.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though, said by the defendants, and acknowledged quite candidly, which was appreciated, that they did have some indication in October that the plaintiff did want an adjournment. However, they told them that they would not consent and nothing was done until this notice of motion was delivered. The notice of motion is dated January 4,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support of the application is the affidavit of Mr. Ganapathi, and he does not advise us as to when this referral note was received by his office or when they had knowledge of its contents. Therefore, I have to conclude that it was received some long time ago. I also come to that conclusion by the fact that the plaintiff asked for an adjournment some long time ago, but did not proceed with that application. It was not that they were in any way deluded into thinking that it would be consented to; in fact, quite the opposite, as I have already indicated.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doctor in his referral note says in the last part:</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The problem here is obviously what to suggest to him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Namely, the plaintiff.</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and is he a surgical candidate. Another issue is whether the primary cause of his back problems was his MVA in 2001, or the WCB injury, or a combination. He has been in good health otherwise in the past, and I do not detect any tendency towards malingering, drug seeking, or other. Please see, assess, and recommend.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suggestion now is that the trial be adjourned so that there may be an assessment by the neurologist to see whether or not surgery is necessary and also to see whether or not there is any linkage between these two (i.e. the WCB injury and the motor vehicle accident in 2001). In my opinion, the application comes way too late.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clear that if there was to be some investigation; it has been known since the 1st of October, certainly by the plaintiff, and I suspect, although I cannot conclude, by the plaintiff's solicitor. I come to that for the reasons earlier stated, because of the application request for an adjournment in last October.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any rate, there is no explanation as to why an earlier appointment could not be obtained. There is no explanation as to what has been done in the meantime.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my view, this matter should go ahead. It is simply too late and there is insufficient information on which to file the application to grant the adjournment. Therefore, denied.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(DISCUSSION BETWEEN THE COURT AND COUNSEL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 I would in many cases say costs in the cause. I think costs to the defendants, in any event of the cause in this case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LEE: Thank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 and the reason being that it is late, it could have been done earlier, and I think that the defence is entitled to that.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BARBER</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Gill (Guardian ad litem of) v. Turcotte, [2002] B.C.J. No. 2215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Curtis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29, 30, May 1 and 2,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30,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Nos. B984274, M000908, M001496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2215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1388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116 A.C.W.S. (3d) 976</w:t>
      </w:r>
    </w:p>
    <w:p>
      <w:pPr>
        <w:spacing w:before="120" w:line="260" w:lineRule="atLeast"/>
        <w:rPr>
          <w:lang w:val="en-US" w:eastAsia="en-US" w:bidi="ar-SA"/>
        </w:rPr>
      </w:pPr>
      <w:r>
        <w:rPr>
          <w:rFonts w:ascii="arial" w:eastAsia="arial" w:hAnsi="arial" w:cs="arial"/>
          <w:color w:val="000000"/>
          <w:sz w:val="20"/>
          <w:lang w:val="en-US" w:eastAsia="en-US" w:bidi="ar-SA"/>
        </w:rPr>
        <w:t>Between Jayden Paul Gill by his Guardian ad litem, Amarjit Singh Gill, Manohar Kaur Rai and the said Amarjit Singh Gill, plaintiffs, and Randy Lucien Turcotte and Insurance Corporation of British Columbia, defendants (Vancouver Registry No. B984274) And between Payanivel Curpen also known as Jeff Curpen, plaintiff, and Randy - Lucien Turcotte, Ramanjeet Kaur Gill, and Amarjit Singh Gill, defendants, and Insurance Corporation of British Columbia, third party (Vancouver Registry No. M000908) And between Jennifer Curpen, plaintiff, and Navdeep Parmar, Arnold Perrin, Rajinder Parmar, Sabina Dudzik, Randy Lucien Turcotte, the Estate of Ramanjeet Kaur Gill, by its representative ad litem Amarjit Singh Gill and Amarjit Singh Gill, defendants, and Insurance Corporation of British Columbia, third party (Vancouver Registry No. M001496)</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7" style="position:absolute;z-index:2516930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10" w:name="Keywords_32"/>
      <w:bookmarkEnd w:id="210"/>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Keeping a proper lookout — Motor vehicle, rules of the road — Intersections, yield or stop sign — Motor vehicle, evidence and burden of proof.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11" w:name="Case Summary_27"/>
            <w:bookmarkEnd w:id="21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Gill and others to determine liability for a motor vehicle accident. The defendant Turcotte was driving a motorcycle which collided with a van. The driver of the van was killed in the accident. The van was travelling east on a highway with one lane in each direction. A passenger in the van estimated its speed to be 80 to 90 kilometres per hour. One accident reconstruction expert estimated the speed to be 131 kilometres per hour, while another expert claimed that it was 115. A witness to the accident estimated the van's speed to be near the speed limit of 100 kilometres per hour. Turcotte had been riding his motorcycle along a trail south of the highway and parallel to it. He intended to cross the highway. He saw the van about 30 feet to his left but decided that he could safely cross. He was facing a stop sign but made no mention of having stopped at it. As Turcotte attempted to cross the highway, his motorcycle was struck by the van. A witness observed the van swerve over the centre line in an attempt to avoid the motorcycle. The van then rolled violently into the ditch north of the highway. </w:t>
            </w:r>
            <w:r>
              <w:rPr>
                <w:lang w:val="en-US" w:eastAsia="en-US" w:bidi="ar-SA"/>
              </w:rPr>
              <w:cr/>
            </w:r>
          </w:p>
          <w:p>
            <w:pPr>
              <w:spacing w:before="120" w:line="260" w:lineRule="atLeast"/>
              <w:ind w:left="240"/>
              <w:jc w:val="both"/>
              <w:rPr>
                <w:lang w:val="en-US" w:eastAsia="en-US" w:bidi="ar-SA"/>
              </w:rPr>
            </w:pPr>
            <w:bookmarkStart w:id="212" w:name="Holdings of Court_20"/>
            <w:bookmarkEnd w:id="212"/>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van was travelling at or near the speed limit when Turcotte entered the highway without having stopped for a stop sign and without recognizing the hazard posed by the van. There was no time at all for the driver of the van to do anything other than swerve to try to avoid the motorcycle. The van driver had no reason to believe that the motorcycle would suddenly appear in front of her. The van driver was acting reasonably and prudently, and Turcotte was wholly liable for the accident. </w:t>
            </w:r>
            <w:r>
              <w:rPr>
                <w:lang w:val="en-US" w:eastAsia="en-US" w:bidi="ar-SA"/>
              </w:rPr>
              <w:cr/>
            </w:r>
          </w:p>
          <w:p>
            <w:pPr>
              <w:rPr>
                <w:lang w:val="en-US" w:eastAsia="en-US" w:bidi="ar-SA"/>
              </w:rPr>
            </w:pPr>
          </w:p>
        </w:tc>
      </w:tr>
    </w:tbl>
    <w:p>
      <w:pPr>
        <w:jc w:val="both"/>
        <w:rPr>
          <w:lang w:val="en-US" w:eastAsia="en-US" w:bidi="ar-SA"/>
        </w:rPr>
      </w:pPr>
      <w:bookmarkStart w:id="213" w:name="Counsel_33"/>
      <w:bookmarkEnd w:id="21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8" style="position:absolute;z-index:2517442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Stanley T. Cope, for Jennifer Curpen, plaintiff in Action No. M001496 and Payanivel Curpen also known as Jeff Curpen, plaintiff, in Action No. M000908. Donald G. Crane, for Jayden Paul Gill by his Guardian ad litem Amarjit Singh Gill, Manohar Kaur Rai and the said Amarjit Singh Gill, plaintiffs in Action No. B984274. Susan K. McLeod, for the Estate of Ramanjeet Kaur Gill by its representative ad litem Amarjit Singh Gill and Amarjit Singh Gill, defendants in Action No. M001496 and M000908. William N. Fritz, for Randy Lucien Turcotte, defendant in Action Nos. M001496, M000908 and B984274, Insurance Corporation of British Columbia, defendant in Action No. B984274 and third party in Action Nos. M000908 and M001496.</w:t>
      </w:r>
      <w:r>
        <w:rPr>
          <w:lang w:val="en-US" w:eastAsia="en-US" w:bidi="ar-SA"/>
        </w:rPr>
        <w:cr/>
      </w:r>
    </w:p>
    <w:p>
      <w:pPr>
        <w:spacing w:after="240"/>
        <w:rPr>
          <w:lang w:val="en-US" w:eastAsia="en-US" w:bidi="ar-SA"/>
        </w:rPr>
      </w:pPr>
      <w:bookmarkStart w:id="214" w:name="Judgment_33"/>
      <w:bookmarkEnd w:id="214"/>
      <w:r>
        <w:pict>
          <v:line id="_x0000_s1189" style="position:absolute;z-index:25179545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5" w:name="CURTIS J."/>
            <w:bookmarkEnd w:id="215"/>
            <w:r>
              <w:rPr>
                <w:rFonts w:ascii="arial" w:eastAsia="arial" w:hAnsi="arial" w:cs="arial"/>
                <w:b/>
                <w:color w:val="000000"/>
                <w:sz w:val="30"/>
                <w:lang w:val="en-US" w:eastAsia="en-US" w:bidi="ar-SA"/>
              </w:rPr>
              <w:t>CURTIS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concerns allocation of liability for a tragic motor vehicle accident which occurred on August 14, 1998, west of Topley, British Columbia, when an Aerostar van driven by Ramanjeet Kaur Gill left the road and rolled in the ditch killing Ramanjeet Gill and injuring her passengers, Jeff Curpen and Jennifer Curpen. The vehicle driven by Ramanjeet Gill was owned by Amarjit Singh Gill, her husband. Ramanjeet Gill is the daughter of Manohar Kaur Gill and the mother of Jayden Paul Gill (now seven years of 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Randy Lucien Turcotte was driving an unlicensed Yamaha motorcycle across the highway at the time of the accident. The action against Navdeep Parmar, Arnold Perrin, Rajinder Parmar and Sabina Dudzik was dismissed by consent. On the 13th of December 2001, Master Doolan ordered that the issue of liability in each of the three actions by tried prior to the issues of quantum, and that the liability issue in the three actions be heard at the same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in question took place where the eastern entrance to the Topley rest area intersects with Highway 16. At that point, Highway 16 is straight and relatively flat with one lane in each direction. The accident occurred about ten in the morning. The weather conditions were good, the road dry. The van driven by Ramanjeet Gill was travelling east bound toward Prince George. Mr. Turcotte, riding on his Yamaha dirt bike was headed for the grocery store in Topley and at the point of impact was crossing Highway 16 from the eastern road entrance of the Topley rest area to the motorcycle trails north of the highway. Mrs. Gill's vehicle swerved left to avoid hitting Mr. Turcotte, contacting the left handle bar of the bike enough to bend it forward a little, then went into yaw about 40 meters down the road, drifted across the west bound lane and rolled violently in the ditch north of the highway. It appears that Mrs. Gill after having swerved left to avoid the motorcycle, possibly may have over-corrected to her right then went into yaw turning left and off the highway. It is clear that Mr. Turcotte bears responsibility for the collision, the issue is whether Mrs. Gill is also liable and if so to what degree. It is not argued that she was negligent in whatever occurred after her van contacted Mr. Turcotte's dirt bike; rather it is submitted that she should have seen Mr. Turcotte in time to recognize the hazard he posed and taken appropriate action such as braking or honking her horn. It is also argued that she was driving at an excessive speed which contributed to what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Sergeant Frayne, an accident reconstruction expert with the RCMP attended the scene. He measured and photographed tire marks he found on the road, and formed the opinion that they were yaw marks, from which speed could be accurately calculated. He calculated that the Gill vehicle was going 131 kilometres per hour at the start of the tire marks. This evidence is contradicted by Mr. Curpen, the passenger in the vehicle who estimated the speed to be 80-90 kilometres per hour. Frank Butler who was driving west toward Terrace testified the van was travelling about the same speed as vehicles behind it which he guessed would be close to the speed limit of 100 kilometres per hour. Sergeant Frayne's opinion that the speed of the van was 131 kilometres per hour is also contradicted by the evidence of Craig Lukes, a professional engineer and an experienced accident reconstruction expert. Mr. Lukes used a computer program called PC Crash which he described as being more sophisticated than the simple yaw calculations. Mr. Lukes' analysis with the PC Crash program indicated that the only speed which would match the marks left on the road was 115 kilometres per hour at the start of the marks. On the evidence it is my conclusion that the Gill vehicle was probably travelling at about the 100 kilometres per hour speed limit, and certainly no more than 115 kilometres per hour at the start of the tire marks approximately 40 meters past the position of Mr. Turcotte.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Randy Turcotte testified that he rode his motorcycle along a motorcycle trail through the rest area, below the highway and parallel to it. He said he shifted from second gear to first to go up the gravel side of the rest area turnout and stopped his motorcycle at the stop sign at the highway intersection. The rest area turnout at that point angles north east at roughly 45 degrees to the highway which Mr. Turcotte was intending to cross. He said he looked to his right first, then to his left, then his right again, then released the clutch and proceeded to cross the highway. Mr. Turcotte was wearing a motor-cross helmet which he said restricted his peripheral vision by 30-40 %. He said when he looked left he saw a van but was satisfied he could safely cross the highway. He proceeded a distance equal to four or five walking steps when the van hit the left handle bar of his bike and knocked his bike to the right. He assumed it was the van's mirror that hit him. He thought at that point the handle bar of the bike would have been just past where the fog line would have been. He did not recall being knocked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examination for discovery Mr. Turcotte testified that he saw the van thirty feet from him when he left the stop sign. He agreed that in his RCMP statement he had not mentioned stopping at all. Mr. Turcotte was convicted of driving without due care and attention. He agreed the event was traumatic and he did not like to think about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Frank Butler, a resident of Terrace, was driving home from Prince George with his wife and two daughters. He saw the blue van coming toward him. He said all of a sudden the blue van swerved and in that second he realized a motorcycle was on the road and that the van had swerved to miss it. Mr. Butler saw the van swerve over the centre line and he had to brake hard to avoid hitting it and come to a stop about 100 meters past. He said he saw the van strike the motorcycle which spun and went down. He was certain that a second or two later he saw the motorcyclist pick the bike up in the middle of the east bound lane. He had not noticed the motorcycle prior to seeing the van swerve and said he thinks he would have seen it if it had been at the fog line for a while.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Michael Morel, a welder who was living in Topley was driving west on highway 16. He saw the van heading east and a motorcycle heading up the access road, moving quickly toward the highway. He saw the van almost contact the motorcycle, wiggle a bit and shoot off the road. He testified "I saw the bike continue right out into the side of the van. I saw him fly right off the bike forward over the handlebar". He said he saw the motorcyclist get up, dust himself off and pick up the bike in the south side of the east bound lane. He said he did not see the motorcycle stop or change its speed prior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Earl Matthias, also a Topley resident was driving west to Houston. He said he could see the dirt bike in the parking area of the rest stop coming towards Topley. He said the motorbike was half way up the ramp when he passed the intersection. He said he watched the bike all the way because quite a few people come out without stopping. There was nothing unusual about the east bound vehicle he passed which was travelling in the centre of its lane. He looked in his rear view mirror and saw the cloud of dust and paper when the van went off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Jeff Curpen was travelling with Ramanjeet Gill as the front seat passenger. His daughter Jennifer Curpen was asleep in the back seat. It is agreed that she cannot supply any information relevant to how the collision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Curpen testified they had left Terrace at 5:30 a.m. heading for Prince George. He said Ramanjeet Gill had taken over driving shortly before the accident. She was driving 80 - 90 kph and talking. Suddenly, there was a motorcycle coming towards the road, which stopped with its front wheel across the fog line. He expected Ramanjeet Gill to do something to brake or avoid the motorcycle. He was shocked when nothing was done. He called "Raman", she called "Jeff" and they hit the bike. Mr. Curpen expressed the opinion that he could have avoided the accident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Curpen's evidence does not fit well with that of the other witnesses, nor is it consistent with statements he gave to the RCMP, and an adjuster after the accident, nor his testimony at Mr. Turcotte's preliminary hearing of March 25, 2002. Mr. Curpen said that his statements were honest, that he did the best he could but he was in a great deal of pain and medicated by morphine. Interestingly, however, what he said earlier coincides much more closely with the other evidence at trial. For example, in his statement made August 25th, 1998: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Raman was doing slower than 90 kph - I can't say the exact speed. Raman had been driving for about 20 minutes. Raman and I were talking...</w:t>
      </w:r>
    </w:p>
    <w:p>
      <w:pPr>
        <w:spacing w:before="120" w:line="260" w:lineRule="atLeast"/>
        <w:ind w:left="720"/>
        <w:rPr>
          <w:lang w:val="en-US" w:eastAsia="en-US" w:bidi="ar-SA"/>
        </w:rPr>
      </w:pPr>
      <w:r>
        <w:rPr>
          <w:rFonts w:ascii="arial" w:eastAsia="arial" w:hAnsi="arial" w:cs="arial"/>
          <w:color w:val="000000"/>
          <w:sz w:val="20"/>
          <w:lang w:val="en-US" w:eastAsia="en-US" w:bidi="ar-SA"/>
        </w:rPr>
        <w:t>Suddenly there was a motorcycle moving from the south side of the road. I saw the bike as soon as it entered our lane. It is difficult to say the speed of the motorcycle because I just saw him for a split second. The boy driving the motorcycle was not looking toward us. When I first saw the motorcycle, he was 10-15 feet in front of us. Raman saw him too. I yelled "Raman", Raman yelled "Jeff"! Raman pulled left. Raman fought to keep the car on the road. We hit the motorcycle. It was not a direct hit... kind of like when you hit a bird. Raman crossed the centre line into the on-coming west-bound traffic lane. After that it is not clear.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Curpen did not adopt his earlier statements as true, rather, he said he was trying to protect the deceased's reputation, and was now firmly of the opinion the accident should have been avoided. In light of Mr. Curpen's earlier contradictory statements, and the conflict between his evidence and the rest of the evidence in this trial, I do not accept Mr. Curpen's description of how the accident happened at trial as being factually accurate.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on the balance of probabilities that the accident occurred as follows. Raman Gill was driving the van eastbound on Highway 16 about the centre of her lane at or near the 100 kph speed limit.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Randy Turcotte was riding his Yamaha dirt bike along the motorcycle trail paralleling the highway through the rest area. He rode up the motorcycle trail onto the rest area access road as he described in his evidence, and as shown in Exhibit 4b, however, he did not stop at the stop sign but rather accelerated across the highway having somehow failed to recognize the hazard posed by the eastbound van - probably because his peripheral vision was obscured by his helmet and the angle of his destination put his back to the eastbound traffic. As a result of Mr. Turcotte's failure to recognize the hazard posed by the oncoming van, he proceeded into the path of that van so quickly that there was no time at all for Mrs. Gill to do anything other then what she did - she swerved to save his life and in doing so, lost control of her vehicle and lost her own life instead. I accept the evidence that the van hit the motorcycle and spun it around, and that Mr. Turcotte picked the bike up from the middle of the eastbound lane. The motorcycle was at least as far as the middle of the eastbound lane when the van hit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as a fact that no fault whatsoever it attributable to Ramanjeet Gill. She had no reason to believe that a motorcycle riding along a trail beside the highway would suddenly, and suicidally turn in front of her. When the motorcyclist's intention to cross the road became apparent, there was no time to do anything other than exactly what she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does not prove that Ramanjeet Gill was driving in any way other than a reasonable and prudent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find Randy Turcotte is liable for 100 per cent of the damages caused by this accident.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CURTIS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Gill v. Hepburn, [2012] B.C.J. No. 596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and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13 and November 22,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0523767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596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439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Harjinder Gill and Harpreet Gill, Plaintiffs, and Hugh W. Hepburn,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6" w:name="Keywords_33"/>
      <w:bookmarkEnd w:id="216"/>
      <w:r>
        <w:rPr>
          <w:rFonts w:ascii="arial" w:eastAsia="arial" w:hAnsi="arial" w:cs="arial"/>
          <w:b/>
          <w:color w:val="000000"/>
          <w:sz w:val="20"/>
          <w:lang w:val="en-US" w:eastAsia="en-US" w:bidi="ar-SA"/>
        </w:rPr>
        <w:t>Civil litigation — Civil procedure — Disposition without trial — Dismissal of action — Delay or failure to prosecute — Motion by defendant for order dismissing plaintiffs' claim for want of prosecution allowed — In 2005, plaintiffs commenced action against defendant chartered accountant for services provided in 1997 and 1998 — Defendant died in 2009 — Defendant provided defence in 2006 — In 2008, plaintiffs delivered amended statement of claim — In November 2011, plaintiffs produced preliminary expert report — Delay was inordinate and inexcusable — No acquiescence in delay — Plaintiffs did not make appropriate efforts to find expert — Action impugned defendant's honesty, professional reputation and character — Delay prejudiced defendant such that fair trial was not possible.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7" w:name="Case Summary_28"/>
            <w:bookmarkEnd w:id="21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Hepburn for an order dismissing the Gills' action for want of prosecution. In January 2005, the Gills commenced an action against Hepburn, a chartered accountant, for damages for breach of contract, breach of fiduciary duty and negligent misrepresentation. Hepburn died in June 2009. Hepburn provided accounting services to the Gills in 1997 and 1998. The action was commenced served in October 2005. Hepburn filed a defence in January 2006. The Gills delivered a list of documents in September 2006. Hepburn asked for expert reports in May 2008. In April 2008, the Gills delivered, but did not file, an amended statement of claim. In November 2011, the Gills produced a preliminary expert report.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8" w:name="Holdings of Court_21"/>
            <w:bookmarkEnd w:id="218"/>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delay in advancing the litigation was inordinate and inexcusable. Hepburn did not acquiesce in the delay by not filing an amended statement of defence. There was no basis on which the Gills could delay in prosecuting the action because Hepburn did not file an amended defence. There was no agreement to waive delay pending receipt of an expert report. The Gills were not making appropriate efforts to find an expert between 2004 and 2008. The inordinate delay was prejudicial to Hepburn. The action impugned his honesty, professional reputation and character. The Gills failed to meet the onus upon them to prosecute the claim diligently. The defence had been so prejudiced that a fair trial was no longer possible.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9" w:name="Legislation Cited_26"/>
      <w:bookmarkEnd w:id="2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24(9)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6-1(6), Rule 24-1(14)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0" w:name="Counsel_34"/>
      <w:bookmarkEnd w:id="22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J.M.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M.J. Hewitt.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1" w:name="Judgment_34"/>
      <w:bookmarkEnd w:id="221"/>
      <w:r>
        <w:pict>
          <v:line id="_x0000_s1194"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2" w:name="T.C. ARMSTRONG J."/>
            <w:bookmarkEnd w:id="222"/>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Hugh Hepburn was a chartered accountant who provided services to the plaintiffs in 1997 and 1998. The plaintiffs claim that in providing these services Mr. Hepburn was dishonest, breached his fiduciary duty to them, breached their contract with him and made negligent misrepresentations resulting in damages to them of approximately $48,000.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was commenced in January 2005. The defendant alleges that the plaintiffs have taken no meaningful steps to prosecute the action and he seeks a dismissal of the claim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Hepburn died in or about June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initial response to this application was advanced on the basis of an affidavit from a legal assistant in plaintiffs' counsel's office. That affidavit was limited to a brief description of events related to the pleadings and some correspondence exchanged between Mr. Duncan, plaintiffs' counsel and Mr. Hewitt, counsel for the defendant. Aside from that evidence, the plaintiffs did not rely on any affidavit evidence detailing the reasons for the delay in prosecuting the claim. When the matter came on for final argument, Mr. Duncan tendered an affidavit from his associate, Mr. Dunsmore, in which Mr. Dunsmore outlined the steps and strategy adopted by Mr. Duncan from the commencement of his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was an accountant in Terrace, British Columbia in 1997. The documents produced in litigation reveal that the defendant was a sole practitioner at the time. The pleadings disclose that he was retained by the plaintiffs to act as their accountant in relation to the plaintiffs'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were audited by Canada Revenue Agency (CRA) and received an assessment requiring them to pay additional taxes, interest and penalties in September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August 2004 the plaintiffs retained Dick Byl Law to represent them to commence an action against Mr. Hepburn. Mr. Duncan, the plaintiff's current counsel was an associate of the law firm and was assigned to act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commenced this action on January 11, 2005, but did not file a statement of claim until July 2005. The statement of claim was not served on the defendant until October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statement of claim alleges that as a result of defendant's breaches of duties owed to them, the plaintiffs were required to pay taxes, interest, penalties and other charges that could have been avoided if the defendant had performed his services in accordance with the standards required of a chartered accountant. The statement of claim enumerates other damages including accounting costs, financing costs and audit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Hepburn filed an appearance on January 21, 2005, and a statement of defense on January 4, 2006. On January 9, 2006, Mr. Hepburn delivered a demand for discovery of documents and a notice to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Hepburn produced and delivered a list of documents in February 2006 and the plaintiffs eventually delivered a list of documents in September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November 2007 the defendant requested a copy of Mr. Vahora's file; Mr. Duncan replied that he was considering the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May 2008 the defendant requested that the plaintiffs produce an expert report to address deficiencies in the pleading of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August 2007, plaintiffs' counsel suggested that examinations for discovery and the trial be scheduled. Defence counsel provided dates for a 2008 examination for discovery of Mr. Hepburn and a 2010 trial date. The plaintiffs did not take steps to schedule either event and Mr. Hepburn was never examined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January 2008, Mr. Hepburn issued a demand for particulars and interrogatories. Those processes were directed to issues in the statement of claim relating to:</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agreement made between Mr. Hepburn and plaintiffs to provide tax advice;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tax advice alleged to have been given by Mr. Hepburn in relation to the plaintiffs' business activities;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records prepared by Mr. Hepburn for the plaintiffs;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substance of the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March 11, 2008, counsel for the plaintiffs requested an extension of the deadline to respond to the request for answers to interrogatories and for particulars. Mr. Hepburn agreed to the extension until April 2, 2008. The plaintiffs did not provide specific responses to the demand for particulars or interrogatories but forwarded an unfiled amended statement of claim on April 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hold the view that the delivery of the amended statement of claim was a sufficient answer to Mr. Hepburn's request for particulars and answers to interrogatories. On May 14, 2008, Mr. Hewitt, counsel for the defendant, sent plaintiffs' counsel a letter containing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acknowledge receipt of your amendments. These amendments obviously seek to circumvent the principle raised many times before, namely that the accountant is not liable to pay the client's taxes even if the tax returns should have been prepared differently. To avoid that problem you allege that Mr. Hepburn should have recommended a different business structure to avoid the taxes that were payable. However, with respect, our view is that your pleadings are defective because they do not allege any facts which would establish the existence of such a structure.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advise us how it is you say that your clients could have lawfully arranged their affairs, given the true facts, to avoid the subject taxes entirely.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Perhaps you are intending to deliver an expert report that will elucidate your position on this issue. If so, of course you are not obliged to provide that yet, but it may be of assistance to do so in the circumstances. I trust you'll recognize your clients' insistence that their accountant should pay their taxes is a major impediment to any progress in this litigation. If you have any convincing basis for this theory, then it would be productive for you to share it with us. Please consider the request in the second paragraph to be a demand for particulars under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21, 2008, Mr. Duncan wrote back saying that "</w:t>
      </w:r>
      <w:r>
        <w:rPr>
          <w:rFonts w:ascii="arial" w:eastAsia="arial" w:hAnsi="arial" w:cs="arial"/>
          <w:i/>
          <w:color w:val="000000"/>
          <w:sz w:val="20"/>
          <w:lang w:val="en-US" w:eastAsia="en-US" w:bidi="ar-SA"/>
        </w:rPr>
        <w:t>we are in the midst of having an expert review the materials in this file and expect to have a report to you in due course.</w:t>
      </w:r>
      <w:r>
        <w:rPr>
          <w:rFonts w:ascii="arial" w:eastAsia="arial" w:hAnsi="arial" w:cs="arial"/>
          <w:color w:val="000000"/>
          <w:sz w:val="20"/>
          <w:lang w:val="en-US" w:eastAsia="en-US" w:bidi="ar-SA"/>
        </w:rPr>
        <w:t>" (Italics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July 6, 2009, Mr. Duncan wrote to Mr. Hewitt, advising that Mr. Hepburn had passed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August 11, 2009, Mr. Hewitt wrote to Mr. Duncan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write in reply to your letter dated July 6,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been attempting without success since May 14, 2008 to have you produce an expert report and since December 29, 2008 to cooperate in a mediation. Since early February 2009, we have been trying unsuccessfully to arrange her participation in a telephone call to discuss the claim. Frankly, I had concluded from the silence that your clients must have abandoned this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that context, the purpose of your letter of July 6 is not clear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August 24, 2009, Mr. Duncan responded to Mr. Hewitt stating that he was waiting for a final report from the plaintiffs'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Dunsmore's affidavit discloses no evidence of the plaintiffs efforts to advance the litigation between July 2005 and May 2008 other than to produce lists of documents in September 2006 and March of 2007. Mr. Duncan said, through Mr. Dunsmore, that from 2005 to 2008 the plaintiffs simply expressed hope that Mr. Vohara would provide an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Vohara had advised the plaintiffs on the Canada Revenue Agency (the "CRA") reassessment in 2002 and subsequent objections. He continued to be involved and from 2005 to 2008; Mr. Duncan relied on Mr. Vohara's assistance in order to prepare and prosecute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Between January 23, 2009, and June 12, 2009, it appears that the plaintiffs avoided discussions about mediation pending the obtaining of an expert's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appears that, initially, Mr. Duncan was satisfied that Mr. Vohara would be qualified to provide expert opinion evidence in this litigation. Strangely, it was not until the summer of 2008 that Mr. Duncan became concerned that Mr. Vohara might not be sufficiently independent to provide expert opinion evidence acceptable to the Court. That same year he advised the plaintiffs that Mr. Vohara would not be an appropriate expert given his ongoing relationship with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the plaintiffs apparently wanted Mr. Vohara to provide the expert opinion he was obviously not qualified to give an independent opinion on the standard of care alleged to have been breached by Mr. Hepburn for use at trial. In the fall of 2008 the plaintiffs instructed Mr. Duncan to find an independent expert to assess their claim. He began searching for a new expert in December of 2008 and in April 2009 was advised to retain a tax lawyer to provide opinion evidence. Mr. Duncan then instructed a new accountant and a tax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September 2009 Mr. Duncan advised the plaintiffs he had received an update from the new accountant and the tax lawyer but the plaintiffs were unhappy with the opinions or advice received from those experts. Because they were dissatisfied the plaintiffs told Mr. Duncan they wanted more time to discuss the matter with Mr. Vohara. There was no evidence of the reasons the plaintiffs rejected the advice of the lawyer or the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November 2009, Mr. Vohara identified a new candidate, Ms. Born, to provide an accounting opinion. She was asked to provide opinion evidence but declined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Vohara eventually recommended his partner, Mr. Buchanan, to provide opinion evidence for the plaintiffs. Mr. Buchanan provided a preliminary report in 2009 and followed with what was purported to be a final report dated November 15, 2011. In argument, Mr. Duncan acknowledged that this last opinion was not a final report that could be relied upon in its present form at the trial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analysis of this application begins with the Court of Appeal decision in </w:t>
      </w:r>
      <w:r>
        <w:rPr>
          <w:rFonts w:ascii="arial" w:eastAsia="arial" w:hAnsi="arial" w:cs="arial"/>
          <w:i/>
          <w:color w:val="000000"/>
          <w:sz w:val="20"/>
          <w:lang w:val="en-US" w:eastAsia="en-US" w:bidi="ar-SA"/>
        </w:rPr>
        <w:t>Irving v. Irving</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[1982] 6 W.W.R. 193</w:t>
        </w:r>
      </w:hyperlink>
      <w:r>
        <w:rPr>
          <w:rFonts w:ascii="arial" w:eastAsia="arial" w:hAnsi="arial" w:cs="arial"/>
          <w:color w:val="000000"/>
          <w:sz w:val="20"/>
          <w:lang w:val="en-US" w:eastAsia="en-US" w:bidi="ar-SA"/>
        </w:rPr>
        <w:t xml:space="preserve">. The test in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requires the defendant to prove the following:</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inordinate delay;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inordinate delay is inexcusable;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Hepburn is likely to be seriously prejudiced by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0690860 Manitoba Ltd. v. Country West Construction Ltd.</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xml:space="preserve">, Low J.A. set out the functions of a chambers judge in applying the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test. He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These cases suggest to me that a chambers judge charged with the hearing of an application for dismissal of an action for want of prosecution is bound to consider the following:</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reasons for the delay either offered in evidence or inferred from the evidence, including whether the delay was intentional and tactical or whether it was the product of dilatoriness,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impecuniosity, illness or some other relevant cause, the ultimate consideration being whether the delay is excusable in the circumstances;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defence and, if there is such prejudice, whether it creates a substantial risk that a fair trial is not possible at the earliest date by which the action could be readied for trial after its reactivation by the plaintiff;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balance, justice requires dismissal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 consider the fourth question to encompass the other three and to be the most important and decisive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argue a review of all the circumstances of the case is important in analysing the question of inordinate delay. They submitted the following: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Hepburn acquiesced in the delay insofar as he failed to file an amended statement of defense in response to the plaintiffs' amended statement of claim;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from May 2008, Mr. Duncan was searching for an appropriate expert and after finding an expert filed a notice of intention to proceed in 2010;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Hepburn did not complain of any delay prior to the issuing of a notice of intention to proceed and that no inordinate delay can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say there are three explanations constituting a reasonable excuse for delay. They say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Hepburn never asked or demanded that the plaintiffs proceed with setting a trial;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appeared the defendant accepted the plaintiffs' position that an expert was required before proceeding;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taking no steps to defend the allegations in the statement of claim Mr. Hepburn simply filed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defendant argues that there has been inordinate delay and that this delay should be considered from the time the cause of action first arose in addition to delay since the litigation began: </w:t>
      </w:r>
      <w:r>
        <w:rPr>
          <w:rFonts w:ascii="arial" w:eastAsia="arial" w:hAnsi="arial" w:cs="arial"/>
          <w:i/>
          <w:color w:val="000000"/>
          <w:sz w:val="20"/>
          <w:lang w:val="en-US" w:eastAsia="en-US" w:bidi="ar-SA"/>
        </w:rPr>
        <w:t>Fraser v. Kokan</w:t>
      </w:r>
      <w:r>
        <w:rPr>
          <w:rFonts w:ascii="arial" w:eastAsia="arial" w:hAnsi="arial" w:cs="arial"/>
          <w:color w:val="000000"/>
          <w:sz w:val="20"/>
          <w:lang w:val="en-US" w:eastAsia="en-US" w:bidi="ar-SA"/>
        </w:rPr>
        <w:t xml:space="preserve"> (1993), 24 C.P.C. (3d) 21 (B.C.S.C.), at para. 15; see also </w:t>
      </w:r>
      <w:r>
        <w:rPr>
          <w:rFonts w:ascii="arial" w:eastAsia="arial" w:hAnsi="arial" w:cs="arial"/>
          <w:i/>
          <w:color w:val="000000"/>
          <w:sz w:val="20"/>
          <w:lang w:val="en-US" w:eastAsia="en-US" w:bidi="ar-SA"/>
        </w:rPr>
        <w:t>Vic Van Isle Construction Ltd. v. Lomenda</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[1999] B.C.J. No. 3032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argues that the delay spans nine years from the date of the reassessment to the date of the application and that this was an inordinate delay. Mr. Hepburn's impugned advice was given between 13 and 14 years before the application and the plaintiffs waited two years after the CRA reassessment to commence the action. They delayed a further six more months in filing a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have been no serious or meaningful steps taken in the litigation, other than production of a document list. The plaintiffs failed to provide discovery by way of interrogatories and particulars and the plaintiffs abandoned the opportunity to examine Mr. Hepburn while he was still alive. They also failed to search for an opinion (other than from Mr. Vohara) from 2004 to 2008 and they did not procure a final accounting opinion until receipt of Mr. Buchanan's draft report of August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abandoned an opportunity to have a trial scheduled in 2010 and, as of the date of the application, have still not secured a trial date. The defendant argues that there is no credible excuse for the delay and in the absence of same the delay is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 regards to prejudice, the defendant submits they have suffered serious and irreparable prejudice. The limitation period has expired and Mr. Hepburn's death makes a fair trial of the action virtually impossible. Further, the plaintiffs have offered no evidence to rebut the presumption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the defendant argues that there is little likelihood of a fair trial and that justice demands the action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Inordinate Delay and Excuse for the Inordinate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the plaintiffs' delay in advancing this litigation was inordinate and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analysis of inordinate delay and the plaintiffs' excuse for delay is intertwined because the assessment of delay is often a function of the nature of the action and the evidence required. Each criterion must be assessed separately but the evidence relating to those criteria may be relevant to both issues: </w:t>
      </w:r>
      <w:r>
        <w:rPr>
          <w:rFonts w:ascii="arial" w:eastAsia="arial" w:hAnsi="arial" w:cs="arial"/>
          <w:i/>
          <w:color w:val="000000"/>
          <w:sz w:val="20"/>
          <w:lang w:val="en-US" w:eastAsia="en-US" w:bidi="ar-SA"/>
        </w:rPr>
        <w:t>Hanna's Construction v. Blue River,</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2006 BCCA 142</w:t>
        </w:r>
      </w:hyperlink>
      <w:r>
        <w:rPr>
          <w:rFonts w:ascii="arial" w:eastAsia="arial" w:hAnsi="arial" w:cs="arial"/>
          <w:color w:val="000000"/>
          <w:sz w:val="20"/>
          <w:lang w:val="en-US" w:eastAsia="en-US" w:bidi="ar-SA"/>
        </w:rPr>
        <w:t>,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Acquiescence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plaintiffs' first argument is that the defendant's failure to file an amended statement of defence stopped the clock running on the delay cited by the defendant in support of this application; they say the defendant acquiesced in the delay or made an implied agreement to permit the delay. They rely on </w:t>
      </w:r>
      <w:r>
        <w:rPr>
          <w:rFonts w:ascii="arial" w:eastAsia="arial" w:hAnsi="arial" w:cs="arial"/>
          <w:i/>
          <w:color w:val="000000"/>
          <w:sz w:val="20"/>
          <w:lang w:val="en-US" w:eastAsia="en-US" w:bidi="ar-SA"/>
        </w:rPr>
        <w:t>Hanna's Construction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Louie v. John Doe,</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[2008] B.C.J. No. 955</w:t>
        </w:r>
      </w:hyperlink>
      <w:r>
        <w:rPr>
          <w:rFonts w:ascii="arial" w:eastAsia="arial" w:hAnsi="arial" w:cs="arial"/>
          <w:color w:val="000000"/>
          <w:sz w:val="20"/>
          <w:lang w:val="en-US" w:eastAsia="en-US" w:bidi="ar-SA"/>
        </w:rPr>
        <w:t xml:space="preserve"> for the proposition that where a defendant fails to file a defence, there is no obligation on the plaintiff to advance the action until a defence is delivered. The plaintiffs' amended statement of claim was filed April 7, 2008. The plaintiffs claim that because the defendant did not file an amended statement of defence after April 7, 2008, the ball remained in the defendant's court and they were not obliged to move the case forward until an amended defence was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do not accept that the plaintiffs were entitled to assume the defendant was acquiescing in the delay of the prosecution of this action and they were justified in not proceeding. There was no evidence of an agreement, express or implied, that the defendant was free to let the action rest in abeyance for any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There was no basis on which the plaintiff could have delayed in prosecuting the action because Mr. Hepburn had not filed an amended defence. I note that when the amended statement of claim was served in 2008, Rule 24(9)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was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Rule 24(9)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provided that, where an amended statement of defence is not delivered, the defendant was deemed to rely upon his original statement of defence to the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deliver amended statement of defence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does not deliver an amended statement of defence as provided in subrule (8), the party shall be deemed to rely upon his or her original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Rule 24-1(14) of the current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Step in ongoing proceeding</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step in a proceeding is taken before July 1, 2010, the former Supreme Court Rules apply to any right or obligation arising out of or relating to that step if and to the extent that that right or obligation is to have effect before September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the date that the new rules came into force the action was governed by the pleadings extant at the time. The plaintiffs did not file a new notice of civil claim and there was no need or obligation on the defendant to file an amended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Under Rule 6-1(6)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 defendant is simply deemed to have no knowledge with respect to the new facts set out in the amended statement of claim if an amended response to is not delivered. There is nothing in the Rules to suggest that a further amended statement of defence must be filed. The absence of an amended defence does not excuse or relieve the plaintiffs from their obligation to prosecute the action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Hanna's Construction</w:t>
      </w:r>
      <w:r>
        <w:rPr>
          <w:rFonts w:ascii="arial" w:eastAsia="arial" w:hAnsi="arial" w:cs="arial"/>
          <w:color w:val="000000"/>
          <w:sz w:val="20"/>
          <w:lang w:val="en-US" w:eastAsia="en-US" w:bidi="ar-SA"/>
        </w:rPr>
        <w:t xml:space="preserve">, the Court of Appeal concluded if defendant delayed in prosecuting an action, then the absence of a defence is a relevant factor in deciding whether the plaintiff is guilty of inordinate delay. In that case, the defendant had not filed any statement of defence; in the absence of a defence the court held that it was reasonable for the plaintiff to delay until a defense was filed. In </w:t>
      </w:r>
      <w:r>
        <w:rPr>
          <w:rFonts w:ascii="arial" w:eastAsia="arial" w:hAnsi="arial" w:cs="arial"/>
          <w:i/>
          <w:color w:val="000000"/>
          <w:sz w:val="20"/>
          <w:lang w:val="en-US" w:eastAsia="en-US" w:bidi="ar-SA"/>
        </w:rPr>
        <w:t>Hanna's Construction</w:t>
      </w:r>
      <w:r>
        <w:rPr>
          <w:rFonts w:ascii="arial" w:eastAsia="arial" w:hAnsi="arial" w:cs="arial"/>
          <w:color w:val="000000"/>
          <w:sz w:val="20"/>
          <w:lang w:val="en-US" w:eastAsia="en-US" w:bidi="ar-SA"/>
        </w:rPr>
        <w:t xml:space="preserve"> the Court of Appeal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 do not agree that the lack of one particular enforcement mechanism changes the fact that the normal course of the action would have the defendant file a statement of defence in response to the statement of claim. It remains the responsibility of the defendant to be a party to bringing the matter to fruition. To do this a statement of defence is required and it was not unreasonable of the judge to say that it was the defendant's "turn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However, in this case the statement of defence had been filed and no further amendments were required; the plaintiffs were obliged to proceed with their claim. In this case it was not Mr. Hepburn's turn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also argue that because the defendant did not complain about the lack of progress in the action prior to the plaintiffs' notice of intention to proceed, the delay was not inordinate. However, as mentioned above, the defendant had no obligation to move the litigation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also inaccurate of the plaintiffs to suggest that Mr. Hepburn had not complained of any delay prior to the issuance of the notice of intention to proceed. Defense counsel's letter to Mr. Duncan of August 11, 2009, had put the plaintiffs on notice that their silence in response to overtures from Mr. Hepburn gave an impression that the plaintiffs had abandoned their claim. Although not a specific complaint about the delay, this remark was certainly a reflection that Mr. Hepburn had been led to believe that the matter was not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also argued that Mr. Hepburn's failure to demand a trial date, in some way, excuses the plaintiffs for not proceeding with their action. They say this fact, coupled with the failure to file a defence to the amended statement of claim, is evidence that Mr. Hepburn had accepted the plaintiffs' position that an expert's report was necessary before proceeding with the action. This is mere conjecture on the plaintiffs' part. There was no obligation on Mr. Hepburn to advance the litigation and, in my view, no obligation on Mr. Hepburn to put the plaintiffs on notice before bringing an application to dismiss on the prosecution. Further, the plaintiffs argument did not address the delay from September 2002 (the re-assessment date) to the date the action was commenced or the delay from 2005 to 2008 during which the plaintiffs were not taking any meaningful steps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Vic Van Isle Construction Ltd.,</w:t>
      </w:r>
      <w:r>
        <w:rPr>
          <w:rFonts w:ascii="arial" w:eastAsia="arial" w:hAnsi="arial" w:cs="arial"/>
          <w:color w:val="000000"/>
          <w:sz w:val="20"/>
          <w:lang w:val="en-US" w:eastAsia="en-US" w:bidi="ar-SA"/>
        </w:rPr>
        <w:t xml:space="preserve"> at para. 24, "Even if the defendant's behaviour did demonstrate tolerance of delay, there is no onus on a defendant to ensure that a matter moves forward" (citations omitted).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Difficulty in Finding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also argue that the delay in prosecuting the action was not inordinate because the plaintiffs had prolonged difficulty in finding an expert. They say that they did not delay in that effort; rather it is their counsel and their accountant who have not acted expeditiously in obtaining an expert. The plaintiffs say this problem is now corrected and they are in possession of an accounting opinion. In argument, Mr. Duncan acknowledged that his description of the current report as a "final report" is inaccurate insofar as the report served on the defendant fails to comply with the rules and will require revision.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Duncan argued that an expert opinion to support the plaintiffs' claim was essential for the action to have any chance of success. The plaintiffs argued that as of 2008 there was an implied agreement between counsel that without an expert opinion, the plaintiffs' claim would not proceed. He argued that this amounted to an implied agreement to await delivery of the expert opinion. I have rejected that submission; there was no evidence to support the existence of an implied agreement to tolerate delay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argue that the prolonged impediment to proceeding with the action was the need to obtain an expert's opinion to support the allegations in the amended statement of claim. The plaintiffs obtained some advice from experts by September 2009. They were unhappy with that advice; no details were given of their reasons for rejecting the opinion obtained, nor for the further delay in making this case ready for trial. The plaintiffs' response was that they "wanted time to discuss the matter with Mr. Vohara before proceeding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evidence on this point was given by Mr. Duncan through his associate, Mr. Dunsmore. Contrary to his argument, the evidence does not disclose or allege any agreement to waive ongoing delay pending receipt of receiving an expert report. Mr. Dunsmore deposes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ddd. Between the period of April 2008 and February 2011, it was Mr. Duncan's view, based in large measure on his </w:t>
      </w:r>
      <w:r>
        <w:rPr>
          <w:rFonts w:ascii="arial" w:eastAsia="arial" w:hAnsi="arial" w:cs="arial"/>
          <w:color w:val="000000"/>
          <w:sz w:val="20"/>
          <w:u w:val="single"/>
          <w:lang w:val="en-US" w:eastAsia="en-US" w:bidi="ar-SA"/>
        </w:rPr>
        <w:t>understanding</w:t>
      </w:r>
      <w:r>
        <w:rPr>
          <w:rFonts w:ascii="arial" w:eastAsia="arial" w:hAnsi="arial" w:cs="arial"/>
          <w:color w:val="000000"/>
          <w:sz w:val="20"/>
          <w:lang w:val="en-US" w:eastAsia="en-US" w:bidi="ar-SA"/>
        </w:rPr>
        <w:t xml:space="preserve"> of Mr. Hepburn[']s position, that until an expert report was produced, there was no prospect of a successful resolution of this file.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eee. In addition, during this same period of time, </w:t>
      </w:r>
      <w:r>
        <w:rPr>
          <w:rFonts w:ascii="arial" w:eastAsia="arial" w:hAnsi="arial" w:cs="arial"/>
          <w:color w:val="000000"/>
          <w:sz w:val="20"/>
          <w:u w:val="single"/>
          <w:lang w:val="en-US" w:eastAsia="en-US" w:bidi="ar-SA"/>
        </w:rPr>
        <w:t>Mr. Duncan assumed that Mr. Hepburn was content to wait for the receipt of an expert's report.</w:t>
      </w:r>
      <w:r>
        <w:rPr>
          <w:rFonts w:ascii="arial" w:eastAsia="arial" w:hAnsi="arial" w:cs="arial"/>
          <w:color w:val="000000"/>
          <w:sz w:val="20"/>
          <w:lang w:val="en-US" w:eastAsia="en-US" w:bidi="ar-SA"/>
        </w:rPr>
        <w:t xml:space="preserve"> He </w:t>
      </w:r>
      <w:r>
        <w:rPr>
          <w:rFonts w:ascii="arial" w:eastAsia="arial" w:hAnsi="arial" w:cs="arial"/>
          <w:color w:val="000000"/>
          <w:sz w:val="20"/>
          <w:u w:val="single"/>
          <w:lang w:val="en-US" w:eastAsia="en-US" w:bidi="ar-SA"/>
        </w:rPr>
        <w:t>assumed</w:t>
      </w:r>
      <w:r>
        <w:rPr>
          <w:rFonts w:ascii="arial" w:eastAsia="arial" w:hAnsi="arial" w:cs="arial"/>
          <w:color w:val="000000"/>
          <w:sz w:val="20"/>
          <w:lang w:val="en-US" w:eastAsia="en-US" w:bidi="ar-SA"/>
        </w:rPr>
        <w:t xml:space="preserve"> this because Mr. Hepburn's counsel made no attempt to file an Amended Statement of Defense.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fff. Mr. Duncan's advice to the plaintiffs during this period was based in large part on the fact that Mr. Hepburn's counsel had not expressed any concern about the delay in obtaining an expert report, and had not filed a defense to the additional claims that were made by the plaintiffs in April 2008, and not expressed any immediate concern about the change in circumstances that were brought about by Mr. Hepburn's death.</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This evidence must be considered in light of the Mr. Dunsmore's earlier evidence:</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2005 and the fall of 2008, Mr. Duncan continued to rely on the assistance of Mr. Vohara in order to prepare and prosecute the plaintiffs['] claim. Mr. Duncan considered Mr. Vohara to be acting as his consultant through this period.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this same period of time, the plaintiffs continued to express their hope that Mr. Vohara would, at some point, be in a position to provide an expert report once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point during the summer of 2008, Mr. Duncan became concerned that Mr. Vohara may not be considered by the court, to be an appropriate person to provide an expert report in this case. He expressed his concerns to the plaintiffs and asked them to consider hiring an independent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observed from the correspondence that in December 2004, Mr. Vohara corresponded with Mr. Duncan and provided an opinion on the issues at the root of the plaintiffs' claim. Mr. Vohara wrote Mr. Duncan further letters on the subject in October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Dunsmore deposed that after receiving correspondence from Mr. Vohara in December 2004, Mr. Duncan commenced drafting the claim against Mr. Hepburn. Between 2005 and 2008, Mr. Duncan continued to rely on Mr. Vohara's assistance to prepare and prosecute the claim. During this time the plaintiffs continued to express their hope that Mr. Vohara would, at some point, be in a position to provide an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Dunsmore deposes that it was not until July 2008 that all documents relevant to the claim were finally obtained. Mr. Dunsmore's affidavit says the following:</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2005 and July 2008, Mr. Duncan continued to collect documents relevant to the plaintiffs['] claim. It was not until July 2008 [that] all documents relevant to the claim were finally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no explanation for the delay in collecting documents necessary to advance this claim. The plaintiffs' accountant, Mr. Vohara, was engaged in 2002 and assisted the plaintiffs in their dispute with the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clear from this evidence that until September 2008 the plaintiffs did not make any effort to obtain an expert opinion to support the claims against Mr. Hepburn. It is unclear what Mr. Duncan was doing about evidence between 2004, when he was retained by the plaintiffs, and the fall of 2008 when he concluded it was necessary to obtain an expert opinion for trial purposes. He appeared to be relying on Mr. Vohara for advice but not for the purposes of giving an independent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did not say that the process of gathering documents caused any delay. The nature of the plaintiffs' claim leads me to conclude that Mr. Vohara would have had all of the plaintiffs' documents at the time of the CRA proceedings. In any event it remains unclear as to what steps, if any, the plaintiffs were taking from December 2004 until July 2008. There is no evidence of the plaintiffs' attempts to obtain an independent expert opinion nor is there mention of the reasons that an appropriate candidate could not be found for the job. Initially, Mr. Duncan was not alive to Mr. Vohara's limitations as an expert for the plaintiffs; in the summer of 2008 his views changed. However, Mr. Vohara was providing advice to Mr. Duncan and there is no explanation for the reason the action did not proceed during those four years based on that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Dunsmore deposes that it was in the summer of 2008 that Mr. Duncan became concerned that Mr. Vohara might not be considered by the Court to be an appropriate person to provide an expert report in this case. This assertion does not explain why the plaintiffs delayed between 205 and 2008. Mr. Dunsmore's affidavit indicates that Mr. Duncan was relying upon Mr. Vohara as a consultant in the preparation and prosecution of the plaintiffs' claim as opposed to him being the expert whose opinion would be necessary for trial. Surely, in 2005 Mr. Duncan knew the technical basis of the claim and prepared the pleadings based on that advice; while it is possible he would need a written opinion for trial the litigation could and should have proceeded with the assistance of Mr. Vohara.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December 2008 appears to be the first time Mr. Duncan searched for and found an expert to review the file. It was not until April 2009 that he was advised to retain a tax lawyer and in September 2009 Mr. Duncan received a status report from the accounting expert and the tax lawyer. The plaintiffs were dissatisfied with that information and asked Mr. Duncan for time to discuss the matter with Mr. Vohara. Mr. Duncan was referred to a new accountant, Ms. Born, in November 2009. She declined the assignment and in April 2010 the task was taken up by Mr. Buchanan. There was no evidence as to the availability of other qualified accountants in Terrace or elsewhere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observe that Mr. Dunsmore's affidavit does not say that the plaintiffs were looking for an expert from 2005 until 2008. I cannot conclude, on the balance of probabilities, and based on Mr. Dunsmore's affidavit, that the plaintiffs were making a genuine effort to obtain an appropriate independent expert opinion or advance the litigation from 2004 to 2008. There is no reasonable explanation for this delay and it in my view the delay was inordinate.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Further, the plaintiffs' search for an expert does not explain a period of almost three years elapsing from 2008 until 2011 without any other meaningful steps being taken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This case is unlike </w:t>
      </w:r>
      <w:r>
        <w:rPr>
          <w:rFonts w:ascii="arial" w:eastAsia="arial" w:hAnsi="arial" w:cs="arial"/>
          <w:i/>
          <w:color w:val="000000"/>
          <w:sz w:val="20"/>
          <w:lang w:val="en-US" w:eastAsia="en-US" w:bidi="ar-SA"/>
        </w:rPr>
        <w:t>Galati v. Insurance Corp. British Columbia,</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[1997] B.C.J. No. 2129</w:t>
        </w:r>
      </w:hyperlink>
      <w:r>
        <w:rPr>
          <w:rFonts w:ascii="arial" w:eastAsia="arial" w:hAnsi="arial" w:cs="arial"/>
          <w:color w:val="000000"/>
          <w:sz w:val="20"/>
          <w:lang w:val="en-US" w:eastAsia="en-US" w:bidi="ar-SA"/>
        </w:rPr>
        <w:t xml:space="preserve"> (S.C.), relied upon by the plaintiffs. The remarks of Burnyeat J. in </w:t>
      </w:r>
      <w:r>
        <w:rPr>
          <w:rFonts w:ascii="arial" w:eastAsia="arial" w:hAnsi="arial" w:cs="arial"/>
          <w:i/>
          <w:color w:val="000000"/>
          <w:sz w:val="20"/>
          <w:lang w:val="en-US" w:eastAsia="en-US" w:bidi="ar-SA"/>
        </w:rPr>
        <w:t>Galati</w:t>
      </w:r>
      <w:r>
        <w:rPr>
          <w:rFonts w:ascii="arial" w:eastAsia="arial" w:hAnsi="arial" w:cs="arial"/>
          <w:color w:val="000000"/>
          <w:sz w:val="20"/>
          <w:lang w:val="en-US" w:eastAsia="en-US" w:bidi="ar-SA"/>
        </w:rPr>
        <w:t xml:space="preserve"> deal with injury cases where both parties were active in pursuing medical evidence in response to a Part VII claim that remained outstanding for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contrast, the claim in this case is based on facts and advice known to the plaintiff before the CRA audit. There were no ongoing developments in the plaintiffs' position after September 2002. The action was virtually dormant for over four years before Mr. Duncan had gathered all the documents and realized a new expert was required. Mr. Vohara's advice and views were known throughout the litigation and Mr. Duncan and could have advanced the lawsuit without a formal expert's opinion in hand. Mr. Hepburn was not obliged to stand idle while the plaintiffs determined whether they had a provable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Throughout these years a shadow was hanging over Mr. Hepburn's reputation. It was not reasonable or excusable for the plaintiffs to delay the prosecution of this action for six years while they searched for an appropriate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Death of Mr. Hepburn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offered another excuse for the delay. The plaintiffs complained that defence counsel did nothing to apprise them of the impending death of Mr. Hepburn. They say it is incredulous to believe that Mr. Hepburn did not communicate with his counsel the fact that he was ill. The plaintiffs say that in the circumstances the defendant ought not to be permitted to claim prejudice where Mr. Hepburn took no steps to alert them of his illness. They say the prejudice should be shared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was no evidence on this application as to what, if any, notice defence counsel had about the defendant's health or his impending death. There was no reliable or admissible evidence as to the circumstances of Mr. Hepburn's death. The only evidence tendered by the plaintiffs was an email from Mr. Vohara saying that Mr. Hepburn had died after a battle with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the evidence I cannot be satisfied that information about Mr. Hepburn's illness was communicated to defence counsel or that there was any realistic possibility of informing the plaintiffs of his health difficulties in sufficient time to allow for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This application is heavily influenced by the fact that Mr. Hepburn has died. The allegations against him were set out in the amended statement of claim alleging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advice given in regard to the structure of a commercial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dominant consideration in an application to dismiss an action for want of prosecution involves a balancing of the interests of justice as that balance affects the parties: </w:t>
      </w:r>
      <w:r>
        <w:rPr>
          <w:rFonts w:ascii="arial" w:eastAsia="arial" w:hAnsi="arial" w:cs="arial"/>
          <w:i/>
          <w:color w:val="000000"/>
          <w:sz w:val="20"/>
          <w:lang w:val="en-US" w:eastAsia="en-US" w:bidi="ar-SA"/>
        </w:rPr>
        <w:t>Rhyolite Resources Inc. v. CanQuest Resources Corp.,</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1999 BCCA 36</w:t>
        </w:r>
      </w:hyperlink>
      <w:r>
        <w:rPr>
          <w:rFonts w:ascii="arial" w:eastAsia="arial" w:hAnsi="arial" w:cs="arial"/>
          <w:color w:val="000000"/>
          <w:sz w:val="20"/>
          <w:lang w:val="en-US" w:eastAsia="en-US" w:bidi="ar-SA"/>
        </w:rPr>
        <w:t>,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Busse v. Chertkow,</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1999 BCCA 313</w:t>
        </w:r>
      </w:hyperlink>
      <w:r>
        <w:rPr>
          <w:rFonts w:ascii="arial" w:eastAsia="arial" w:hAnsi="arial" w:cs="arial"/>
          <w:color w:val="000000"/>
          <w:sz w:val="20"/>
          <w:lang w:val="en-US" w:eastAsia="en-US" w:bidi="ar-SA"/>
        </w:rPr>
        <w:t xml:space="preserve">, the action was framed in misrepresentation, breach of trust and breach of fiduciary duty against several defendants. The events giving rise to the litigation occurred in the early- to mid-1980s. The action was commenced in 1991 and more than six years later the defendants brought motions to dismiss for want of prosecution. The chambers judge adjourned the applications for consideration by the trial judge. In so doing, he applied </w:t>
      </w:r>
      <w:r>
        <w:rPr>
          <w:rFonts w:ascii="arial" w:eastAsia="arial" w:hAnsi="arial" w:cs="arial"/>
          <w:i/>
          <w:color w:val="000000"/>
          <w:sz w:val="20"/>
          <w:lang w:val="en-US" w:eastAsia="en-US" w:bidi="ar-SA"/>
        </w:rPr>
        <w:t>obiter dictum</w:t>
      </w:r>
      <w:r>
        <w:rPr>
          <w:rFonts w:ascii="arial" w:eastAsia="arial" w:hAnsi="arial" w:cs="arial"/>
          <w:color w:val="000000"/>
          <w:sz w:val="20"/>
          <w:lang w:val="en-US" w:eastAsia="en-US" w:bidi="ar-SA"/>
        </w:rPr>
        <w:t xml:space="preserve"> given by Lambert J. A. in concurring reasons in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On appeal, the Court adopted the statement of the law given by Seaton J.A. in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with reference to what was said in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The delay was inordinate and inexcusable. It was intentional and for tactical purposes. There was "a strong likelihood of actual prejudice" to the defendants in presenting their cases at trial. The action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delay in this action has been inordinate. Over 13 years passed from the time the advice was given and nine years have elapsed since the reassessment was completed and the cause of action became known to the plaintiffs. The plaintiffs filed a writ of summons in January 2005 and delayed over six months in filing a statement of claim. Some three and one-half years passed while plaintiffs' counsel obtained documents. After obtaining those documents another three years passed before the long sought-after expert's report was made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Tundra Helicopters et al. v. Allison Gas Turbine et. al.</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Esson J.A. said at para. 37, "It is no light matter to dismiss an action for want of prosecution." 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Diplock L.J. said in </w:t>
      </w:r>
      <w:r>
        <w:rPr>
          <w:rFonts w:ascii="arial" w:eastAsia="arial" w:hAnsi="arial" w:cs="arial"/>
          <w:i/>
          <w:color w:val="000000"/>
          <w:sz w:val="20"/>
          <w:lang w:val="en-US" w:eastAsia="en-US" w:bidi="ar-SA"/>
        </w:rPr>
        <w:t>Allen v. Sir Alfred McAlpine &amp; Sons Ltd.</w:t>
      </w:r>
      <w:r>
        <w:rPr>
          <w:rFonts w:ascii="arial" w:eastAsia="arial" w:hAnsi="arial" w:cs="arial"/>
          <w:color w:val="000000"/>
          <w:sz w:val="20"/>
          <w:lang w:val="en-US" w:eastAsia="en-US" w:bidi="ar-SA"/>
        </w:rPr>
        <w:t>, [[1968] 2 Q.B. 229 (C.A.)] at p. 259: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 is not usually made until the period of limitation for the plaintiff's cause of action has expired. It is then a Draconian order and will not be lightly made. It should not in any event be exercised without giving the plaintiff an opportunity to remedy his default, unless the court is satisfied either that the default has been intentional and contumelious, </w:t>
      </w:r>
      <w:r>
        <w:rPr>
          <w:rFonts w:ascii="arial" w:eastAsia="arial" w:hAnsi="arial" w:cs="arial"/>
          <w:color w:val="000000"/>
          <w:sz w:val="20"/>
          <w:u w:val="single"/>
          <w:lang w:val="en-US" w:eastAsia="en-US" w:bidi="ar-SA"/>
        </w:rPr>
        <w:t>or that the inexcusable delay for which the plaintiff or his lawyers have been responsible has been such as to give rise to a substantial risk that a fair trial of the issues in the litigation will not be possible at the earliest date at which, as a result of the delay, the action would come to trial if it were allowed to continue.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obvious in this case that the limitation periods for the plaintiffs' causes of action have expired. There has been a nine year delay since the plaintiffs' damages were crystallized by the CRA reassessment. Two year passed before the plaintiffs retained counsel and a further six months before filing a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the Court referred to the delay for which "the plaintiff or his lawyers have been responsible" as germane to the analysis. Where delay causes prejudice to a defendant, it does not matter that the delay may be caused by the lawyer. If the affects of delay could be compensated for in costs or some other remedy, it may be appropriate to look at the question of whether the lawyer is responsible rather than the client. However, the fact that a party's lawyer delays does not affect the analysis because the defendant's prejudice cannot be ameliorated in any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plaintiffs failed to respond to demands for particulars and did not provide answers to interrogatories within the time required by the rules or at all. The plaintiffs have yet to obtain the expert's opinion they wish to rely on at trial and have been generally dilatory in their approach to this action. They declined to take the steps because of their belief that delivery of the amended statement of claim would answer Mr. Hepburn's concerns. Understandably, Mr. Hepburn did not wish to waive his rights to the particulars and answers to interrogatories. The plaintiffs did not take up the opportunity to examine the defendant for discovery in 2008. They have yet to set a date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rationale for considering dismissal of an action following inordinate delay is the threat to a fair trial brought about by loss of witnesses' recollections of details and events and as, in this case an important witness is unavailable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assessment of inordinate delay requires the court to consider multiple factors to determine what in the circumstances is reasonable: </w:t>
      </w:r>
      <w:r>
        <w:rPr>
          <w:rFonts w:ascii="arial" w:eastAsia="arial" w:hAnsi="arial" w:cs="arial"/>
          <w:i/>
          <w:color w:val="000000"/>
          <w:sz w:val="20"/>
          <w:lang w:val="en-US" w:eastAsia="en-US" w:bidi="ar-SA"/>
        </w:rPr>
        <w:t>Rhyolite Resources Inc.</w:t>
      </w:r>
      <w:r>
        <w:rPr>
          <w:rFonts w:ascii="arial" w:eastAsia="arial" w:hAnsi="arial" w:cs="arial"/>
          <w:color w:val="000000"/>
          <w:sz w:val="20"/>
          <w:lang w:val="en-US" w:eastAsia="en-US" w:bidi="ar-SA"/>
        </w:rPr>
        <w:t>,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Lord Diplock said that the length of delay may of itself be sufficient evidence of inordinate delay if the issues depend on the recollection of witnesses and events which happened long ago: </w:t>
      </w:r>
      <w:r>
        <w:rPr>
          <w:rFonts w:ascii="arial" w:eastAsia="arial" w:hAnsi="arial" w:cs="arial"/>
          <w:i/>
          <w:color w:val="000000"/>
          <w:sz w:val="20"/>
          <w:lang w:val="en-US" w:eastAsia="en-US" w:bidi="ar-SA"/>
        </w:rPr>
        <w:t>Allen v. Sir Alfred McAlpine &amp; Sons Ltd.</w:t>
      </w:r>
      <w:r>
        <w:rPr>
          <w:rFonts w:ascii="arial" w:eastAsia="arial" w:hAnsi="arial" w:cs="arial"/>
          <w:color w:val="000000"/>
          <w:sz w:val="20"/>
          <w:lang w:val="en-US" w:eastAsia="en-US" w:bidi="ar-SA"/>
        </w:rPr>
        <w:t>, [1968] 2 Q.B. 229.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time elapsing after the cause of action arose and starting the lawsuit may be a factor in the review. The court must look at the passage of the time in addition to the circumstances of the claim and any events transpiring after issuance of the writ of summons: </w:t>
      </w:r>
      <w:r>
        <w:rPr>
          <w:rFonts w:ascii="arial" w:eastAsia="arial" w:hAnsi="arial" w:cs="arial"/>
          <w:i/>
          <w:color w:val="000000"/>
          <w:sz w:val="20"/>
          <w:lang w:val="en-US" w:eastAsia="en-US" w:bidi="ar-SA"/>
        </w:rPr>
        <w:t>Galati,</w:t>
      </w:r>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Where a case involves serious allegations against the credit and character of a defendant, there is a higher onus to pursue relief diligently: </w:t>
      </w:r>
      <w:r>
        <w:rPr>
          <w:rFonts w:ascii="arial" w:eastAsia="arial" w:hAnsi="arial" w:cs="arial"/>
          <w:i/>
          <w:color w:val="000000"/>
          <w:sz w:val="20"/>
          <w:lang w:val="en-US" w:eastAsia="en-US" w:bidi="ar-SA"/>
        </w:rPr>
        <w:t>Kern v. Watson</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[1997] B.C.J. No. 680</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Vic Van Isle Construction Ltd.</w:t>
      </w:r>
      <w:r>
        <w:rPr>
          <w:rFonts w:ascii="arial" w:eastAsia="arial" w:hAnsi="arial" w:cs="arial"/>
          <w:color w:val="000000"/>
          <w:sz w:val="20"/>
          <w:lang w:val="en-US" w:eastAsia="en-US" w:bidi="ar-SA"/>
        </w:rPr>
        <w:t>,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this case, the allegations include dishonesty by the defendant and breach of his fiduciary duties. I would have thought that in advancing this type of attack on the defendant's professional character the plaintiffs ought to have moved with great dispatch to see the case to a timely conclusion. This action impugned the honesty, professional reputation and character of Mr. Hepburn. The plaintiffs have failed to meet the onus on them to pursue their claim diligently. They left this claim dangling over Mr. Hepburn, until he died. This delay was prejudicial and unfair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observe that the claims appear to be relatively straightforward. This is not a case involving personal injury where the passage of time may have been necessary to assess or evaluate a plaintiff's ongoing or developing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was no suggestion that the plaintiffs' delay occurred because of their impecuniosity. It is just not clear to me why there was such a delay until September 2008. After 2008 the plaintiffs were making some effort to prepare their case but the evidence was not that helpful in explaining why they did not advance the case between July 2008 and the spring of 2009. They could have taken steps in the litigation parallel with steps to obtain an opinion. From the outset, the plaintiffs were receiving advice from Mr. Vohara and there is a dearth of evidence as to why the normal pretrial procedures were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Once Mr. Hepburn has established an inordinate and inexcusable delay, a rebuttable presumption of prejudice arises: </w:t>
      </w:r>
      <w:r>
        <w:rPr>
          <w:rFonts w:ascii="arial" w:eastAsia="arial" w:hAnsi="arial" w:cs="arial"/>
          <w:i/>
          <w:color w:val="000000"/>
          <w:sz w:val="20"/>
          <w:lang w:val="en-US" w:eastAsia="en-US" w:bidi="ar-SA"/>
        </w:rPr>
        <w:t>Busse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There is a presumption of prejudice resulting from delay in litigation. This presumption becomes stronger when the limitation period has expired: </w:t>
      </w:r>
      <w:r>
        <w:rPr>
          <w:rFonts w:ascii="arial" w:eastAsia="arial" w:hAnsi="arial" w:cs="arial"/>
          <w:i/>
          <w:color w:val="000000"/>
          <w:sz w:val="20"/>
          <w:lang w:val="en-US" w:eastAsia="en-US" w:bidi="ar-SA"/>
        </w:rPr>
        <w:t>Galati,</w:t>
      </w:r>
      <w:r>
        <w:rPr>
          <w:rFonts w:ascii="arial" w:eastAsia="arial" w:hAnsi="arial" w:cs="arial"/>
          <w:color w:val="000000"/>
          <w:sz w:val="20"/>
          <w:lang w:val="en-US" w:eastAsia="en-US" w:bidi="ar-SA"/>
        </w:rPr>
        <w:t xml:space="preserve"> at para. 9 and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at paras. 11-12.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plaintiffs in this case did not argue that they had met the burden of rebutting the presumption of prejudice. Mr. Hepburn's death in 2009 is enormously, prejudicial to his defence of this action. The plaintiffs relied on the Court of Appeal decision in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for the proposition that the death of a witness is only one circumstance to be considered with other circumstances of the case in determining prejudice. In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the Court said missing witnesses did not necessarily constitute substantial prejudice but that the absence of important witnesses is a factor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issues in this litigation would have involved contests between the plaintiffs and defendant in several areas including the types of information and instructions given by the plaintiffs, the discussions between the plaintiffs and defendant, the advice given by the defendant and discrepancies between them. The plaintiffs have alleged that Mr. Hepburn was dishonest; it is almost inconceivable how that allegation could be dealt with in the absence of Mr. Hepburn. He was an essential witness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the circumstances of this case and in light of the allegations made against Mr. Hepburn the defence has been so seriously prejudiced that a fair trial is not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 the Demands of Justice Demand the Action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comments of Seaton J.A in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are apposite to the impact of delay in this action.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demonstration of inordinate delay, inexcusable delay and serious prejudice does not lead necessarily to dismissal. Those three factors are only the primary considerations; all of the circumstances must be considered. It is still for the courts to decide "whether or not on balance justice demands that the action should be dismissed": Salmon L.J. in </w:t>
      </w:r>
      <w:r>
        <w:rPr>
          <w:rFonts w:ascii="arial" w:eastAsia="arial" w:hAnsi="arial" w:cs="arial"/>
          <w:i/>
          <w:color w:val="000000"/>
          <w:sz w:val="20"/>
          <w:lang w:val="en-US" w:eastAsia="en-US" w:bidi="ar-SA"/>
        </w:rPr>
        <w:t>Allen v. Sir Alfred McAlpine &amp; Sons Ltd.</w:t>
      </w:r>
      <w:r>
        <w:rPr>
          <w:rFonts w:ascii="arial" w:eastAsia="arial" w:hAnsi="arial" w:cs="arial"/>
          <w:color w:val="000000"/>
          <w:sz w:val="20"/>
          <w:lang w:val="en-US" w:eastAsia="en-US" w:bidi="ar-SA"/>
        </w:rPr>
        <w:t xml:space="preserve">, supra. All of the statements of law are subject to the overriding principle that essential justice must be done. (See Freedman J.A. (as he then was) in </w:t>
      </w:r>
      <w:r>
        <w:rPr>
          <w:rFonts w:ascii="arial" w:eastAsia="arial" w:hAnsi="arial" w:cs="arial"/>
          <w:i/>
          <w:color w:val="000000"/>
          <w:sz w:val="20"/>
          <w:lang w:val="en-US" w:eastAsia="en-US" w:bidi="ar-SA"/>
        </w:rPr>
        <w:t>Ross v. Crown Fuel Co.</w:t>
      </w:r>
      <w:r>
        <w:rPr>
          <w:rFonts w:ascii="arial" w:eastAsia="arial" w:hAnsi="arial" w:cs="arial"/>
          <w:color w:val="000000"/>
          <w:sz w:val="20"/>
          <w:lang w:val="en-US" w:eastAsia="en-US" w:bidi="ar-SA"/>
        </w:rPr>
        <w:t xml:space="preserve"> (1962), 41 W.W.R. 65 at 88, </w:t>
      </w:r>
      <w:hyperlink r:id="rId602" w:history="1">
        <w:r>
          <w:rPr>
            <w:rFonts w:ascii="arial" w:eastAsia="arial" w:hAnsi="arial" w:cs="arial"/>
            <w:i/>
            <w:color w:val="0077CC"/>
            <w:sz w:val="20"/>
            <w:u w:val="single"/>
            <w:shd w:val="clear" w:color="auto" w:fill="FFFFFF"/>
            <w:lang w:val="en-US" w:eastAsia="en-US" w:bidi="ar-SA"/>
          </w:rPr>
          <w:t>37 D.L.R. (2d) 30</w:t>
        </w:r>
      </w:hyperlink>
      <w:r>
        <w:rPr>
          <w:rFonts w:ascii="arial" w:eastAsia="arial" w:hAnsi="arial" w:cs="arial"/>
          <w:color w:val="000000"/>
          <w:sz w:val="20"/>
          <w:lang w:val="en-US" w:eastAsia="en-US" w:bidi="ar-SA"/>
        </w:rPr>
        <w:t xml:space="preserve"> (Man.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This plaintiff chose delay over pressing ahead with a hopeless case. She took the chance that the delay would be so extensive as to warrant the dismissal of the action. That was an acceptable risk because she was only giving up an action that would fail. Ten years later she might possibly succeed if she is permitted to revise the old pleadings to allege constructive trust. The old action would be the vehicle for the new claim. The essential facts would be in dispute. </w:t>
      </w:r>
      <w:r>
        <w:rPr>
          <w:rFonts w:ascii="arial" w:eastAsia="arial" w:hAnsi="arial" w:cs="arial"/>
          <w:color w:val="000000"/>
          <w:sz w:val="20"/>
          <w:u w:val="single"/>
          <w:lang w:val="en-US" w:eastAsia="en-US" w:bidi="ar-SA"/>
        </w:rPr>
        <w:t>The independent witnesses who could resolve those disputes are not now available. Justice cannot now be done. Either the plaintiff or the defendant must bear the consequences of the delay. In my view, it is the plaintiff, who chose delay as a tactic, that must bear the consequences. Justice demands that the action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this case, the plaintiffs' decision to let this action languish for nearly five years before taking serious measures to obtain expert opinion while, at the same time, failing to respond to the defendant's demands for greater clarity in the facts and pleadings amounts to a tactical decision to delay. They must bear the consequences of that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have concluded that the plaintiffs are responsible for inordinate and inexcusable delay in the prosecution of their claim. Mr. Hepburn has been prejudiced and there is no reasonable prospect of the defendant obtaining a fair trial of the action. The plaintiffs did not take any steps to attempt to move the litigation forward. The prejudice to the defence is so serious justice demands that this action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 will have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Grant v. Gonella, [2008] B.C.J. No. 2058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22-26,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31,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M063021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2058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1454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173 A.C.W.S. (3d) 466</w:t>
      </w:r>
    </w:p>
    <w:p>
      <w:pPr>
        <w:spacing w:before="120" w:line="260" w:lineRule="atLeast"/>
        <w:rPr>
          <w:lang w:val="en-US" w:eastAsia="en-US" w:bidi="ar-SA"/>
        </w:rPr>
      </w:pPr>
      <w:r>
        <w:rPr>
          <w:rFonts w:ascii="arial" w:eastAsia="arial" w:hAnsi="arial" w:cs="arial"/>
          <w:color w:val="000000"/>
          <w:sz w:val="20"/>
          <w:lang w:val="en-US" w:eastAsia="en-US" w:bidi="ar-SA"/>
        </w:rPr>
        <w:t>Between Lynda Grant, Plaintiff, and Ellen Gonella and James Gonella,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96" style="position:absolute;z-index:2516951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3" w:name="Keywords_34"/>
      <w:bookmarkEnd w:id="223"/>
      <w:r>
        <w:rPr>
          <w:rFonts w:ascii="arial" w:eastAsia="arial" w:hAnsi="arial" w:cs="arial"/>
          <w:b/>
          <w:color w:val="000000"/>
          <w:sz w:val="20"/>
          <w:lang w:val="en-US" w:eastAsia="en-US" w:bidi="ar-SA"/>
        </w:rPr>
        <w:t>Damages — Physical and psychological injuries — Physical injuries — Body injuries — Back and spine — Pelvis — Considerations impacting on award — Credibility — Action by hospital aide for damages for hip and back injuries sustained in motor vehicle accident allowed — Neck and back pain, attributed to accident, resulted in missed work and reduction in physical activity at work, home and in leisure pursuits — Supervisors, coworkers and neighbour corroborated this — Award comprised of $70,000 for non-pecuniary damages, $13,452 for past income loss, $30,000 for future income loss, $1,498 for special damages and $5,000 for costs of future care.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For personal injuries — Cost of future care — Loss of earning capacity — Retroactive loss of income — Special damages — Non-pecuniary loss — Action by hospital aide for damages for hip and back injuries sustained in motor vehicle accident allowed — Neck and back pain, attributed to accident, resulted in missed work and reduction in physical activity at work, home and in leisure pursuits — Supervisors, coworkers and neighbour corroborated this — Award comprised of $70,000 for non-pecuniary damages, $13,452 for past income loss, $30,000 for future income loss, $1,498 for special damages and $5,000 for costs of future care.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24" w:name="Case Summary_29"/>
            <w:bookmarkEnd w:id="22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Grant for damages for personal injuries sustained in a January 2006 motor vehicle accident with Gonella. Gonella admitted liability for the accident. Grant was a 52-year-old landed immigrant from Jamaica who had worked as a resident care aide at a hospital since 1981. Prior to the accident, she was physically active at work, at home and in leisure pursuits. The accident involved a low speed collision between two vehicles. The cars sustained damages resulting in $1200 in repair costs. She complained of hip pain after the accident. She saw her doctor the next day with complaints of pain to her hip and buttock. She was off work to March 2006, when she began a graduated return to work. She was working full-time again by May 2006, when she next saw her doctor, still complaining of pain. AN MRI disclosed a cartilage tear. In September 2007, Grant experienced tingling and numbness in her leg. An x-ray revealed spinal problems. She took almost two months off work, after which she returned to full-time work. She missed no other work to the date of trial, although she was unable to return to her pre-accident level of physical activity. Her work supervisors, co-workers and neighbour supported this evidence. The experts agreed the ongoing pain Grant suffered from was attributable to her spinal problem and the cartilage tear. They disagreed on whether or not her back problems would have occurred regardless of the accident. There was some evidence she had complained of back problems prior to the accident. There was no evidence her job was in jeopardy as a result of her problems. </w:t>
            </w:r>
            <w:r>
              <w:rPr>
                <w:lang w:val="en-US" w:eastAsia="en-US" w:bidi="ar-SA"/>
              </w:rPr>
              <w:cr/>
            </w:r>
          </w:p>
          <w:p>
            <w:pPr>
              <w:spacing w:before="120" w:line="260" w:lineRule="atLeast"/>
              <w:ind w:left="240"/>
              <w:jc w:val="both"/>
              <w:rPr>
                <w:lang w:val="en-US" w:eastAsia="en-US" w:bidi="ar-SA"/>
              </w:rPr>
            </w:pPr>
            <w:bookmarkStart w:id="225" w:name="Holdings of Court_22"/>
            <w:bookmarkEnd w:id="225"/>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Grant was awarded $70,000 for non-pecuniary damages, $13,452 for past income loss, $30,000 for future income loss, $1,498 for special costs and $5,000 for future care. Considering the extent of the accident and the evidence from Grant, her doctors and other witnesses, it was clear she would not have sustained the ongoing problems wither back and hip but for the accident. There was insufficient evidence to show Grant would need assistance with housekeeping in the future. The awarded for future income loss was based on the possibility she miss work in future due to pain. </w:t>
            </w:r>
            <w:r>
              <w:rPr>
                <w:lang w:val="en-US" w:eastAsia="en-US" w:bidi="ar-SA"/>
              </w:rPr>
              <w:cr/>
            </w:r>
          </w:p>
          <w:p>
            <w:pPr>
              <w:rPr>
                <w:lang w:val="en-US" w:eastAsia="en-US" w:bidi="ar-SA"/>
              </w:rPr>
            </w:pPr>
          </w:p>
        </w:tc>
      </w:tr>
    </w:tbl>
    <w:p>
      <w:pPr>
        <w:jc w:val="both"/>
        <w:rPr>
          <w:lang w:val="en-US" w:eastAsia="en-US" w:bidi="ar-SA"/>
        </w:rPr>
      </w:pPr>
      <w:bookmarkStart w:id="226" w:name="Counsel_35"/>
      <w:bookmarkEnd w:id="22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7" style="position:absolute;z-index:2517463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L.M. Cohen.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D.B. Henry.</w:t>
      </w:r>
      <w:r>
        <w:rPr>
          <w:lang w:val="en-US" w:eastAsia="en-US" w:bidi="ar-SA"/>
        </w:rPr>
        <w:cr/>
      </w:r>
    </w:p>
    <w:p>
      <w:pPr>
        <w:spacing w:after="240"/>
        <w:rPr>
          <w:lang w:val="en-US" w:eastAsia="en-US" w:bidi="ar-SA"/>
        </w:rPr>
      </w:pPr>
      <w:bookmarkStart w:id="227" w:name="Judgment_35"/>
      <w:bookmarkEnd w:id="227"/>
      <w:r>
        <w:pict>
          <v:line id="_x0000_s1198" style="position:absolute;z-index:25179750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28" w:name="L.B. GEROW J."/>
            <w:bookmarkEnd w:id="228"/>
            <w:r>
              <w:rPr>
                <w:rFonts w:ascii="arial" w:eastAsia="arial" w:hAnsi="arial" w:cs="arial"/>
                <w:b/>
                <w:color w:val="000000"/>
                <w:sz w:val="30"/>
                <w:lang w:val="en-US" w:eastAsia="en-US" w:bidi="ar-SA"/>
              </w:rPr>
              <w:t>L.B. GEROW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Lynda Grant is seeking damages for injuries she suffered in a motor vehicle accident that occurred on January 4, 2006. The defendants admit that the accident was the fault of the defendant, Ellen Gonella. At issue are the nature, extent and duration of the injuries suffered by Ms. Grant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Grant was unable to work at her job as a resident care aide at an extended care home for a few months following the accident. Although Ms. Grant has returned to work, she complains that ongoing pain interferes with her work and her enjoyment of life. Ms. Grant alleges that as a result of her ongoing symptoms she had to take another month off work in September 2007. The defendants take the position that Ms. Grant's ongoing symptoms are not due to the injuries suffered in the motor vehicle accident, but are the consequence of degenerative changes in her spine which predate the accident and which would have become symptomatic regardless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Grant is 52 years old and was born in Jamaica. She immigrated to Canada in 1976. After coming to Canada she furthered her education, obtaining her grade 10 and a nurse's aide course. Since 1981 she has worked as a resident care aide on an extended care unit at St. Vincent's Langara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accident, Ms. Grant lived with two of her three children: her son, Tristan, born in 1987 and her daughter, Ginelle, born in 1994. Her son, Adrian, was born in 1976 and lives in Toronto.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at approximately 3:00 p.m. when the vehicle driven by Ms. Grant was struck by the defendants' vehicle. The defendant, Ms. Gonella, was driving the vehicle at the time and attempted to merge into Ms. Grant's lane. She did not see Ms. Grant's vehicle, and struck the driver's door of Ms. Grant's car as she changed lanes.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scene, Ms. Grant complained of pain in her left hip. Her evidence is that she had trouble getting out of the car but that she was able to drive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day after the motor vehicle accident, Ms. Grant went to see her family doctor, Dr. Abrahams, with complaints of pain in her left hip and buttock. Following the accident, Ms. Grant was off work until late March when she started a graduated return to work. When Dr. Abrahams saw her on May 4, 2006, Ms. Grant was back at work full time. She reported that she had improved, but she still had pain in her left hip and buttock. In April 2007, Dr. Abrahams ordered an MRI of her hip which disclosed a possible subtle tear in the cartilage or anterior labrum of the 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September 2007, Ms. Grant had an episode of numbness and tingling in the left leg which lasted for about two weeks. She ended up taking time off work from September 4 to October 29, 2007, due to the pain in her left hip and buttock. She returned to work in November and has been working full time ever since.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 x-ray performed on September 7, 2007, shows a narrowing of the anterior part of Ms. Grant's lumbar spine in the L4-5 area. An MRI in January 2008 showed a mild degenerative change in the lumbar spine that was most severe in the L4-5 area, and a broad disc bulge and some compression of the L5 nerve root.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acknowledge that Ms. Grant was injured in the motor vehicle accident. However, they say that she had recovered from the injury by the end of October 2006, and that her current complaints are due to her pre-existing degenerative disease and would have occurred regardless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All of the doctors agree that Ms. Grant has a slight tear to the cartilage of her left hip (a labral tear) and a disc bulge in the lumbar spine, and that these two conditions contribute to her ongoing pain in the area of her left hip and buttock. The occasional radiation of pain down Ms. Grant's left leg results from the irritation of a nerve in the area of the disc bulge. For the following reasons, I am satisfied that but for the accident, Ms. Grant would not have suffered the injury and her ongoing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order to establish causation Ms. Grant must prove on a balance of probabilities that but for the accident she would not have suffered the injury: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The plaintiff is not required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 tortfeasor must take his or her victim as the tortfeasor finds the victim, and is liable even if there are other causal factors, for which the defendant is not responsible, that result in the victim's losses being more severe than they would be for the average person. At the same time, the tortfeasor need not put the victim in a better position than he or she would have been in, and need not compensate the victim for the effects of a pre-existing condition that the victim would have experienced in any event: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Abrahams testified that Ms. Grant has consistently complained of pain in her left hip and buttock from the time of the accident to present. She has also complained of pain and numbness in her left leg from time to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Gilbart, an orthopaedic surgeon, diagnosed Ms. Grant with a soft tissue injury to her left hip and posterior buttock area, a musculoar ligamentous strain to her lumbar spine, with left sided radicular pain, a small anterior left hip labral tear, and degenerative changes and disc herniations in her lumbar spine. In his view, Ms. Grant suffered a soft tissue injury in the area of her left lower back, buttock and hip area. As well, it is Dr. Gilbart's opinion the accident either caused the disc herniation and the labral tear or significantly aggravated a pre-existing herniation and labral tear, thereby making them symptomatic.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Although Dr. Gilbart could not say for certain whether the herniation or the labral tear pre-existed the accident, he noted that the degenerative disease in Ms. Grant's lumbar spine is mild. It is Dr. Gilbart's opinion that the accident could have accelerated the degenerative changes in Ms. Grant's spine. In his view, Ms. Grant's ongoing complaints result from a combination of a soft tissue injury, irritation to the nerves in the area of the disc herniation, and the labral tear in her hip. Dr. Gilbart's opinion is that Ms. Grant has a mild permanent disability as a result of the injuries sustained in the motor vehicle accident. He expects that she will have intermittent pain in the future, and that her pain will be exacerbated with increased physical activity and lifting.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Sahjpaul, a neurosurgeon, formed the opinion that the pain in Ms. Grant's hip and buttock area is due in part to a nerve root compression or irritation in the L4-5 area. He bases his opinion on his examination of Ms. Grant and the medical records, including the x-ray and MRI images. Dr. Sahjpaul testified that although disc herniations and annular tears can occur on a degenerative basis, they can also be caused by traumas such as a motor vehicle accident. Given that Ms. Grant was asymptomatic prior to accident and that the x-ray of her lumbar spine showed very little degenerative change, it is Dr. Sahjpaul's opinion that it is likely that the herniation and the labral tear were caused or made symptomatic by the accident. Dr. Sahjpaul testified that one of the hallmarks of disc problems is that they wax and wane, and that patients will have periods of improvement and periods when their symptoms are more severe.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Hawk, an orthopaedic surgeon, conducted an independent medical examination of Ms. Grant. In his opinion, Ms. Grant suffered a soft tissue injury as a result of a contusion to her left hip and a lateral strain of her lumbar spine in the accident. Dr. Hawk is of the view that Ms. Grant is not physically impaired at this time. His opinion is that Ms. Grant's recurrent episodes of pain in her hip and radiating into her leg are secondary to a nerve root impingement in her lumbar spine caused by her degenerative lumbar spine disease and not by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Hawk's opinion that the accident caused only a soft tissue injury to her left hip area seems to be based in large part on the fact that he assumed that Ms. Grant's pain immediately after the accident was isolated to the outside or lateral aspect of her left hip and that she did not report any buttock pain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apparent from the evidence that, contrary to Dr. Hawk's assumption, Ms. Grant has reported buttock pain from the time of the accident. On January 18, 2006, she reported to her physiotherapist that she was very sore in her left buttock and was experiencing radiating pain into her hip and groin as well as her quadricep muscle. As a result, it is my view that the opinions of Dr. Sahjpaul and Dr. Gilbart are to be preferred over that of Dr. Hawk.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submit that there is evidence that Ms. Grant reported two earlier episodes of lower back pain in 2003 and 2004 to her family doctor, and those episodes are indications that the degenerative condition in Ms. Grant's spine had caused earlier problems. They argue that her current condition is the result of the natural progression of the degenerative disease in her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Abrahams testified that both these episodes were self-limiting, and that the 2004 incident was most likely due to a muscle strain. The incident in 2003 lasted only a day, and the incident in 2004 lasted approximately a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Both Dr. Gilbart and Dr. Sahjpaul were aware of the earlier incidents in forming their opinions. Dr. Gilbart referred to both incidents in his report and noted that Ms. Grant was asymptomatic for a prolonged period prior to the January 4, 2006 motor vehicle accident. Dr. Sahjpaul testified that the type of pain Ms. Grant suffered in 2004 was likely due to a lumbar strain or soft tissue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the two years prior to the accident Ms. Grant was very physically active both at work and outside of work. Her job as a resident care aide is very physically demanding. Her duties involve washing, dressing, transferring and feeding the residents of the care home. Most of the residents have very limited mobility and are confined to wheelchairs. The evidence from both Ms. Grant and a number of lay witnesses, including two of her supervisors, is that prior to the accident she was very active in her job, and voluntarily organized events and did extra shopping for the residents of the care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well, the evidence is that prior to the accident Ms. Grant was physically active outside of work. She loved dancing, biking, walking and working out. She frequently biked to work. She was the president of the housing cooperative in which she lived, and was active in working around the building and organizing activities at the cooperative.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Since the accident, Ms. Grant has not been able to return to her pre-accident activity level. Although her employment has not changed since the accident, she does not do the extra things she did prior to the accident, nor does she participate in her extracurricular activities to the same extent. She no longer power walks or bikes to work. She is unable to dance the way she could before the accident. All of the co-workers and friends commented on the fact that prior to the accident Ms. Grant loved dancing and was the life of any party. Many commented that she no longer dances the way she used to when she attends a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point to the fact that Ms. Grant was not candid about her pre-accident episodes of back pain with the ICBC adjuster who took her statement or Dr. Gilbart or Dr. Hawk, and argue that Ms. Grant has not been candid regarding the impacts of the injury she suffered in the accident. However, I accept Ms. Grant's evidence of the ongoing impact of the injury on her work and extracurricular activity as it is supported by the observations of disinterested third parties, including her supervisors, her co-workers and her neighbour.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apparent from the evidence of Ms. Grant, the lay witnesses, and her family doctor that Ms. Grant has continued have problems with pain in her left hip and buttock area since the accident. Although the episode in September 2007 was an acute episode, there is evidence that both prior to and subsequent to that episode she has been resting her leg, limping and having trouble managing her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stated by Dr. Gilbart and Dr. Sahjpaul the ongoing left buttock pain and occasional leg problems are indicative of the irritation of a nerve root in her lumbar spine. Although the degenerative changes could have pre-existed the accident, the current degeneration is minor. I accept the opinions of Dr. Gilbart and Dr. Sahjpaul that, in light of the minor nature of Ms. Grant's degenerative disease and the temporal connection between Ms. Grant's complaints of pain in her left hip and buttock and the accident, the accident either caused the disc herniation and labral tear or rendered the pre-existing disc herniation and labral tear symptomatic.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argue that there was also an intervening event which could have caused Ms. Grant's ongoing problem. There is evidence in one of the physiotherapist's notes that in February 2006 Ms. Grant slipped when she was getting onto the floor to stretch and as a result she was having pain. However, it was Dr. Gilbart's opinion that it was unlikely that falling from a seated position onto the floor would cause any exacerbation of Ms. Grant's condition. As well, Ms. Grant would not have been doing the stretches but for the accident, as it was part of her therapy. In the circumstances, the defendants have not established that the intervening event either caused or contributed to Ms. Grant's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argue that the force of the accident was not such that it could have caused the injuries to the lumbar spine. However, Dr. Hawk, the defendants' expert, was of the opinion that the car accident likely caused a strain to the lumbar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Gonella testified that the accident was not a huge impact for her. She testified that after the accident she pulled over and went to speak to Ms. Grant, who told her that she was shaken up and that her back and hip were hurting.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is that both cars were travelling at approximately 50 kph when the accident occurred. Although the defendants called engineering evidence in support of their argument that not much force involved in the accident, the expert was unable to make any measurements or view any pictures of the damage to Ms. Grant's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expert engineer was of the opinion that, due to the absence of photographs or measurement of the damage to Ms. Grant's vehicle, it is impossible to assess the degree of force involved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the defendants' expert engineering report is of little assistance in determining the forces that were generated in the accident in light of the fact that he was unable to take measurements or review photographs of the damage to Ms. Grant's vehicle. The tests he undertook involved different vehicles, different angles of impact and different speeds than those involved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evidence is that the defendants' vehicle struck the driver's side of Ms. Grant's vehicle. The defendants argue that the cost of repair of approximately $1200 indicates that this was a relatively minor accident and, therefore, unlikely to have caused the plaintiff's ongoing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the force of the impact is a factor to be considered in assessing the injuries sustained in an accident, it is only one factor to be considered. The nature and extent of the injuries suffered by a plaintiff should be assessed on the basis of all of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noted by Thackray J. (as he then was) in </w:t>
      </w:r>
      <w:r>
        <w:rPr>
          <w:rFonts w:ascii="arial" w:eastAsia="arial" w:hAnsi="arial" w:cs="arial"/>
          <w:b/>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(S.C.):</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Significant injuries can be caused by the most casual of slips and falls. Conversely, accidents causing extensive property damage may leave those involved unscathed.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indicated earlier, Ms. Grant's evidence and the evidence of her co-workers and friends is that since the accident Ms. Grant has not been able to return to her pre-accident level of performance at work or to many of her pre-accident extracurricular activities. As stated earlier, I accept the opinions of Dr. Gilbart and Dr. Sahjpaul that the accident either caused the disc herniation and the labral tear, or caused those asymptomatic conditions to become symptomatic, and that Ms. Grant's degenerative disease is minimal at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considering all of the evidence, I have concluded that but for the accident the injury causing Ms. Grant's ongoing complaints in her hip and buttock area would not have occurred.</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Grant suffers ongoing pain as a result of the injuries she sustained in the accident, although she does have periods that are pain free. Unfortunately, increased physical exercise tends to exacerbate her pain, and as a result Ms. Grant is limited in the type of activities she can now engage in and has been unable to return to a number of her pre-accident activities. Ms. Grant's evidence is supported by both the medical evidence and the evidence of the lay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All of the plaintiff and defence experts agree that Ms. Grant will suffer from recurrent episodes of pain in her left hip and buttock area. Both Dr. Gilbart and Dr. Sahjpaul opine that if her symptoms worsen, surgery might be an option but neither recommends surgery at this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Grant and defendants have provided me with a number of cases to assist in determining the appropriate award for pain and suffering. Ms. Grant submits that an award for general damages of $90,000 is appropriate, and that the range is $80,000 to $110,000. The defendants submit that their authorities support an award for general damages in the range of $50,000 to $70,000. I have considered the authorities presented by the parties. As in most cases, there are aspects of the decisions which are helpful, but they also have features which distinguish them from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satisfied that Ms. Grant has suffered pain and suffering and loss of enjoyment of life. The evidence is that Ms. Grant's job is very physically demanding and that she experiences pain from time to time in carrying out her job duties. As well, she was very physically active outside of work before the accident and took pleasure in exercising and in dancing. She has not been able to return to those activities. Having considered the authorities and the evidence concerning the likelihood of her recovery, and allowing for the possibility that Ms. Grant would have had problems carrying out some of her job duties and would not have been able to participate in her extracurricular activities due to her degenerative disease, I am of the view that the appropriate award for non pecuniary damages is $70,000.</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Past Wage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do not take issue with Ms. Grant's initial wage loss of $8,638. However, they submit that they are not responsible for Ms. Grant's wage loss in September 2007, as that was caused by the degenerative condition in her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Given my conclusion that Ms. Grant's ongoing problems are a result of the accident, Ms. Grant is entitled to recover the amount of her wage loss in September 2007 or $4,814 for a total past wage loss of $13,452.</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Future Wage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Ms. Grant has been able to return to work full time since the accident, I am satisfied that Ms. Grant has established that she has suffered a diminishment in her physical capabilities that will reduce her earning capacity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evidence is that ongoing pain resulting from the accident interferes with Ms. Grant's work from time to time. Ms. Grant takes the position that she may have to quit her job in the future because of the effects of the injury; however, there is no evidence that her job is in jeopardy. She is in a union job with a great deal of seniority, which allowed her to obtain her current day and evening shifts. The evidence is that the night shifts which she was working previously are less physically demanding than the day or evening shifts she is now working because many of the residents are sleeping.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factors to be taken into account in the assessment of future loss of earning capacity are set out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The considerations include: whether the plaintiff is less capable of earning income from all types of employment; whether the plaintiff is less attractive or marketable as an employee to potential employers; whether the plaintiff has lost the ability to take advantage of all job opportunities which might otherwise have been open to her had she not been injured; and whether she is less valuable to herself as a person capable of earning income in a competitive labour market.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amount to be awarded for future loss of capacity cannot be determined precisely, and it is recognized that assessing awards under this head of damages is a matter of prophecy or "crystal ball gazing": </w:t>
      </w:r>
      <w:r>
        <w:rPr>
          <w:rFonts w:ascii="arial" w:eastAsia="arial" w:hAnsi="arial" w:cs="arial"/>
          <w:b/>
          <w:i/>
          <w:color w:val="000000"/>
          <w:sz w:val="20"/>
          <w:lang w:val="en-US" w:eastAsia="en-US" w:bidi="ar-SA"/>
        </w:rPr>
        <w:t>Knickle v. Filipovic</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2006 BCSC 1693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medical evidence is that Ms. Grant may suffer from intermittent bouts of pain and may have to take additional time off in the future as a result. However, the evidence does not establish that Ms. Grant will have to quit her current occupation, or that there are not other options available in her current position if her symptoms became worse, such as working a lighter shift. She has recently voluntarily switched from working the lighter night shift to the more physically demanding evening shift.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stated earlier, there is no evidence that her job is in jeopardy apart from concerns she has expressed regarding the future. There is no doubt that in the event that Ms. Grant is forced to change her career because of her condition worsened, she would face difficulties obtaining employment due to her age, physical difficulties and limited education.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it is apparent from the evidence that Ms. Grant's physical capacity has been diminished as a result of the accident, any award for loss of earning capacity must reflect the likelihood that she would have suffered the same or similar symptoms as a result of her pre-existing degenerative disease. Having considered all of these factors, I am of the view that the appropriate award for loss of future earning capacity is $30,000.</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Special damages are agreed upon at $1,498. The only issue is whether the defendants are liable for the special damages incurred after September 2007. Given my finding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injuries resulting in Ms. Grant's ongoing symptoms, the defendants are liable for the full amount of special damages to trial, or the amount of $1,498.</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Grant is making a claim for loss of future care in the amount of $10,000. The medical evidence is that physiotherapy treatments may be of assistance. In my view, $5,000 is appropriate under this heading.</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Loss of Homemaking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Grant claims $10,000 for loss of homemaking capacity. There is insufficient evidence to establish that Ms. Grant will need assistance with homemaking in the future.</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Grant is entitled to costs at Scale B, subject to submissions.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L.B. GEROW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Hoisington v. Johnson &amp; Johnson Inc., [2016] B.C.J. No. 928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8, 2016;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22 and 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S-088553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928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807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Deborah Hoisington and Stefanie Puls, Plaintiffs, and Johnson &amp; Johnson Inc., Janssen-Ortho Inc., Canderm Pharma Inc., ABC1 Company, ABC2 Company, ABC3 Company, Anna Maria Duchon, John Doe1, John Doe2,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9" w:name="Keywords_35"/>
      <w:bookmarkEnd w:id="229"/>
      <w:r>
        <w:rPr>
          <w:rFonts w:ascii="arial" w:eastAsia="arial" w:hAnsi="arial" w:cs="arial"/>
          <w:b/>
          <w:color w:val="000000"/>
          <w:sz w:val="20"/>
          <w:lang w:val="en-US" w:eastAsia="en-US" w:bidi="ar-SA"/>
        </w:rPr>
        <w:t>Civil litigation — Civil procedure — Parties — Class or representative actions — Certification — Determination of contents of certification order — Certification order was to refer to "claims" of vicarious liability that were in notice of civil claim — Notice of civil claim asserted that manufacturers were vicariously liable for actions of distributors — Plaintiffs proposed having certification order state that claims were set out in notice of civil claim, which would be attached — Object of s. 8(1)(c) of Class Proceedings Act would be better achieved by describing "claims" raised by notice of civil claim in body of certification order.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0" w:name="Case Summary_30"/>
            <w:bookmarkEnd w:id="2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contents of a certification order. The plaintiffs sought to certify the action as a class proceeding to effect a settlement agreement with the manufacturers of a cosmetic filler that caused bumps when it was improperly injected into the lips of users. The notice of civil claim asserted that the manufacturers were vicariously liable for the actions of the distributors. The plaintiffs and the manufacturers proposed having the certification order state that the claims were set out in the notice of civil claim, which would be attached. The distributors argued that the proposed certification order failed to "state the nature of the claims asserted on behalf of the class".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1" w:name="Holdings of Court_23"/>
            <w:bookmarkEnd w:id="231"/>
            <w:r>
              <w:rPr>
                <w:rFonts w:ascii="arial" w:eastAsia="arial" w:hAnsi="arial" w:cs="arial"/>
                <w:color w:val="000000"/>
                <w:sz w:val="20"/>
                <w:lang w:val="en-US" w:eastAsia="en-US" w:bidi="ar-SA"/>
              </w:rPr>
              <w:t>HELD: The certification order was to refer to the "claims" of vicarious liability that were in the notice of civil claim.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object of s. 8(1)(c) of the Class Proceedings Act would be better achieved by clearly and concisely describing the "claims" raised by the notice of civil claim in the body of the certification order. The object would be diminished by attaching the notice of civil claim to the certification order and requiring readers to parse through the pleadings to glean what claims were being advanced.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2" w:name="Legislation Cited_27"/>
      <w:bookmarkEnd w:id="2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623" w:history="1">
        <w:r>
          <w:rPr>
            <w:rFonts w:ascii="arial" w:eastAsia="arial" w:hAnsi="arial" w:cs="arial"/>
            <w:i/>
            <w:color w:val="0077CC"/>
            <w:sz w:val="20"/>
            <w:u w:val="single"/>
            <w:shd w:val="clear" w:color="auto" w:fill="FFFFFF"/>
            <w:lang w:val="en-US" w:eastAsia="en-US" w:bidi="ar-SA"/>
          </w:rPr>
          <w:t>R.S.B.C. 1996, c. 50, s. 2</w:t>
        </w:r>
      </w:hyperlink>
      <w:r>
        <w:rPr>
          <w:rFonts w:ascii="arial" w:eastAsia="arial" w:hAnsi="arial" w:cs="arial"/>
          <w:color w:val="000000"/>
          <w:sz w:val="20"/>
          <w:lang w:val="en-US" w:eastAsia="en-US" w:bidi="ar-SA"/>
        </w:rPr>
        <w:t>, s. 4, s. 4(1), s. 8, s. 8(1), ss. 8(1)(c)-(e), s. 8(1)(c), s. 8(1)(d), ss. 19-24, 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3" w:name="Counsel_36"/>
      <w:bookmarkEnd w:id="2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Eric Stanger.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for related Ontario Class Proceeding: Idan Erez.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Johnson &amp; Johnson Inc. and Janssen-Ortho Inc.: David Neaves, Rebecca von Ruti, Robin Reinertson.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Canderm Pharma Inc. and Anna Maria Duchon: Mirilyn Sharp.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4" w:name="Judgment_36"/>
      <w:bookmarkEnd w:id="234"/>
      <w:r>
        <w:pict>
          <v:line id="_x0000_s1203"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Certification Order</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5" w:name="P.G. VOITH J."/>
            <w:bookmarkEnd w:id="235"/>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move for an order,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certifying this action as a class proceeding (the "Certification Order"),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for the purposes of effecting a settlement agreement (the "Settlement Agreement"), entered into with the defendants, Johnson and Johnson, Ortho-McNeil-Janssen Pharmaceuticals Inc. (now named Janssen Pharmaceuticals, Inc.), Johnson &amp; Johnson Inc., Janssen-Ortho Inc. (now Janssen Inc.), and Colbar Lifesciences Ltd. (collectively the "J&amp;J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is brought on consent of the J&amp;J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Canderm Pharma Inc., and Anna Maria Duchon (the "Canderm Defendants"), do not oppose the plaintiffs' application for consent certification as against the J&amp;J Defendants for the purposes of the Settlement Agreement, but challenge the proper form of the Certification Order insofar as it affects the rights of the Canderm Defendants. Specifically, they argue that the proposed Certification Order fails to properly identify the "claims asserted on behalf of the class" pursuant to s. 8(1)(c)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Canderm Defendants also do not oppose the plaintiffs' application for approval of two notices (the "Notices"), to be sent to putative class members, but question the proper form and content of the Notices insofar as they affect the rights of the Canderm Defendants. Specifically, they argue that one of the proposed Notices is dense, confusing and overly long. They also question the procedure that the plaintiffs and the J&amp;J Defendants intend to use to give notice of the certification and of the Settlement Agreement to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reasons indexed at </w:t>
      </w:r>
      <w:hyperlink r:id="rId624" w:history="1">
        <w:r>
          <w:rPr>
            <w:rFonts w:ascii="arial" w:eastAsia="arial" w:hAnsi="arial" w:cs="arial"/>
            <w:i/>
            <w:color w:val="0077CC"/>
            <w:sz w:val="20"/>
            <w:u w:val="single"/>
            <w:shd w:val="clear" w:color="auto" w:fill="FFFFFF"/>
            <w:lang w:val="en-US" w:eastAsia="en-US" w:bidi="ar-SA"/>
          </w:rPr>
          <w:t>2015 BCSC 1582</w:t>
        </w:r>
      </w:hyperlink>
      <w:r>
        <w:rPr>
          <w:rFonts w:ascii="arial" w:eastAsia="arial" w:hAnsi="arial" w:cs="arial"/>
          <w:color w:val="000000"/>
          <w:sz w:val="20"/>
          <w:lang w:val="en-US" w:eastAsia="en-US" w:bidi="ar-SA"/>
        </w:rPr>
        <w:t>, I dismissed an application brought by the plaintiffs as against the Canderm Defendants to enforce a settlement agreement (the "Settlement Reasons"). In the Settlement Reasons, I described the nature of the action, as well as a central procedural issue that had impeded a global settlement of the action. That procedural issue continues to underlie the concerns expressed by the Canderm Defendants on this application, particularly as it relates to the final issue that I have identified -- that being the acceptability of the process or procedure the plaintiffs and the J&amp;J Defendants propose to use for various future steps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Specifically,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central facts that underlie this application are straightforward. This action was commenced in British Columbia in December 2008. It was originally case-managed by Madam Justice Griffin. It was re-assigned to be case-managed by me in February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A separate, but parallel proposed class action, was brought in Ontario in </w:t>
      </w:r>
      <w:r>
        <w:rPr>
          <w:rFonts w:ascii="arial" w:eastAsia="arial" w:hAnsi="arial" w:cs="arial"/>
          <w:i/>
          <w:color w:val="000000"/>
          <w:sz w:val="20"/>
          <w:lang w:val="en-US" w:eastAsia="en-US" w:bidi="ar-SA"/>
        </w:rPr>
        <w:t>Micevic v. Johnson &amp; Johnson et al</w:t>
      </w:r>
      <w:r>
        <w:rPr>
          <w:rFonts w:ascii="arial" w:eastAsia="arial" w:hAnsi="arial" w:cs="arial"/>
          <w:color w:val="000000"/>
          <w:sz w:val="20"/>
          <w:lang w:val="en-US" w:eastAsia="en-US" w:bidi="ar-SA"/>
        </w:rPr>
        <w:t xml:space="preserve"> under file no. CV-09-39084600 CP. That proceeding has been stayed, by consent, pending certification of this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Both actions allege that a product known as Evolence, a cosmetic injectable filler, caused bumps or nodules when improperly injected into the lips of persons who used this product. The defendants, Johnson and Johnson Inc. and Jansen-Ortho Inc. (the "J&amp;J Defendants") are alleged to have manufactured Evolence. The Canderm Defendants are alleged to have distributed the product, either alone or in conjunction with the J&amp;J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It is common ground that the size of the proposed class is expected to be limited, possibly to no more than 50 individuals, and that the global amounts involved in the action are likely to be correspondingly modest. It is also clear that all parties have worked diligently to settle the action. The central impediment to any such settlement has been the procedure by which the action would be certified, members of the class would be given notice of the settlement, and the settlement would then be approved.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Though the positions of the parties have morphed slightly over time, the J&amp;J Defendants and the plaintiff have generally been of the view that a procedure comprised of the following distinct steps would be an appropriate means of resolving the dispute:</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would be a consent certification in each of British Columbia and Ontario;</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certification was granted, a single notice would be published advising class members of their rights to either opt out or to object to the settlement at a subsequent approval hearing;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notice was published, the proposed settlement would be brought back before each of the British Columbia and Ontario courts for approval.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process, or these various steps in combination, have been referred to, before me, as the "Dual Hearing/Single Notice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Conversely, the position of the Canderm Defendants had, in the past, been that the proper procedure for settlement of both the British Columbia, and the virtually identical Ontario action, would be: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publish an initial notice (to be approved by the Court), advising all putative class members that a hearing would be held simultaneously to certify the action and approve the settlement on behalf of all Canadian residents who were injected with Evolence;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conduct a single hearing in Ontario (which is an opt-out jurisdiction), for the purposes of obtaining a simultaneous certification and settlement approval order on behalf of all Canadian residents who were injected with Evolence;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publish a second notice advising class members that the action has been certified, the settlement has been approved, and that class members have the right to opt out of the settlement or make a claim in the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ostensible benefits and disadvantages of these different sets of procedures, and the reasons that each party held its respective views, are of limited moment on this application. What is important is that these differing views on process have, remarkably, been both central to the ongoing case management of the action and, as I have said, constituted the primary obstacle to potential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Certainly, the issue has been consistently alluded to before me, though no application to address or resolve the matter has ever been brought. A review of the record on this application confirms that it has been a source of ongoing disagreement between counsel for the parties. Indeed, an affidavit filed on behalf of the plaintiffs for a hearing that occurred before me in this matter on March 31, 2015, states: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many obstacles to settling the matter with the Canderm Defendants; however, it is fair to say that the fundamental source of disagreement, at least in the time when the negotiations began in earnest to settle the action with all of the defendants, was more about the procedure to which the settlement would come to be judicially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For the purposes of these reasons, I have referred to the parallel Ontario proceeding, </w:t>
      </w:r>
      <w:r>
        <w:rPr>
          <w:rFonts w:ascii="arial" w:eastAsia="arial" w:hAnsi="arial" w:cs="arial"/>
          <w:i/>
          <w:color w:val="000000"/>
          <w:sz w:val="20"/>
          <w:lang w:val="en-US" w:eastAsia="en-US" w:bidi="ar-SA"/>
        </w:rPr>
        <w:t>Micevic v. Johnson &amp; Johnson et al</w:t>
      </w:r>
      <w:r>
        <w:rPr>
          <w:rFonts w:ascii="arial" w:eastAsia="arial" w:hAnsi="arial" w:cs="arial"/>
          <w:color w:val="000000"/>
          <w:sz w:val="20"/>
          <w:lang w:val="en-US" w:eastAsia="en-US" w:bidi="ar-SA"/>
        </w:rPr>
        <w:t xml:space="preserve"> under file no. CV-09-39084600 CP, as the "Ontario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r>
        <w:rPr>
          <w:rFonts w:ascii="arial" w:eastAsia="arial" w:hAnsi="arial" w:cs="arial"/>
          <w:sz w:val="20"/>
          <w:lang w:val="en-US" w:eastAsia="en-US" w:bidi="ar-SA"/>
        </w:rPr>
        <w:cr/>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Matters About Which there 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Counsel for the plaintiffs filed numerous affidavits and a detailed written brief that addressed the various requirements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must be satisfied before a class action can be certified. Those materials and that brief addressed the appropriateness of i) a consent certification, ii) notice approval occurring prior to a settlement approval hearing, and iii) the various specific requirements of s. 4(1)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Those specific requirements include,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the pleadings disclose a cause of action, that there is an identifiable class, that the claims of the class members raise common issues, that a class proceeding would be the preferable procedure for the fair and efficient resolution of the common issue(s), and that there is an appropriate representative plaintiff who can satisfy various specified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the J&amp;J Defendants, and the Canderm Defendants agree that these various requirements are satisfied in this case. My review of the materials I have described has also satisfied me that the various explicit requirements of s. (4)(1)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satisfied.</w:t>
      </w:r>
      <w:r>
        <w:rPr>
          <w:rFonts w:ascii="arial" w:eastAsia="arial" w:hAnsi="arial" w:cs="arial"/>
          <w:sz w:val="20"/>
          <w:lang w:val="en-US" w:eastAsia="en-US" w:bidi="ar-SA"/>
        </w:rPr>
        <w:cr/>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hearing of this application, and without notice to the Canderm Defendants, the J&amp;J Defendants argued that neither the proposed form of the Certification Order, nor the proposed Notices, expressly address or deal with the Canderm Defendants. Accordingly, it was said that the Canderm Defendants had no standing to challenge the content or form of the Certification Order or the proposed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do not think that this is so. For reasons that I will identify, it is clear that the proposed Certification Order has the prospect of affecting the substantive rights of the Canderm Defendants. In a similar vein, the underlying processes being contemplated in the proposed Notices will drive the ongoing process or procedure between the parties, including the Canderm Defendants. It is their ongoing disagreement over these procedures that I alluded to in the Settlement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Still further, it is apparent from the Application Response filed by the Canderm Defendants that they seek to make submissions on the Certification Order and the Notices only "... insofar as [they] may affect the rights of the Canderm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Finally, and in any event, the plaintiffs, the J&amp;J Defendants, and the Canderm Defendants have communicated and negotiated extensively over the form of the Certification Order and the Notices. The plaintiffs and the J&amp;J Defendants have had the submissions of the Canderm Defendants for some time. To the extent the Canderm Defendants are able to identify potential deficiencies in these materials, and thereby assist in creating an appropriate Certification Order and/or Notices to the class that are more consistent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its objects, I consider that the Court should have the benefit of those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Issue 1: Identifying the "Nature of the Claims Asserted on Behalf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primary objection advanced by the Canderm Defendants in relation to the Certification Order is that it fails to "state the nature of the claims asserted on behalf of the class" and, as such, that it fails to comply with the mandatory language of s. 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certification order must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describe the class in respect of which the order was made by setting out the class's identifying characteristics,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 the representative plaintiff for the class,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nature of the claims asserted on behalf of the class,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relief sought by the class,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common issues for the class,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manner in which and the time within which a class member may opt out of the proceeding,</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manner in which and the time within which a person who is not a resident of British Columbia may opt in to the proceeding,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include any other provisions the court considers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Context and Subtext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Notice of Civil Claim, in Part 1, advances various distinct causes of action. Those causes of action include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(para. 32), negligent misrepresentation (para. 33), breach of contract (para. 36), and breach of various warranties and representations (paras. 37 and 38). In Part 3 of the pleading, the plaintiffs allege breach of both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The Notice of Civil Claim also seeks various forms of relief, including general and special damages, an accounting, and disgorgement of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 issue arises with respect to any of the foregoing causes of action or forms of relief. Instead, the focus of this application is the assertion in the Notice of Civil Claim that the J&amp;J Defendants "are vicariously liable for the actions of their agent Canderm Pharma Inc." (para. 34), and that "Canderm Pharma Inc. is vicariously liable for the negligent representations, inducements, and encouragements made by Anna Maria Duchon or other sales representatives to the plaintiffs"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draft Certification Order initially included by the plaintiffs in their Application Record stated that the nature of the claims asserted on behalf of the class were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unjust enrichment, and breach of the </w:t>
      </w:r>
      <w:r>
        <w:rPr>
          <w:rFonts w:ascii="arial" w:eastAsia="arial" w:hAnsi="arial" w:cs="arial"/>
          <w:i/>
          <w:color w:val="000000"/>
          <w:sz w:val="20"/>
          <w:lang w:val="en-US" w:eastAsia="en-US" w:bidi="ar-SA"/>
        </w:rPr>
        <w:t>Sale of Goods A</w:t>
      </w:r>
      <w:r>
        <w:rPr>
          <w:rFonts w:ascii="arial" w:eastAsia="arial" w:hAnsi="arial" w:cs="arial"/>
          <w:color w:val="000000"/>
          <w:sz w:val="20"/>
          <w:lang w:val="en-US" w:eastAsia="en-US" w:bidi="ar-SA"/>
        </w:rPr>
        <w:t>c</w:t>
      </w:r>
      <w:r>
        <w:rPr>
          <w:rFonts w:ascii="arial" w:eastAsia="arial" w:hAnsi="arial" w:cs="arial"/>
          <w:i/>
          <w:color w:val="000000"/>
          <w:sz w:val="20"/>
          <w:lang w:val="en-US" w:eastAsia="en-US" w:bidi="ar-SA"/>
        </w:rPr>
        <w: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draft Certification Order made no reference to the assertion/claim of vicarious liability advanced in para. 34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Canderm Defendants then communicated their position that the Certification Order was required to "state the nature of the claims asserted on behalf of the class", and that it ought to expressly include the claims of vicarious liability for the actions of the Canderm Defendants. The Canderm Defendants also proposed a different draft Certification Order with draft language that was, they argued, compliant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Thereafter, the plaintiffs removed all references to the "claims asserted on behalf of the class" from the draft Certification Order and replaced para. 7 of the draft Certification Order with a simple statement that the claims are "set out in the Notice of Civil Claim". It is this language or this structure that the plaintiffs and the J&amp;J Defendants now seek to rely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One might wonder what underlies the disagreement between the parties about the need to make express reference to the claims of vicarious liability, that are contained in the Notice of Civil Claim, in the text and body of the Certification Order. There is, however, no mystery to this. The Canderm Defendants have referred to the view, in their written materials, that the terms of the Settlement Agreement "effectively obliterate" the claims made in the Notice of Civil Claim by the plaintiffs as against the Canderm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appears to be common ground that the Canderm Defendants intend to argue, on a future application, that the Settlement Agreement, as reflected in the formal Certification Order, forecloses any ongoing claim by the plaintiffs against the Canderm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and the J&amp;J Defendants, in turn, intend to argue that the Settlement Agreement does not extend to the plaintiffs' claim of vicarious liability. They apparently consider, however, that their position will be enhanced if the Certification Order does not expressly refer to or identify the issue of the J&amp;J Defendants vicarious liability for the acts of the Canderm Defendants. For present purposes, I make no comment on whether this is so.</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Statutory Interpretation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issue before me turns on what s. 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expressly requires and on what that provision seeks to achieve. It has little to do with the strategic decisions or machinations of counsel that are directed towards improving the positions of their respective clients in future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general structure that governs the interpretation of statutory language has been well-established for more than 30 years. At that time, E. Driedger, in his second edition of the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2nd ed. (Toronto: Butterworths, 1983), explained what he described as the "modern approach" to statutory interpretation: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Today there is only one principle or approach; namely, the words of an Act are to be read in their entire context and in their grammatical and ordinary sense harmoniously with the scheme of the Act, the object of the Act, and the intention of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This, or similar language has been cited innumerable times; see </w:t>
      </w:r>
      <w:r>
        <w:rPr>
          <w:rFonts w:ascii="arial" w:eastAsia="arial" w:hAnsi="arial" w:cs="arial"/>
          <w:i/>
          <w:color w:val="000000"/>
          <w:sz w:val="20"/>
          <w:lang w:val="en-US" w:eastAsia="en-US" w:bidi="ar-SA"/>
        </w:rPr>
        <w:t>Rizzo &amp; Rizzo Shoes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Bell ExpressVu Limited Partnership v. Rex,</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2002 SCC 42</w:t>
        </w:r>
      </w:hyperlink>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Canada Trustco. Mortgage Co. v. Canada,</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2005 SCC 54</w:t>
        </w:r>
      </w:hyperlink>
      <w:r>
        <w:rPr>
          <w:rFonts w:ascii="arial" w:eastAsia="arial" w:hAnsi="arial" w:cs="arial"/>
          <w:color w:val="000000"/>
          <w:sz w:val="20"/>
          <w:lang w:val="en-US" w:eastAsia="en-US" w:bidi="ar-SA"/>
        </w:rPr>
        <w:t xml:space="preserve"> at para. 10. Recently, in </w:t>
      </w:r>
      <w:r>
        <w:rPr>
          <w:rFonts w:ascii="arial" w:eastAsia="arial" w:hAnsi="arial" w:cs="arial"/>
          <w:i/>
          <w:color w:val="000000"/>
          <w:sz w:val="20"/>
          <w:lang w:val="en-US" w:eastAsia="en-US" w:bidi="ar-SA"/>
        </w:rPr>
        <w:t>Canadian Imperial Bank of Commerce v. Green,</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2015 SCC 60</w:t>
        </w:r>
      </w:hyperlink>
      <w:r>
        <w:rPr>
          <w:rFonts w:ascii="arial" w:eastAsia="arial" w:hAnsi="arial" w:cs="arial"/>
          <w:color w:val="000000"/>
          <w:sz w:val="20"/>
          <w:lang w:val="en-US" w:eastAsia="en-US" w:bidi="ar-SA"/>
        </w:rPr>
        <w:t>, in the class action context, Cote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After considering the ordinary and grammatical meaning of the words of the provisions as well as the entire legislative context, I am of the view that s. 28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cannot operate to suspend the limitation period for a statutory claim for secondary market misrepresentation before leave for that claim has been granted under 138.8 </w:t>
      </w:r>
      <w:r>
        <w:rPr>
          <w:rFonts w:ascii="arial" w:eastAsia="arial" w:hAnsi="arial" w:cs="arial"/>
          <w:i/>
          <w:color w:val="000000"/>
          <w:sz w:val="20"/>
          <w:lang w:val="en-US" w:eastAsia="en-US" w:bidi="ar-SA"/>
        </w:rPr>
        <w:t>OSA</w:t>
      </w:r>
      <w:r>
        <w:rPr>
          <w:rFonts w:ascii="arial" w:eastAsia="arial" w:hAnsi="arial" w:cs="arial"/>
          <w:color w:val="000000"/>
          <w:sz w:val="20"/>
          <w:lang w:val="en-US" w:eastAsia="en-US" w:bidi="ar-SA"/>
        </w:rPr>
        <w:t>. . . .</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Section 8(1)(c)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At the hearing before me, I asked counsel to provide me with further assistance on whether the word "claim" in s. 8(1)(c)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had been judicially considered. I did so because the precise legal nature of an assertion of vicarious liability was not readily apparent to me. Specifically, an assertion of vicarious liability appeared to be neither a "cause of action" nor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No decision has, thus far, addressed the specific language of s. 8(1)(c)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Of necessity, no decision has addressed the specific meaning of "claim" within that provision or that same word in the class action legislation found in other provinces.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absence of binding and directly relevant authority, I consider that two sets of principles are relevant. The first is grounded in the statutory interpretation principles that I have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consider that the manifest object of s. 8(1)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provide the parties, class members, appellate courts, and potentially others, with a clear and unambiguous expression of the matters that have been decided or determined by the Certification Order. In particular, ss. 8(1)(c)-(e) are intended to assist this potentially broad audience in unequivocally understanding what "claims", "relief", and "common issues" are either raised or advanced on behalf of the class. This object should be achieved in the most straightforward way possible, using the clearest and most intelligible language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 second and related set of principles arises from both the purpose that is served by court orders generally and the language and form that court orders should use. These general principles apply with equal force to certification orders that are made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Halvorson v. British Columbia (Medical Services Commission),</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2010 BCCA 267</w:t>
        </w:r>
      </w:hyperlink>
      <w:r>
        <w:rPr>
          <w:rFonts w:ascii="arial" w:eastAsia="arial" w:hAnsi="arial" w:cs="arial"/>
          <w:color w:val="000000"/>
          <w:sz w:val="20"/>
          <w:lang w:val="en-US" w:eastAsia="en-US" w:bidi="ar-SA"/>
        </w:rPr>
        <w:t>, a class-action proceeding, the Court addressed the difficulties that arose from an order that had been drafted by counsel following an appeal from the dismissal of an application for certification. Justice K. Smith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 </w:t>
      </w:r>
      <w:r>
        <w:rPr>
          <w:rFonts w:ascii="arial" w:eastAsia="arial" w:hAnsi="arial" w:cs="arial"/>
          <w:color w:val="000000"/>
          <w:sz w:val="20"/>
          <w:u w:val="single"/>
          <w:lang w:val="en-US" w:eastAsia="en-US" w:bidi="ar-SA"/>
        </w:rPr>
        <w:t>Court orders should be clear, complete, and intelligible on their face</w:t>
      </w:r>
      <w:r>
        <w:rPr>
          <w:rFonts w:ascii="arial" w:eastAsia="arial" w:hAnsi="arial" w:cs="arial"/>
          <w:color w:val="000000"/>
          <w:sz w:val="20"/>
          <w:lang w:val="en-US" w:eastAsia="en-US" w:bidi="ar-SA"/>
        </w:rPr>
        <w:t xml:space="preserve"> so that those who are affected by them or must act on them will readily see what rights have been declared and what directions have been given. They must be susceptible of enforcement. </w:t>
      </w:r>
      <w:r>
        <w:rPr>
          <w:rFonts w:ascii="arial" w:eastAsia="arial" w:hAnsi="arial" w:cs="arial"/>
          <w:color w:val="000000"/>
          <w:sz w:val="20"/>
          <w:u w:val="single"/>
          <w:lang w:val="en-US" w:eastAsia="en-US" w:bidi="ar-SA"/>
        </w:rPr>
        <w:t>Thus, they should not require resort to extrinsic sources, such as to the pleadings or the evidence or the reasons for the decision, as aids to interpretation</w:t>
      </w:r>
      <w:r>
        <w:rPr>
          <w:rFonts w:ascii="arial" w:eastAsia="arial" w:hAnsi="arial" w:cs="arial"/>
          <w:color w:val="000000"/>
          <w:sz w:val="20"/>
          <w:lang w:val="en-US" w:eastAsia="en-US" w:bidi="ar-SA"/>
        </w:rPr>
        <w:t xml:space="preserve"> in order [to] resolve uncertainties or ambiguities and to arrive at an understanding of their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Miller v. Merck Frosst Canada,</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2013 BCSC 1652</w:t>
        </w:r>
      </w:hyperlink>
      <w:r>
        <w:rPr>
          <w:rFonts w:ascii="arial" w:eastAsia="arial" w:hAnsi="arial" w:cs="arial"/>
          <w:color w:val="000000"/>
          <w:sz w:val="20"/>
          <w:lang w:val="en-US" w:eastAsia="en-US" w:bidi="ar-SA"/>
        </w:rPr>
        <w:t xml:space="preserve">, aff'd </w:t>
      </w:r>
      <w:hyperlink r:id="rId631" w:history="1">
        <w:r>
          <w:rPr>
            <w:rFonts w:ascii="arial" w:eastAsia="arial" w:hAnsi="arial" w:cs="arial"/>
            <w:i/>
            <w:color w:val="0077CC"/>
            <w:sz w:val="20"/>
            <w:u w:val="single"/>
            <w:shd w:val="clear" w:color="auto" w:fill="FFFFFF"/>
            <w:lang w:val="en-US" w:eastAsia="en-US" w:bidi="ar-SA"/>
          </w:rPr>
          <w:t>2015 BCCA 353</w:t>
        </w:r>
      </w:hyperlink>
      <w:r>
        <w:rPr>
          <w:rFonts w:ascii="arial" w:eastAsia="arial" w:hAnsi="arial" w:cs="arial"/>
          <w:color w:val="000000"/>
          <w:sz w:val="20"/>
          <w:lang w:val="en-US" w:eastAsia="en-US" w:bidi="ar-SA"/>
        </w:rPr>
        <w:t xml:space="preserve">, leave to appeal ref'd </w:t>
      </w:r>
      <w:hyperlink r:id="rId632" w:history="1">
        <w:r>
          <w:rPr>
            <w:rFonts w:ascii="arial" w:eastAsia="arial" w:hAnsi="arial" w:cs="arial"/>
            <w:i/>
            <w:color w:val="0077CC"/>
            <w:sz w:val="20"/>
            <w:u w:val="single"/>
            <w:shd w:val="clear" w:color="auto" w:fill="FFFFFF"/>
            <w:lang w:val="en-US" w:eastAsia="en-US" w:bidi="ar-SA"/>
          </w:rPr>
          <w:t>[2015] S.C.C.A. No. 431</w:t>
        </w:r>
      </w:hyperlink>
      <w:r>
        <w:rPr>
          <w:rFonts w:ascii="arial" w:eastAsia="arial" w:hAnsi="arial" w:cs="arial"/>
          <w:color w:val="000000"/>
          <w:sz w:val="20"/>
          <w:lang w:val="en-US" w:eastAsia="en-US" w:bidi="ar-SA"/>
        </w:rPr>
        <w:t xml:space="preserve">, a products liability class action, Punnett J. settled the form of a certification order, including a description of the "nature of the claims asserted on behalf of the class", as required by s. 8(1)(c)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Justice Punnett, relying on </w:t>
      </w:r>
      <w:r>
        <w:rPr>
          <w:rFonts w:ascii="arial" w:eastAsia="arial" w:hAnsi="arial" w:cs="arial"/>
          <w:i/>
          <w:color w:val="000000"/>
          <w:sz w:val="20"/>
          <w:lang w:val="en-US" w:eastAsia="en-US" w:bidi="ar-SA"/>
        </w:rPr>
        <w:t>Halvorson</w:t>
      </w:r>
      <w:r>
        <w:rPr>
          <w:rFonts w:ascii="arial" w:eastAsia="arial" w:hAnsi="arial" w:cs="arial"/>
          <w:color w:val="000000"/>
          <w:sz w:val="20"/>
          <w:lang w:val="en-US" w:eastAsia="en-US" w:bidi="ar-SA"/>
        </w:rPr>
        <w:t xml:space="preserve"> and other authorities, confirmed that court orders should be "clear and unambiguous" and "should not require resort to extrinsic sources"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the present case, the intended object of s.8(1)(c)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as I have described it, is better achieved by clearly and concisely describing the causes of action and "claims" that are raised by the Notice of Civil Claim in the intended body of the Certification Order itself. In earlier drafts of the Certification Order this was largely achieved in a single sentence. A modest amendment to that sentence, or the addition of a second sentence, would fully address the claims of vicarious liability that are advanced in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Conversely, the object of s. 8(1)(c) would be diminished or curtailed, if not frustrated, by attaching the Notice of Civil Claim to the Certification Order and then requiring readers, including class members or potential class members, to parse through the pleadings to glean what claims are being advanced in the action. Though the Notice of Civil Claim is only a ten-page document, the various claims that are advanced are found over several pages and are interspersed over several paragraphs and sections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Thus, some factual aspects of the claims that are advanced are found in Part 1: Statement of Facts of the pleading. The claims for vicarious liability are an example of this. Other claims, or causes of action, are found in Part 3: Legal Basis of the pleading. The alleged breaches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are examples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addition, the Notice of Civil Claim, though straight forward by legal standards, remains a legal document that necessarily contains the material facts, particulars, and other details that are necessary in a pleading. As such, it is likely to be less easily understood by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also observe that the amendment proposed by the plaintiffs also fails to identify the relief that is being sought in the Notice of Civil Claim in the Certification Order as required by s.8(1)(d)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If that specific requirement were addressed in the Certification Order, then the "nature of the claims asserted" and the "relief sought" would be found in two different locations. If both were excluded from the Certification Order, potential class members and others would have to review the Notice of Civil Claim for both the claims that are advanced and the various forms of relief that are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Still further, I consider that the proposal being advanced by the plaintiffs and the J&amp;J Defendants is inconsistent with the clear direction and admonition in </w:t>
      </w:r>
      <w:r>
        <w:rPr>
          <w:rFonts w:ascii="arial" w:eastAsia="arial" w:hAnsi="arial" w:cs="arial"/>
          <w:i/>
          <w:color w:val="000000"/>
          <w:sz w:val="20"/>
          <w:lang w:val="en-US" w:eastAsia="en-US" w:bidi="ar-SA"/>
        </w:rPr>
        <w:t>Halvorson</w:t>
      </w:r>
      <w:r>
        <w:rPr>
          <w:rFonts w:ascii="arial" w:eastAsia="arial" w:hAnsi="arial" w:cs="arial"/>
          <w:color w:val="000000"/>
          <w:sz w:val="20"/>
          <w:lang w:val="en-US" w:eastAsia="en-US" w:bidi="ar-SA"/>
        </w:rPr>
        <w:t xml:space="preserve"> that court orders should not "require resort to extrinsic sources, such as to the pleadings, ... to arrive at an understanding of their provisions"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Finally, I return to a point I made earlier. The plaintiffs and the J&amp;J Defendants do not argue in favour of a Certification Order with an attached Notice of Civil Claim to make the description of the "claims asserted on behalf of the class" clearer, simpler, or more easily understood. They do so, in the main, to address anticipated further applications or challenges by the Canderm Defendants. That concern, however, has nothing to do with s. 8(1)(c)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and the J&amp;J Defendants advanced various bases for arguing why s. 8(1)(c) is satisfied by attaching the Notice of Civil Claim to the Certification Order. They argue, for example, that the answer to the "common issue" identified in the Certification Order is not related to whether the J&amp;J Defendants are vicariously liable for the actions of the Canderm Defendants. That common issue is "Can Evolence cause nodule formation when injected into skin?" Accordingly, they say that the "claim" of vicarious liability need not be included in the Certification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are several answers to this -- none of which assist the plaintiffs and the J&amp;J Defendants. First, if the pleading that advances the assertion that the J&amp;J Defendants are vicariously liable for the acts of the Canderm Defendants is not a claim "asserted on behalf of the class", then there would be no need to include that claim in the Certification Order. There would, similarly, be no need to append the Notice of Civil Claim to the Certification Order. The plaintiffs and the J&amp;J Defendants do not, however, say or suggest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Second, it seems patent that the pleading that the J&amp;J Defendants are vicariously liable for the actions of the Canderm Defendants is a claim "asserted on behalf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Third, it is not clear how, for example, the plea of unjust enrichment in the Notice of Civil Claim, which the plaintiffs and J&amp;J Defendants are content to include in the text of the Certification Order, relates any more directly to the common issue that has been identified than does the plea that the J&amp;J Defendants are vicariously liable for the acts of the Canderm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Finally, and importantly, this submission raises the very risk that the Certification Order is intended to address. The Certification Order is intended, as I have said, to clearly express the various court orders that it captures. Insofar as s. 8(1)(c) is concerned, the Certification Order is required to express the "nature of the claims asserted on behalf of the class". The fact that the plaintiffs and the J&amp;J Defendants argue that the claim of vicarious liability does not relate to the common issue that has been identified, gives rise to ambiguity and uncertainty, and foreshadows future confusion. It has the prospect of calling into question both whether the claims of vicarious liability have been certified, and what issues or claims the Settlement Agreement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form of Certification Order proposed by the Canderm Defendants addresses and obviates that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and the J&amp;J Defendants also argue that the Court has significant discretion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make orders with respect to class proceedings. This is true. For example, that discretion is found under s.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where the court determines whether or not to certify an action. Similarly, s.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confers a broad discretion on the court to make orders that it considers appropriate respecting the conduct of a class proceeding; see </w:t>
      </w:r>
      <w:r>
        <w:rPr>
          <w:rFonts w:ascii="arial" w:eastAsia="arial" w:hAnsi="arial" w:cs="arial"/>
          <w:i/>
          <w:color w:val="000000"/>
          <w:sz w:val="20"/>
          <w:lang w:val="en-US" w:eastAsia="en-US" w:bidi="ar-SA"/>
        </w:rPr>
        <w:t>Bodnar v. The Cash Store Inc</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2011 BCCA 384</w:t>
        </w:r>
      </w:hyperlink>
      <w:r>
        <w:rPr>
          <w:rFonts w:ascii="arial" w:eastAsia="arial" w:hAnsi="arial" w:cs="arial"/>
          <w:color w:val="000000"/>
          <w:sz w:val="20"/>
          <w:lang w:val="en-US" w:eastAsia="en-US" w:bidi="ar-SA"/>
        </w:rPr>
        <w:t xml:space="preserve"> at para. 39. The language of s. 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however, mandatory.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Accordingly, I am satisfied that the form of Certification Order proposed by the Canderm Defendants, which would require reference to the "claims" of vicarious liability that are contained in the Notice of Civil Claim in the body of the Certification Order, is more appropriate and more effectively comports with the language and intent of s. 8(1)(c)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Issue 2: The Form of the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and the J&amp;J Defendants have agreed on the content of both a short and a long form of notice. The Notices are designed to provide information to class members about the certification of this action and of the Ontario Action, to advise class members of the terms of the Settlement Agreement, of the right to opt out of proceedings, of the approval hearing, and about class members' rights in relation to these various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Canderm Defendants argue that the proposed long form of notice is confusing and overly long. The difficulty is that the Canderm Defendants make virtually no substantive suggestions on how that notice can be improved. The same concern is apparent in the exchange of correspondence between counsel that led up to this application. Counsel for the plaintiffs have, on numerous occasions, asked for substantive input. While counsel for the Canderm Defendants have, in their correspondence, made some proposed amendments to the draft forms of notice, and have raised other issues, they have also made clear that those suggestions are not exhaustive of their concerns. They have, instead, asserted that it was not their obligation "to re-write the Long Form Notice for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it may be accurate that the obligation to craft an acceptable form of notice does not lie with the Canderm Defendants, it is, similarly, not enough for those defendants, on a formal application, to simply raise generalized concerns. A court cannot and should not redraft a form of notice in the abstract. The court lacks an adequate appreciation of the underlying background and issues that exist between the parties to do so. In addition, that drafting function is inimical with the court's role. That role requires it to address the finite and specific issues raised by the parties. In this case, very few such specific issues have been identified by the Canderm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are two matters that I can address. First, the Canderm Defendants have asked, and the plaintiffs have agreed, to add the following wording to the draft notice: "The BC and Ontario Actions will continue against the Canderm Defendants, but only for the several damages (if any) that were caused solely by the Canderm Defendants". That change should be made to the draft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Second, the Canderm Defendants argue that the draft notice should indicate throughout that the Settlement Agreement is only a "proposed" settlement because it has not yet been approved by the Court. The plaintiffs argue that the word "proposed" is inappropriate because the plaintiffs and the J&amp;J Defendants have, in fact, settled their action subject to court approval. They suggest instead that the notice recognize, where appropriate, that the Settlement Agreement is "to be approved" or is "subject to approval". I agree that this language more accurately reflects the status of the Settlement Agreement between the plaintiffs and the J&amp;J Defendants than does the suggestion that that agreement is merely a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Subject to these two matters, the proposed forms of the short and long form of notice are approved.</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Procedure and Form of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 review of the correspondence between counsel, in the Application Record and in the Canderm Defendants' Application Response, reveals that a very significant portion of the Canderm Defendants' ongoing concern with the Notices and, in particular, the long form of notice, actually relates to the ongoing disagreement that I identified at the outset and that I addressed in the Settlement Reasons. I am referring to the question of whether the parties should make use of a "Dual Hearing/Single Notice Process", or some other procedure for advancing this matter through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Settlement Reasons I concluded by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This is an action involving relatively modest sums, involving able and knowledgeable counsel, where the only apparent matter in dispute is the best means by which to bring the certification/notice/settlement/dismissal of the action before the British Columbia and Ontario courts. Nevertheless, it is not for this Court, in the absence of any formal application, to impose a particular procedure or regime on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These comments continue to be relevant. Though various issues of procedure continue to be a source of disagreement between the parties, no application has been or is advanced by the Canderm Defendants to resolve these issues. There is then, at this point, nothing before me to address, or consider, or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This action is now eight years old. Its progress through the courts has been glacial. It is said to involve a very small class and modest sums of money. As K. Smith J.A. said: "simplicity and expedition have been elusive goals in the management of this case"; </w:t>
      </w:r>
      <w:r>
        <w:rPr>
          <w:rFonts w:ascii="arial" w:eastAsia="arial" w:hAnsi="arial" w:cs="arial"/>
          <w:i/>
          <w:color w:val="000000"/>
          <w:sz w:val="20"/>
          <w:lang w:val="en-US" w:eastAsia="en-US" w:bidi="ar-SA"/>
        </w:rPr>
        <w:t>Halvorson</w:t>
      </w:r>
      <w:r>
        <w:rPr>
          <w:rFonts w:ascii="arial" w:eastAsia="arial" w:hAnsi="arial" w:cs="arial"/>
          <w:color w:val="000000"/>
          <w:sz w:val="20"/>
          <w:lang w:val="en-US" w:eastAsia="en-US" w:bidi="ar-SA"/>
        </w:rPr>
        <w:t xml:space="preserve"> at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foregoing words are apposite. It is time to move this matter forward. Both the Settlement Agreement and the plaintiffs' present application seek to achieve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One further matter, of like nature, remains. The Canderm Defendants, in their Application Response materials, argue that I "ought to assess whether it is an abuse of process" for the plaintiffs and the J&amp;J Defendants to advocate the process or procedure that they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short answer to this issue is, again, that the Canderm Defendants have not applied to stay either this action or the Ontario Action. The Ontario Action has, in fact, been stayed in the short term. Similarly, there is no application before me to determine whether the procedures that have, thus far, been undertaken or that are proposed by the plaintiffs and the J&amp;J Defendants are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various cases referred to in the brief of counsel for the Canderm Defendants all, not surprisingly, address formal applications that were brought to challenge the actions or procedures undertaken by a party. None of these cases address a circumstance where such an application was brought on the court's own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An application by a court, on its own motion, to stay or strike an action, as an abuse of process would be an extraordinary thing. The Court of Appeal has been clear that that judges should not, absent extraordinary circumstances, act on their own motion. "To do so compromises their role of impartial arbitrator"; </w:t>
      </w:r>
      <w:r>
        <w:rPr>
          <w:rFonts w:ascii="arial" w:eastAsia="arial" w:hAnsi="arial" w:cs="arial"/>
          <w:i/>
          <w:color w:val="000000"/>
          <w:sz w:val="20"/>
          <w:lang w:val="en-US" w:eastAsia="en-US" w:bidi="ar-SA"/>
        </w:rPr>
        <w:t>Jensen v. Ross</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2014 BCCA 173</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Still further, and in any event, the threshold that must be met on an application to strike an action, on account of its being an abuse of process, is very high; see </w:t>
      </w:r>
      <w:r>
        <w:rPr>
          <w:rFonts w:ascii="arial" w:eastAsia="arial" w:hAnsi="arial" w:cs="arial"/>
          <w:i/>
          <w:color w:val="000000"/>
          <w:sz w:val="20"/>
          <w:lang w:val="en-US" w:eastAsia="en-US" w:bidi="ar-SA"/>
        </w:rPr>
        <w:t>Timberwolf Log Trading Ltd. v. British Columbia (Forests, Lands and Natural Resources Operations</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2013 BCCA 24</w:t>
        </w:r>
      </w:hyperlink>
      <w:r>
        <w:rPr>
          <w:rFonts w:ascii="arial" w:eastAsia="arial" w:hAnsi="arial" w:cs="arial"/>
          <w:color w:val="000000"/>
          <w:sz w:val="20"/>
          <w:lang w:val="en-US" w:eastAsia="en-US" w:bidi="ar-SA"/>
        </w:rPr>
        <w:t xml:space="preserve"> at para. 20 and </w:t>
      </w:r>
      <w:r>
        <w:rPr>
          <w:rFonts w:ascii="arial" w:eastAsia="arial" w:hAnsi="arial" w:cs="arial"/>
          <w:i/>
          <w:color w:val="000000"/>
          <w:sz w:val="20"/>
          <w:lang w:val="en-US" w:eastAsia="en-US" w:bidi="ar-SA"/>
        </w:rPr>
        <w:t>Schlesiger Estate v. Wright, Public Guardian and Trustee of British Columbia and Surrey (City)</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2015 BCSC 920</w:t>
        </w:r>
      </w:hyperlink>
      <w:r>
        <w:rPr>
          <w:rFonts w:ascii="arial" w:eastAsia="arial" w:hAnsi="arial" w:cs="arial"/>
          <w:color w:val="000000"/>
          <w:sz w:val="20"/>
          <w:lang w:val="en-US" w:eastAsia="en-US" w:bidi="ar-SA"/>
        </w:rPr>
        <w:t xml:space="preserve"> at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Apart from this formal hurdle, I consider that the concerns expressed by the Canderm Defendants about the complexity of the procedures being proposed by the plaintiffs and the J&amp;J Defendants, and about the delay and confusion that are likely to ensue from those procedures, are overstated.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Turner v. Bell Mobility Inc.</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2016 ABCA 21</w:t>
        </w:r>
      </w:hyperlink>
      <w:r>
        <w:rPr>
          <w:rFonts w:ascii="arial" w:eastAsia="arial" w:hAnsi="arial" w:cs="arial"/>
          <w:color w:val="000000"/>
          <w:sz w:val="20"/>
          <w:lang w:val="en-US" w:eastAsia="en-US" w:bidi="ar-SA"/>
        </w:rPr>
        <w:t xml:space="preserve"> at para. 6, leave to appeal filed </w:t>
      </w:r>
      <w:hyperlink r:id="rId638" w:history="1">
        <w:r>
          <w:rPr>
            <w:rFonts w:ascii="arial" w:eastAsia="arial" w:hAnsi="arial" w:cs="arial"/>
            <w:i/>
            <w:color w:val="0077CC"/>
            <w:sz w:val="20"/>
            <w:u w:val="single"/>
            <w:shd w:val="clear" w:color="auto" w:fill="FFFFFF"/>
            <w:lang w:val="en-US" w:eastAsia="en-US" w:bidi="ar-SA"/>
          </w:rPr>
          <w:t>[2016] S.C.C.A. No. 93</w:t>
        </w:r>
      </w:hyperlink>
      <w:r>
        <w:rPr>
          <w:rFonts w:ascii="arial" w:eastAsia="arial" w:hAnsi="arial" w:cs="arial"/>
          <w:color w:val="000000"/>
          <w:sz w:val="20"/>
          <w:lang w:val="en-US" w:eastAsia="en-US" w:bidi="ar-SA"/>
        </w:rPr>
        <w:t>, the Alberta Court of Appeal said, "overlapping and parallel class actions commenced in different jurisdictions are not, necessarily, abusive or vexatious. There may be justification for commencing actions in more than one jurisdiction". It is inherent in the nature of class-action proceedings that there will be some challenges and complexities that must be addressed through proper case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addition, the parties have, thus far, endeavoured to advance this action and the Ontario Action in a reasonably efficient manner, and in a manner that is designed to limit the prospect of inconsistent results. The Ontario Action was temporarily stayed while this action was advanced. This achieved various efficiencies and obviated the prospect of the actions moving forward in an inconsistent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With a settlement of a part of the British Columbia action now in hand, the plaintiffs and the J&amp;J Defendants propose to return to the Ontario courts. A term of the draft Certification Order, however, expressly states that the Certification Order is "contingent upon parallel orders being made by the Ontario Court in the Ontario Action and the terms of this Order shall not be effective unless and until such orders are made by the Ontario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term, and various other terms in the draft materials before me that deal with the Settlement Agreement, are designed to ensure ongoing consistency between the British Columbia and Ontario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Accordingly, though the Canderm Defendants do not advance any formal application which challenges the procedures proposed by the plaintiffs and the J&amp;J Defendants, I am satisfied that those procedures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Often the objects of timeliness, consistency, and efficiency do not align perfectly. In this case, the procedures that have been proposed reasonably reflect the needs of the present litigation and reasonably advance the objects of consistency and timeliness. To the extent there is a suggestion that there may be more efficient procedures available, and I do not say that that is so, such suggestions ring hollow after several years in which the same issue has been raised repeatedly in multiple hearings and in multiple conferences without the matter being advanced in any meaningful, or substantive or formal way. Furthermore, that finite object is necessarily overtaken at a certain point when other objects, such as timeliness and the fair resolution of a dispute, are being held hostage to questions of process.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Notice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It is not entirely clear from the Application Response whether the Canderm Defendants oppose the adequacy of the proposed "Notice Plan" that is being proposed. The Notice Plan contemplates that the Notices and the Settlement Agreement will be provided to class members through a number of means. Specifically, such notice will be provided through publication of the English form of the notice in the </w:t>
      </w:r>
      <w:r>
        <w:rPr>
          <w:rFonts w:ascii="arial" w:eastAsia="arial" w:hAnsi="arial" w:cs="arial"/>
          <w:i/>
          <w:color w:val="000000"/>
          <w:sz w:val="20"/>
          <w:lang w:val="en-US" w:eastAsia="en-US" w:bidi="ar-SA"/>
        </w:rPr>
        <w:t>Toronto Star</w:t>
      </w:r>
      <w:r>
        <w:rPr>
          <w:rFonts w:ascii="arial" w:eastAsia="arial" w:hAnsi="arial" w:cs="arial"/>
          <w:color w:val="000000"/>
          <w:sz w:val="20"/>
          <w:lang w:val="en-US" w:eastAsia="en-US" w:bidi="ar-SA"/>
        </w:rPr>
        <w:t xml:space="preserve"> and publication of the French form of the notice in the </w:t>
      </w:r>
      <w:r>
        <w:rPr>
          <w:rFonts w:ascii="arial" w:eastAsia="arial" w:hAnsi="arial" w:cs="arial"/>
          <w:i/>
          <w:color w:val="000000"/>
          <w:sz w:val="20"/>
          <w:lang w:val="en-US" w:eastAsia="en-US" w:bidi="ar-SA"/>
        </w:rPr>
        <w:t>Journal de Montréal</w:t>
      </w:r>
      <w:r>
        <w:rPr>
          <w:rFonts w:ascii="arial" w:eastAsia="arial" w:hAnsi="arial" w:cs="arial"/>
          <w:color w:val="000000"/>
          <w:sz w:val="20"/>
          <w:lang w:val="en-US" w:eastAsia="en-US" w:bidi="ar-SA"/>
        </w:rPr>
        <w:t xml:space="preserve">, through direct communication with class members using emails and addresses in class counsel's records, through publication on a dedicated settlement website, and through publication in the </w:t>
      </w:r>
      <w:r>
        <w:rPr>
          <w:rFonts w:ascii="arial" w:eastAsia="arial" w:hAnsi="arial" w:cs="arial"/>
          <w:i/>
          <w:color w:val="000000"/>
          <w:sz w:val="20"/>
          <w:lang w:val="en-US" w:eastAsia="en-US" w:bidi="ar-SA"/>
        </w:rPr>
        <w:t>Canadian Dermatology Association Magazine</w:t>
      </w:r>
      <w:r>
        <w:rPr>
          <w:rFonts w:ascii="arial" w:eastAsia="arial" w:hAnsi="arial" w:cs="arial"/>
          <w:color w:val="000000"/>
          <w:sz w:val="20"/>
          <w:lang w:val="en-US" w:eastAsia="en-US" w:bidi="ar-SA"/>
        </w:rPr>
        <w:t xml:space="preserve">. The materials before me indicate the </w:t>
      </w:r>
      <w:r>
        <w:rPr>
          <w:rFonts w:ascii="arial" w:eastAsia="arial" w:hAnsi="arial" w:cs="arial"/>
          <w:i/>
          <w:color w:val="000000"/>
          <w:sz w:val="20"/>
          <w:lang w:val="en-US" w:eastAsia="en-US" w:bidi="ar-SA"/>
        </w:rPr>
        <w:t>Toronto Star</w:t>
      </w:r>
      <w:r>
        <w:rPr>
          <w:rFonts w:ascii="arial" w:eastAsia="arial" w:hAnsi="arial" w:cs="arial"/>
          <w:color w:val="000000"/>
          <w:sz w:val="20"/>
          <w:lang w:val="en-US" w:eastAsia="en-US" w:bidi="ar-SA"/>
        </w:rPr>
        <w:t xml:space="preserve"> has 15 million readers nationwide, and that it is read by over two million readers in British Columbia. The materials before me similarly identified the circulation of the </w:t>
      </w:r>
      <w:r>
        <w:rPr>
          <w:rFonts w:ascii="arial" w:eastAsia="arial" w:hAnsi="arial" w:cs="arial"/>
          <w:i/>
          <w:color w:val="000000"/>
          <w:sz w:val="20"/>
          <w:lang w:val="en-US" w:eastAsia="en-US" w:bidi="ar-SA"/>
        </w:rPr>
        <w:t>Journal de Montréal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also have described who they intend to use as a proposed claims administrator for the administration of opt outs, coordination of notices, administration of objections, and related tasks. That claims administrator has bilingual facilities and experience in insurance claim adjustments and class-action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notice requirements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governed by ss. 19-24 and s. 35. These various provisions direct the court to have regard to numerous factors, including,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giving notice;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size of the individual claim of class members;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and</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places of residence of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relevant case law establishes that the purpose of the notice is to advise class members of their legal rights; </w:t>
      </w:r>
      <w:r>
        <w:rPr>
          <w:rFonts w:ascii="arial" w:eastAsia="arial" w:hAnsi="arial" w:cs="arial"/>
          <w:i/>
          <w:color w:val="000000"/>
          <w:sz w:val="20"/>
          <w:lang w:val="en-US" w:eastAsia="en-US" w:bidi="ar-SA"/>
        </w:rPr>
        <w:t>Dalhuisen v. Maxim's Bakery Ltd.</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2002 BCSC 1146</w:t>
        </w:r>
      </w:hyperlink>
      <w:r>
        <w:rPr>
          <w:rFonts w:ascii="arial" w:eastAsia="arial" w:hAnsi="arial" w:cs="arial"/>
          <w:color w:val="000000"/>
          <w:sz w:val="20"/>
          <w:lang w:val="en-US" w:eastAsia="en-US" w:bidi="ar-SA"/>
        </w:rPr>
        <w:t xml:space="preserve"> at para. 2. The cost of the notice should be proportionate to the size of the class involved; </w:t>
      </w:r>
      <w:r>
        <w:rPr>
          <w:rFonts w:ascii="arial" w:eastAsia="arial" w:hAnsi="arial" w:cs="arial"/>
          <w:i/>
          <w:color w:val="000000"/>
          <w:sz w:val="20"/>
          <w:lang w:val="en-US" w:eastAsia="en-US" w:bidi="ar-SA"/>
        </w:rPr>
        <w:t>Bartram et al v. GlaxoSmithKline Inc. et al.</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2015 BCSC 315</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Based on the foregoing guidance and, in particular, in recognition of the size of the class together with the amounts that are likely involved in the settlement, I consider that the Notice Plan proposed by the plaintiffs is appropriate in the present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question of the costs of this application was not addressed before me. To the extent it assists the parties in resolving this issue, I consider that success on the application was divided.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Honborg v. Lust, [2018] B.C.J. No. 2913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S187995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2913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1288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Kenneth G. Honborg, Plaintiff, and Monica Lust and Her Majesty the Queen in Right of the Province of British Columbia as Represented by the Minister of Advanced Education,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5"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6" w:name="Keywords_36"/>
      <w:bookmarkEnd w:id="236"/>
      <w:r>
        <w:rPr>
          <w:rFonts w:ascii="arial" w:eastAsia="arial" w:hAnsi="arial" w:cs="arial"/>
          <w:b/>
          <w:color w:val="000000"/>
          <w:sz w:val="20"/>
          <w:lang w:val="en-US" w:eastAsia="en-US" w:bidi="ar-SA"/>
        </w:rPr>
        <w:t>Civil litigation — Pleadings — Striking out pleadings or allegations — Grounds — False, frivolous, vexatious or abuse of process — Civil litigation — Application by defendants to strike out claims against them as abuse of process allowed — Defendant Lust, registrar of Private Career Training Institution Agency, had cancelled accreditation of plaintiff's school due to failure to comply with legislation — Plaintiff's action against Agency dismissed in 2015 as abuse of process — Plaintiff now substituted Lust for Agency and added claim for misfeasance in public office — Allegations against defendants were same as against Agency in 2015 action — No duty of care owed by Lust personally — Misfeasance claim had no chance of success.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7" w:name="Case Summary_31"/>
            <w:bookmarkEnd w:id="2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out the claims against them. The defendant Lust was the registrar of the Private Career Training Institution Agency. She suspended and later cancelled the plaintiff's accreditation to provide training in hotel management to foreign students due to financial irregularities respecting the school's operation and its inability to make the required refunds to withdrawing students. In 2015, the plaintiff's action against the Agency in relation to the same incident was dismissed as an abuse of process and on the basis that it was plain and obvious that the claim could not succeed. The defendants now argued that the plaintiff had now substituted Lust for the Agency and added a different cause of action, misfeasance in public office. The defendant Crown was named as a defendant as represented by the Minister of Advanced Education, which oversaw the Agency. No substantive allegation against the Crown was made in the claim. The plaintiff neither pursued an appeal of the 2015 decision or judicial review of the Agency's decisions to suspend, and then cancel the school's license to operate.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8" w:name="Holdings of Court_24"/>
            <w:bookmarkEnd w:id="23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Crown was privy to the position of the Agency in the previous action and was subject to the liability of the Agency in the previous action. The allegations of fact and law against the defendants in the current action were the same as made against the Agency in the previous action such that the principle of finality must be respected and the action dismissed as against the Crown. The claim that Lust owed a duty of care to the plaintiff was previously decided against the plaintiff as between himself and the Agency. The claim against Lust was a collateral attack on the Agency's administrative decision to cancel the school's registration. Given that the Agency was not found vicariously liable for the conduct undertaken by Lust, no duty of care was owed either by the Agency or Lust personally. There were no material facts pleaded in support of the misfeasance claim. The Agency's determination to not entertain the plaintiff's application for accreditation pending compliance, while adversely impacting the plaintiff, could not be said to have been for an unlawful purpose or with improper motive so as to sustain the pleading against Lust of misfeasance in public office.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9" w:name="Legislation Cited_28"/>
      <w:bookmarkEnd w:id="2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6"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Private Career Training Institutions Act, S.B.C. 2003, c. 79, s. 3, s. 9, s. 13,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Private Training Act, </w:t>
      </w:r>
      <w:r>
        <w:rPr>
          <w:rFonts w:ascii="arial" w:eastAsia="arial" w:hAnsi="arial" w:cs="arial"/>
          <w:i/>
          <w:color w:val="000000"/>
          <w:sz w:val="20"/>
          <w:lang w:val="en-US" w:eastAsia="en-US" w:bidi="ar-SA"/>
        </w:rPr>
        <w:t>S.B.C. 2015, c. 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(1), Rule 9-6, Rule 9-6(4), Rule 9-6(5)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0" w:name="Counsel_37"/>
      <w:bookmarkEnd w:id="2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K.G. Honborg.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 Lust: C.E.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British Columbia: A. Dalmyn.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1" w:name="Judgment_37"/>
      <w:bookmarkEnd w:id="241"/>
      <w:r>
        <w:pict>
          <v:line id="_x0000_s1208"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2" w:name="J.S. HARVEY J."/>
            <w:bookmarkEnd w:id="242"/>
            <w:r>
              <w:rPr>
                <w:rFonts w:ascii="arial" w:eastAsia="arial" w:hAnsi="arial" w:cs="arial"/>
                <w:b/>
                <w:color w:val="000000"/>
                <w:sz w:val="30"/>
                <w:lang w:val="en-US" w:eastAsia="en-US" w:bidi="ar-SA"/>
              </w:rPr>
              <w:t>J.S. 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each of whom is separately represented, each apply to strike out the notice of civil claim and dismiss the action against their respective clients pursuant to Rule 9-5(1) and/or Rule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has its origins in dealings between the plaintiff and the defendant, Monica Lust, in her capacity as registrar of the Private Career Training Institution Agency (the "PCTIA" or, the "Agency"). Ms. Lust suspended and later cancelled the plaintiff's accreditation to provide training in hotel management to foreign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extensive history underlying this claim is set out in the detailed reasons for judgment indexed as </w:t>
      </w:r>
      <w:r>
        <w:rPr>
          <w:rFonts w:ascii="arial" w:eastAsia="arial" w:hAnsi="arial" w:cs="arial"/>
          <w:i/>
          <w:color w:val="000000"/>
          <w:sz w:val="20"/>
          <w:lang w:val="en-US" w:eastAsia="en-US" w:bidi="ar-SA"/>
        </w:rPr>
        <w:t>Honborg v. Private Career Training Institutions Agency</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2015 BCSC 965</w:t>
        </w:r>
      </w:hyperlink>
      <w:r>
        <w:rPr>
          <w:rFonts w:ascii="arial" w:eastAsia="arial" w:hAnsi="arial" w:cs="arial"/>
          <w:color w:val="000000"/>
          <w:sz w:val="20"/>
          <w:lang w:val="en-US" w:eastAsia="en-US" w:bidi="ar-SA"/>
        </w:rPr>
        <w:t>. There, Madam Justice Sharma dismissed the plaintiff's action against the PCTIA arising from essentially the same factual matrix as is relied upon by him as against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this proceeding, according to the defendants, the plaintiff has "substituted" Ms. Lust for the PCTIA, and "added" a different cause of action: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Her Majesty the Queen ("HMTQ"), is named as a defendant as represented by the Minister of Advanced Education, which oversees the PCTIA. However, there is no substantive allegation against Her Majesty in the present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submit the factual underpinnings mirror those considered by Sharma J. and argue the present action is an abuse of process. Alternatively, they argue the claim discloses no reasonable claim and is a collateral attack on administrative proceedings where the proper remedy, if any, is by way of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who is self-represented, did not file a response or evidence in response to the applications. He is/was the owner-operator of DSC Hotel Management Systems Ltd. ("DSC"), which operated Executive Hotel Management College ("EHMC") -- the entity affected by the PCTIA's accreditation process in 2014/15.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2014/15, the plaintiff owned and operated DSC, which, in turn, operated EHMC, a school that provided hotel management courses to foreign students. DSC, as well as other institutions offering similar programs, received accreditation under the oversight of the PCTIA.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At the time of the impugned incident, the PCTIA was a Crown corporation governed by the </w:t>
      </w:r>
      <w:r>
        <w:rPr>
          <w:rFonts w:ascii="arial" w:eastAsia="arial" w:hAnsi="arial" w:cs="arial"/>
          <w:i/>
          <w:color w:val="000000"/>
          <w:sz w:val="20"/>
          <w:lang w:val="en-US" w:eastAsia="en-US" w:bidi="ar-SA"/>
        </w:rPr>
        <w:t>Private Career Training Institutions Act</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S.B.C. 2003, c.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since been repealed and replaced by the </w:t>
      </w:r>
      <w:r>
        <w:rPr>
          <w:rFonts w:ascii="arial" w:eastAsia="arial" w:hAnsi="arial" w:cs="arial"/>
          <w:i/>
          <w:color w:val="000000"/>
          <w:sz w:val="20"/>
          <w:lang w:val="en-US" w:eastAsia="en-US" w:bidi="ar-SA"/>
        </w:rPr>
        <w:t>Private Training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2015, c. 5</w:t>
      </w:r>
      <w:r>
        <w:rPr>
          <w:rFonts w:ascii="arial" w:eastAsia="arial" w:hAnsi="arial" w:cs="arial"/>
          <w:color w:val="000000"/>
          <w:sz w:val="20"/>
          <w:lang w:val="en-US" w:eastAsia="en-US" w:bidi="ar-SA"/>
        </w:rPr>
        <w:t xml:space="preserve">, which came into force on September 1, 2016. However,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remains the operative statute for the purposes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or about April 17, 2014, the provincial government announced that it would assume responsibility for the regulation of private career training institutions. The Lieutenant Governor in Council appointed a public administrator to discharge the functions and duties of the PCTIA's former board until the transition to government was complete. Ms. Lust was the PCTIA's registrar throughout the relevant timeframe.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PCTIA's mandate was set out in s. 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agency has the following objects: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basic education standards for registered institutions and to provide consumer protection to the students and prospective students of registered institutions;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standards of quality that must be met by accredited institutions;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in the public interest, its powers, duties and functions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furtherance of those objectives, the PCTIA appointed a registrar whose functions and duties included oversight of institutions to ensure that the institutions offering services satisfied the registration requirements and paid all required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Once registered, an institution could receive accreditation under s. 9. The PCTIA was obliged to accredit registered institutions that applied, paid all necessary fees, and satisfied all accreditation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authorized the PCTIA to establish bylaws, including with regard to registration and accreditation requirements. The registrar was empowered to suspend or cancel registration or accreditation if the registrar was satisfied an institution was non-compliant.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One term of compliance -- pursuant to Bylaw 37.15 of the PCTIA -- provided that an institution, to maintain accreditation, was required to refund the unused portion of tuition to withdrawing students within 30 days of receiving notice of the student's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issue but that DSC was non-compliant with this requirement in the early spring of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facts underpinning the claim against Ms. Lust arise from the suspension of the DSC license following changes made in 2014 under the </w:t>
      </w:r>
      <w:r>
        <w:rPr>
          <w:rFonts w:ascii="arial" w:eastAsia="arial" w:hAnsi="arial" w:cs="arial"/>
          <w:i/>
          <w:color w:val="000000"/>
          <w:sz w:val="20"/>
          <w:lang w:val="en-US" w:eastAsia="en-US" w:bidi="ar-SA"/>
        </w:rPr>
        <w:t>Immigration and Refugee Protection Act</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S.C. 2001, c. 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Those changes had the effect of denying student visas to persons applying to study at Canadian institutions save where the institution in question received accreditation from the province in which it is situate. The federal government required each province to create and provide a "designated list of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Thereafter, insofar as it affects this action, the British Columbia Ministry of Advanced Education, whose responsibility it was to administer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required that each institution offering secondary or language education programs to international students required an "education quality assurance" designation. Such required accreditation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was referenced at para. 13 of Sharma J.'s decision, the Ministry established a transition period for institutions such as the plaintiff's operation that were in the process of accreditation to allow them one year, until December 31, 2015, to obtain accreditation.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on behalf of DSC, made application for accreditation in October 2014 and the accreditation process began in January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According to the uncontradicted evidence of Ms. Lust, upon consideration of DSC's application, PCTIA became aware of financial irregularities respecting the school's operation. In particular, PCTIA became aware the school was unable to make the required refunds to withdrawing students as per the requirements of the bylaws enacted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DSC was informed of its non-compliance and advised that it had to comply with its financial obligations before the accreditation process could move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response, the plaintiff sent the following communication to the PCTIA on April 15,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update yesterday -- I thought I should also provide you with an update of a pressing legal matter. In December and January, I provided documentation to the PCTIA relating to our legal action against the Federal Government for its implementation of the policy restricting us from receiving international students. We allege this new policy is discriminatory and violates several sections of the Charter of Rights and Freedoms.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may be aware, since June 1, 2014, all agents discontinued working with us, and all visas have been denied. Our Tort action, which is currently in process, will request damages of $2,500,000. We previously emailed you a listing of these denied visas, which totals in excess of $300,000. We are further alleging that the policy has been destructive to our company and has caused irreparable harm to our reputation.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appreciate the work that you, and other members of the PCTIA have done to assist us in completing the requirement for accreditation so that we can again receive international students and receive approvals for visas.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we are not including the PCTIA in this action, since we believe the PCTIA is attempting to work with us to resolve the issues under its jurisdiction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therefore requesting that the PCTIA assist us in completing the remaining refunds by using the student training completion fund to pay back these remaining students. We would of course agree to pay back this amount, over time. Although I think that we may be in a position over the next few months to complete the remaining refunds, I do not believe that the agents or students will accept this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PCTIA advised DSC that it would not be refunding tuitions from the aforementioned fund -- established by s. 13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refunding tuition in situations such as when a registered institution ceases to operate or has misled the student regarding the institution or its operations -- and suspended DSC's license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From here on, it is convenient and economical to refer to the judgment of Sharma J. in </w:t>
      </w:r>
      <w:r>
        <w:rPr>
          <w:rFonts w:ascii="arial" w:eastAsia="arial" w:hAnsi="arial" w:cs="arial"/>
          <w:i/>
          <w:color w:val="000000"/>
          <w:sz w:val="20"/>
          <w:lang w:val="en-US" w:eastAsia="en-US" w:bidi="ar-SA"/>
        </w:rPr>
        <w:t>Honborg</w:t>
      </w:r>
      <w:r>
        <w:rPr>
          <w:rFonts w:ascii="arial" w:eastAsia="arial" w:hAnsi="arial" w:cs="arial"/>
          <w:color w:val="000000"/>
          <w:sz w:val="20"/>
          <w:lang w:val="en-US" w:eastAsia="en-US" w:bidi="ar-SA"/>
        </w:rPr>
        <w:t xml:space="preserve"> at paras. 16-27 to set out the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Bylaw 25.1 requires institutions to possess adequate revenues and assets to meet their financial responsibilities. Bylaw 37.15 requires that refunds to students be paid within 30 days of the withdrawal from the institution.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registrar responded to Mr. Honborg's letter by letter dated April 23, 2015. The registrar said the College's registration would be suspended on April 30, 2015, unless it could demonstrate within seven days that all necessary refunds were processed. The Agency acknowledges it received correspondence from the College following this letter, but its position is that none of that correspondence demonstrated that all necessary refunds had been processed.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College responded to that letter with a number of emails dated the same day. In one of those emails, the College said its request for assistance was because "the [A]gency was the cause of the difficulties by implementing an unlawful, discriminatory policy." I assume the policy referred to is the federal government's regulation or the provincial government's response to that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That email went on to say it was "formal notice" that if its registration was suspended the College would seek redress in the British Columbia Supreme Court to reverse the suspension and recover damages. The College further alleged the Agency not only has a duty to assist students, it has a duty to assist institutions. Mr. Honborg characterized the Agency's actions as "heavy handed" and draconian, accused an agency official of being prejudiced towards the College and making "slanderous suggestions" and stated the Agency's suggestion that the College could not meet its financial obligations was "libelous".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On April 27, 2015, the Agency responded to the numerous emails from Mr. Honborg and, in its letter, offered to consider extending the date by which the College had to demonstrate compliance by confirming the refund of all student tuition. As of the date of the hearing, the College had not yet provided the confirmation requested by the Agency that student refunds have been processed.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On April 30, 2015, the plaintiffs filed a notice of civil claim against the Agency. That notice alleges the Agency was negligent because, among other things, it failed to approve the College's application for accreditation in a reasonable manner, failed to exercise reasonable care when implementing policies, wilfully interfered with the College's practices and delayed approvals when it knew the delay would cause the College to suffer harm and loss.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seek damages and certain specific costs. They also seek "an order directing the Agency to approve accreditation of the College."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part 3 of the notice of civil claim which sets out the "Legal Basis", the plaintiffs say the Agency owed it a duty of care. They also "plead and rely" on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I confirmed that no notice of Constitutional Question had been sent to the Attorneys General; moreover, there is no particularity attached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 not even a section is identified. I, therefore, find the constitutional claims are not properly brought and cannot be considered in these applications.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Agency did not suspend the College until May 5, 2015. In a letter sent that day, the Agency stated the suspension was "based on [the College's] inability to comply with Bylaws 25.1 and 37.15." That letter again stated that the College's suspension could be lifted if it could "provide confirmation that all necessary refunds, being those owing longer than 30 days have been completed" by May 26, 2015. The letter also confirmed that failure to meet that deadline would result in cancellation of the College's registration.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that letter, the Agency advised the College of its right to seek a reconsideration (the deadline for that is June 5, 2015). On May 26, 2015, the Agency again contacted the College seeking any evidence that the College had met the condition for reinstatement and indicating, again, that the Agency would consider a further extension to the deadline to provide a response to June 1, 2015. It also again reminded the College of the deadline to seek reconsideration and suggested an extension to that date could be requested.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College's response to the Agency was that it was seeking a stay in court and would not comment further.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Agency's legal counsel swore an affidavit and in it she says the Agency has received complaints about the adequacy of refunds received from the College. The College was notified of the complaints but in response sent correspondence saying "this matter is currently before the Supreme Court." The College offered no further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During the hearing Mr. Honborg confirmed that he was aware of the Agency's offer to extend the deadline to provide confirmation and of the right to seek reconsideration but that he consciously chose not to pursue those because he does not believe he can get a fair hearing because of the Agency's bias against the College. Other than his disagreement with the Agency's decision, there is no evidence to substantiate the claim of prejudicial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noted, the plaintiff's claim was struck as: (1) an abuse of process; and (2) on the basis that the defendant had established that it was "plain and obvious" that the claim against it could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Later in her reasons, Sharma J. noted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public agency charged to act in the public interest (see.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owe a private duty of care. No tort exists for "non-compliance with a statute". Merely invoking the language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notice of civil claim does not substantiate that such a claim exists. I find it is beyond doubt the action launched by the plaintiffs is nothing more than an attempt to overturn the suspension, even before it was issued. Indeed, during the hearing, Mr. Honborg stated he did not care about the damages but wanted the court to force the Agency to issue accreditation to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Following dismissal of the action, the plaintiff, on behalf of EHMC, sought a reconsideration of PCTIA's decision to suspend its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PCTIA advised EHMC that the conditions for reinstatement -- specifically the refund of tuition to withdrawing students -- remained unfulfilled, but that the PCTIA would extend the period for reconsideration provided EHMC stopped providing career training and removed advertising from its website until the conditions for reinstatement had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EHMC continued to offer online training and its website remained operational. On June 22, 2015, the Agency cancelled EHMC's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Neither Sharma J.'s decision, nor the cancellation of EHMC's registration and refusal to reconsider were appealed, although appeals lie from both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initiated this action substituting Ms. Lust for PCTIA and alleging that her operational decision -- refusing accreditation -- "makes out the Tort of Misfeasance in a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each filed responses followed by applications to strike the plaintiff's claim. The plaintiff filed neither responses to the applications nor affidavit material traversing the averments in the affidavit of Ms. Lust.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assert that the current action is nothing more than a "do-over" of the action dismissed by Sharma J. and should be dismissed as an abuse of process or on the basis of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Alternatively, each seeks dismissal pursuant to R. 9-6, alleging that there is no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argues that he was unaware of the existence of the tort of misfeasance in public office when he initiated the earlier action, and that the present action should proceed to the discovery stage, thus allowing him the opportunity to gather evidence in support of his contention of bad faith/malice as against Ms. Lust. He argues that the facts underpinning the present allegations are materially different from those before Sharma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offered no rationale in support of the continued involvement of the defendant, HMTQ, given there are no allegations in the notice of civil claim of tortious behaviour as against HMTQ.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Relevant Rules: 9-5(1), 9-6(4), and 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Rules 9-5(1), 9-6(4), and 9-6(5)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(1) At any stage of a proceeding, the court may order to be struck out or amended the whole or any part of a pleading, petition or other document on the ground that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9-6 (4) 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9-6 (5) On hearing an application under subrule (2) or (4), the court,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Honborg argues that the action against the defendant, Ms. Lust, is materially different from that dismissed by Sharma J., and based on different facts than those found in the earlier decision. That said, he offered nothing in response to the affidavit filed by Ms. Lust as to the course of events leading to the suspension/cancellation of EHMC's accreditation beyond the vague assertion of misconduct in the notice of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HMTQ, submits that issue estoppel precludes the plaintiff from pressing forward with the action as framed against Her Majesty.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Dalmyn, counsel for HMTQ, argues that the decision of Sharma J. on the merits should be respected as final. The issues obliquely raised by the plaintiff as against HMTQ are no different, argues Mr. Dalmyn, than those raised as against the PCTIA in the earlier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Innes v. Bui</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2010 BCCA 322</w:t>
        </w:r>
      </w:hyperlink>
      <w:r>
        <w:rPr>
          <w:rFonts w:ascii="arial" w:eastAsia="arial" w:hAnsi="arial" w:cs="arial"/>
          <w:color w:val="000000"/>
          <w:sz w:val="20"/>
          <w:lang w:val="en-US" w:eastAsia="en-US" w:bidi="ar-SA"/>
        </w:rPr>
        <w:t>, Low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pre-conditions to making out issue estoppel are stated in </w:t>
      </w:r>
      <w:r>
        <w:rPr>
          <w:rFonts w:ascii="arial" w:eastAsia="arial" w:hAnsi="arial" w:cs="arial"/>
          <w:i/>
          <w:color w:val="000000"/>
          <w:sz w:val="20"/>
          <w:lang w:val="en-US" w:eastAsia="en-US" w:bidi="ar-SA"/>
        </w:rPr>
        <w:t>Angle v. Minister of National Revenue</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xml:space="preserve"> at 254: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Lord Guest in </w:t>
      </w:r>
      <w:r>
        <w:rPr>
          <w:rFonts w:ascii="arial" w:eastAsia="arial" w:hAnsi="arial" w:cs="arial"/>
          <w:i/>
          <w:color w:val="000000"/>
          <w:sz w:val="20"/>
          <w:lang w:val="en-US" w:eastAsia="en-US" w:bidi="ar-SA"/>
        </w:rPr>
        <w:t>Carl Zeiss Stiftung v. Rayner &amp; Keeler Ltd. (No. 2)</w:t>
      </w:r>
      <w:r>
        <w:rPr>
          <w:rFonts w:ascii="arial" w:eastAsia="arial" w:hAnsi="arial" w:cs="arial"/>
          <w:color w:val="000000"/>
          <w:sz w:val="20"/>
          <w:lang w:val="en-US" w:eastAsia="en-US" w:bidi="ar-SA"/>
        </w:rPr>
        <w:t>, at p. 935, defined the requirements of issue estoppel 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(1) that the same question has been decided; (2) that the judicial decision which is said to create the estoppel was final; and, (3) that the parties to the judicial decision or their privies were the same persons as the parties to the proceedings in which the estoppel is raised or their privies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Delane Industry Co. Ltd. v. Atkinson</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2017 BCCA 79</w:t>
        </w:r>
      </w:hyperlink>
      <w:r>
        <w:rPr>
          <w:rFonts w:ascii="arial" w:eastAsia="arial" w:hAnsi="arial" w:cs="arial"/>
          <w:color w:val="000000"/>
          <w:sz w:val="20"/>
          <w:lang w:val="en-US" w:eastAsia="en-US" w:bidi="ar-SA"/>
        </w:rPr>
        <w:t>, Savage J.A. said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Issue estoppel prevents parties from re-litigating the "constituent issues or material facts" necessarily embraced in a previous proceeding between the parties or their privies. The estoppel extends to the material facts and the conclusions of law or mixed fact and law that were necessarily (even if not explicitly) determined in the proceedings: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at paras. 20, 25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Here, I agree with the defendant HMTQ that the Province is privy to the position of the PCTIA in the previous action. That is to say, the Province was subject to the liability of the PCTIA in the previous action. Further, the allegations of fact and law against the defendants in the current action are the same as made against the PCTIA in the previous action such that the principle of finality must be respected and the action dismissed as against HMTQ.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reasons I shall come to, the same reasoning applies to the claim that Ms. Lust owed a duty of care to the plaintiff. That issue was previously decided as against the plaintiff as between himself and PCTIA.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Action against Ms. Lust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correctly notes that Sharma J.'s decision did not deal with his allegations of misfeasance in public office and "targeted malice" by Ms. Lust. The "new" action also includes claims for damages for "violation of administrative fairness" and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Only the former is a tort known to law. "Targeted malice", "violation of public fairness" and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actions" are different descriptions of the essential elements of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Other than framing the action differently as against Ms. Lust, the facts remain the same as before Sharma J. with three exceptions: (1) following dismissal of the claim by Sharma J., DSC filed a request for reconsideration of the registrar's May 5, 2015 suspension decision; (2) the PCTIA reaffirmed that the suspension would not be lifted until EHMC brought itself into compliance with the by-laws; and (3) that reaffirmation was followed by cancellation of DSC's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Although the conditions for reinstatement - processing of necessary refunds -- had not occurred, EHMC continued to offer career training on its website. This ultimately led to the subsequent cancellation of its registration on June 22,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EHMC never requested reconsideration of the decision to cancel its registration, as it was entitled to do, but instead commenced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Ultimately, the PCTIA received over 30 requests for student refunds in respect of the failure of EHMC to refund tuition. The PCTIA paid just under $190,000 to former EHMC students from the fund established for such situations by s. 13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Rule 9-5(1) allows for dismissal of a claim where the claim is: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unnecessary, scandalous, frivolous or vexatious, or</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test is whether it is "plain and obvious" that the pleading offends the particular subrule: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at para. 24. Under Rule 9-5(1)(d), the court has the discretion to disallow a claim where continuation of it would violate principles of judicial economy, the principle of finality, and the integrity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Lust argues that the claim against her is a collateral attack on the PCTIA's administrative decision to cancel EHMC's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If concluded such is the case, the court has the ability to strike the collateral attack on the basis that it is an abuse of process: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Honborg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Kikla v. Ayong</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2016 BCSC 465</w:t>
        </w:r>
      </w:hyperlink>
      <w:r>
        <w:rPr>
          <w:rFonts w:ascii="arial" w:eastAsia="arial" w:hAnsi="arial" w:cs="arial"/>
          <w:color w:val="000000"/>
          <w:sz w:val="20"/>
          <w:lang w:val="en-US" w:eastAsia="en-US" w:bidi="ar-SA"/>
        </w:rPr>
        <w:t xml:space="preserve">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When considering an application under Rule 9-5(1)(b) and (d), the court may consider evidence if necessary to conclude the claim, as structured, constitutes an abuse of process: </w:t>
      </w:r>
      <w:r>
        <w:rPr>
          <w:rFonts w:ascii="arial" w:eastAsia="arial" w:hAnsi="arial" w:cs="arial"/>
          <w:i/>
          <w:color w:val="000000"/>
          <w:sz w:val="20"/>
          <w:lang w:val="en-US" w:eastAsia="en-US" w:bidi="ar-SA"/>
        </w:rPr>
        <w:t>I.J. v. J.A.M.</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2014 BCSC 89</w:t>
        </w:r>
      </w:hyperlink>
      <w:r>
        <w:rPr>
          <w:rFonts w:ascii="arial" w:eastAsia="arial" w:hAnsi="arial" w:cs="arial"/>
          <w:color w:val="000000"/>
          <w:sz w:val="20"/>
          <w:lang w:val="en-US" w:eastAsia="en-US" w:bidi="ar-SA"/>
        </w:rPr>
        <w:t xml:space="preserve"> at para. 65. I am guided by the factual determinations in the previous decision as between the plaintiff and PCTIA.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Lust says that the plaintiff's dissatisfaction with the PCTIA's decision to require compliance with the Agency's bylaws prior to considering the application for accreditation -- followed by suspension and, ultimately, cancellation of its license -- constituted substantially the same basis for the claim as that advanced in the earlier action dismissed by Sharma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She notes that the errors, as alleged, in the PCTIA's decision-making process were appealable under s. 10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thereafter, reviewable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neither pursued an appeal of the decision of Sharma J. nor judicial review in respect of the Agency's decisions to suspend, and then cancel DSC's license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is well-established that "a civil claim is not the appropriate forum for a court to consider the process of an administrative decision maker" and a pleading inviting the court to do so is "clearly an abuse of process": </w:t>
      </w:r>
      <w:r>
        <w:rPr>
          <w:rFonts w:ascii="arial" w:eastAsia="arial" w:hAnsi="arial" w:cs="arial"/>
          <w:i/>
          <w:color w:val="000000"/>
          <w:sz w:val="20"/>
          <w:lang w:val="en-US" w:eastAsia="en-US" w:bidi="ar-SA"/>
        </w:rPr>
        <w:t>Cimaco International Sales, Inc. v. British Columbia (Attorney General)</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at para.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earlier decision of Sharma J. dismissed the plaintiff's action and that of DSC Hotel Management Systems Ltd. doing business as EHMC; she concluded that the action constituted an impermissible collateral attack with the result that it was an abuse of process: </w:t>
      </w:r>
      <w:r>
        <w:rPr>
          <w:rFonts w:ascii="arial" w:eastAsia="arial" w:hAnsi="arial" w:cs="arial"/>
          <w:i/>
          <w:color w:val="000000"/>
          <w:sz w:val="20"/>
          <w:lang w:val="en-US" w:eastAsia="en-US" w:bidi="ar-SA"/>
        </w:rPr>
        <w:t>Honborg</w:t>
      </w:r>
      <w:r>
        <w:rPr>
          <w:rFonts w:ascii="arial" w:eastAsia="arial" w:hAnsi="arial" w:cs="arial"/>
          <w:color w:val="000000"/>
          <w:sz w:val="20"/>
          <w:lang w:val="en-US" w:eastAsia="en-US" w:bidi="ar-SA"/>
        </w:rPr>
        <w:t xml:space="preserve"> at paras. 36-37.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Madam Justice Sharma found there was no private duty of care owed by the PCTIA. It follows that Ms. Lust is in no different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It is of note that s. 21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immunity to Ms. Lust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(1) Subject to subsection (2), no legal proceeding for damages lies or may be commenced or maintained against a board member or an officer or employee of the agency because of anything done or omitted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performance or intended performance of any duty under this Act, or</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exercise or intended exercise of any power under this Act.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apply to a person referred to in that subsection in relation to anything done or omitted by that person in bad faith.</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absolve the agency from vicarious liability arising out of anything done or omitted by a person referred to in that subsection for which the agency would be vicariously liable if this section were not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Given the PCTIA was not found vicariously liable for the conduct undertaken by the registrar, Ms. Lust, on its behalf, it is clear no duty of care is owed either by the Agency or Ms. Lust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Accordingly the claims, save for the claim against Ms. Lust of misfeasance in public office, are no different from those dismissed in the earlier proceeding and, consequently, amount to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To constitute the tort of misfeasance in public office, the plaintiff must establish (1) deliberate, unlawful conduct in the exercise of public functions, and (2) awareness that the conduct is unlawful and likely to injure the plaintiff: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corollary to that is that a public officer, acting in good faith, may make decisions that he or she knows will be adverse to the interests of members of the public. What makes the conduct tortious is knowledge on the part of the officer that his or her actions are inconsistent with the obligations of the office he or she holds.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respect of the "new assertion" by the plaintiff of misfeasance in public office, no difference in the factual matrix arises; there are no new facts alleged that allow me to look behind Sharma J.'s conclusion at paras. 39-40 of her reasons, where she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 also find that the Agency has conducted itself in a reasonable manner. In its April 23, 2015 letter, the Agency informed the plaintiffs of exactly what could be done to avoid suspension and provided a deadline. The Agency then offered to extend that deadline if the College indicated it needed the extra time to respond. The College did not reply to that offer and it did not bring itself within compliance.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In its May 5, 2015 letter suspending the College's registration, the Agency again clearly identified what could be done to lift that suspension and by what date. It again set out the plaintiffs' opportunity to seek reconsideration. Even on the date of the deadline for the College to provide documents confirming refunds had been processed, the Agency again offered to consider another extension, if so requested. Instead, the College brought its application seeking a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was stated by Binnie J. in </w:t>
      </w:r>
      <w:r>
        <w:rPr>
          <w:rFonts w:ascii="arial" w:eastAsia="arial" w:hAnsi="arial" w:cs="arial"/>
          <w:i/>
          <w:color w:val="000000"/>
          <w:sz w:val="20"/>
          <w:lang w:val="en-US" w:eastAsia="en-US" w:bidi="ar-SA"/>
        </w:rPr>
        <w:t>British Columbia (Attorney-General) v. Malik</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2011 SCC 18</w:t>
        </w:r>
      </w:hyperlink>
      <w:r>
        <w:rPr>
          <w:rFonts w:ascii="arial" w:eastAsia="arial" w:hAnsi="arial" w:cs="arial"/>
          <w:color w:val="000000"/>
          <w:sz w:val="20"/>
          <w:lang w:val="en-US" w:eastAsia="en-US" w:bidi="ar-SA"/>
        </w:rPr>
        <w:t xml:space="preserve">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admissibility of prior civil or criminal judgments in subsequent civil proceedings, and the effect to be given to them, must be seen in the broader context of the need to promote efficiency in litigation and reduce its overall costs to the parties. The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issue estoppel and abuse of process are all part of this larger judicial policy but they do not exhaust its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above principle was affirmed by Hinkson C.J.S.C. in </w:t>
      </w:r>
      <w:r>
        <w:rPr>
          <w:rFonts w:ascii="arial" w:eastAsia="arial" w:hAnsi="arial" w:cs="arial"/>
          <w:i/>
          <w:color w:val="000000"/>
          <w:sz w:val="20"/>
          <w:lang w:val="en-US" w:eastAsia="en-US" w:bidi="ar-SA"/>
        </w:rPr>
        <w:t>Lamb v. Canada (Attorney-General)</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2017 BCSC 1802</w:t>
        </w:r>
      </w:hyperlink>
      <w:r>
        <w:rPr>
          <w:rFonts w:ascii="arial" w:eastAsia="arial" w:hAnsi="arial" w:cs="arial"/>
          <w:color w:val="000000"/>
          <w:sz w:val="20"/>
          <w:lang w:val="en-US" w:eastAsia="en-US" w:bidi="ar-SA"/>
        </w:rPr>
        <w:t xml:space="preserve">, aff'd </w:t>
      </w:r>
      <w:hyperlink r:id="rId662" w:history="1">
        <w:r>
          <w:rPr>
            <w:rFonts w:ascii="arial" w:eastAsia="arial" w:hAnsi="arial" w:cs="arial"/>
            <w:i/>
            <w:color w:val="0077CC"/>
            <w:sz w:val="20"/>
            <w:u w:val="single"/>
            <w:shd w:val="clear" w:color="auto" w:fill="FFFFFF"/>
            <w:lang w:val="en-US" w:eastAsia="en-US" w:bidi="ar-SA"/>
          </w:rPr>
          <w:t>2018 BCCA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Lamb</w:t>
      </w:r>
      <w:r>
        <w:rPr>
          <w:rFonts w:ascii="arial" w:eastAsia="arial" w:hAnsi="arial" w:cs="arial"/>
          <w:color w:val="000000"/>
          <w:sz w:val="20"/>
          <w:lang w:val="en-US" w:eastAsia="en-US" w:bidi="ar-SA"/>
        </w:rPr>
        <w:t>, as is the case here, the applicant relied on Rule 9-5(1)(b) and (d) to strike portions of the defendant's response to civil claim -- there relating to findings of fact made in a previous decision relating to physician-assisted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After referring to </w:t>
      </w:r>
      <w:r>
        <w:rPr>
          <w:rFonts w:ascii="arial" w:eastAsia="arial" w:hAnsi="arial" w:cs="arial"/>
          <w:i/>
          <w:color w:val="000000"/>
          <w:sz w:val="20"/>
          <w:lang w:val="en-US" w:eastAsia="en-US" w:bidi="ar-SA"/>
        </w:rPr>
        <w:t>Malik</w:t>
      </w:r>
      <w:r>
        <w:rPr>
          <w:rFonts w:ascii="arial" w:eastAsia="arial" w:hAnsi="arial" w:cs="arial"/>
          <w:color w:val="000000"/>
          <w:sz w:val="20"/>
          <w:lang w:val="en-US" w:eastAsia="en-US" w:bidi="ar-SA"/>
        </w:rPr>
        <w:t>, Hinkson, C.J.S.C. stated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 conclude that so long as the preconditions stated in </w:t>
      </w:r>
      <w:r>
        <w:rPr>
          <w:rFonts w:ascii="arial" w:eastAsia="arial" w:hAnsi="arial" w:cs="arial"/>
          <w:i/>
          <w:color w:val="000000"/>
          <w:sz w:val="20"/>
          <w:lang w:val="en-US" w:eastAsia="en-US" w:bidi="ar-SA"/>
        </w:rPr>
        <w:t xml:space="preserve">Danyluk </w:t>
      </w:r>
      <w:r>
        <w:rPr>
          <w:rFonts w:ascii="arial" w:eastAsia="arial" w:hAnsi="arial" w:cs="arial"/>
          <w:color w:val="000000"/>
          <w:sz w:val="20"/>
          <w:lang w:val="en-US" w:eastAsia="en-US" w:bidi="ar-SA"/>
        </w:rPr>
        <w:t>are met, issue estoppel can apply to findings of fact in prior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Chief Justice Hinkson continued by dismissing the Attorney-General's submission that the plaintiffs had failed to demonstrate it was "plain and obvious" that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As to the "new allegation" alleging bad faith or malice, I adopt as correct the following passage from </w:t>
      </w:r>
      <w:r>
        <w:rPr>
          <w:rFonts w:ascii="arial" w:eastAsia="arial" w:hAnsi="arial" w:cs="arial"/>
          <w:i/>
          <w:color w:val="000000"/>
          <w:sz w:val="20"/>
          <w:lang w:val="en-US" w:eastAsia="en-US" w:bidi="ar-SA"/>
        </w:rPr>
        <w:t>Kikla</w:t>
      </w:r>
      <w:r>
        <w:rPr>
          <w:rFonts w:ascii="arial" w:eastAsia="arial" w:hAnsi="arial" w:cs="arial"/>
          <w:color w:val="000000"/>
          <w:sz w:val="20"/>
          <w:lang w:val="en-US" w:eastAsia="en-US" w:bidi="ar-SA"/>
        </w:rPr>
        <w:t xml:space="preserve"> where, at para. 55, Mr. Justice Saunders, in considering a similar claim,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litigant will not be permitted to subvert the principles of judicial review, including deference to the decision-making authority, through making unfounded allegations against an employee. The pleadings and evidence will still be subject to being scrutinized to determine whether there is any plausible basis for a claim of bad faith, engaging subsection 21(2) of the Act: ... If the pleadings and the evidence do not disclose a reasonable basis for claims being made personally against the employee, it will be open to the court to conclude that the action, in substance, is nothing more than a collateral attack.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Pleading misfeasance in public office was also discussed by Sharpe J.A. in </w:t>
      </w:r>
      <w:r>
        <w:rPr>
          <w:rFonts w:ascii="arial" w:eastAsia="arial" w:hAnsi="arial" w:cs="arial"/>
          <w:i/>
          <w:color w:val="000000"/>
          <w:sz w:val="20"/>
          <w:lang w:val="en-US" w:eastAsia="en-US" w:bidi="ar-SA"/>
        </w:rPr>
        <w:t>L.(A.) v. Ontario (Minister of Community and Social Services)</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(2006), 83 O.R. (3d) 512</w:t>
        </w:r>
      </w:hyperlink>
      <w:r>
        <w:rPr>
          <w:rFonts w:ascii="arial" w:eastAsia="arial" w:hAnsi="arial" w:cs="arial"/>
          <w:color w:val="000000"/>
          <w:sz w:val="20"/>
          <w:lang w:val="en-US" w:eastAsia="en-US" w:bidi="ar-SA"/>
        </w:rPr>
        <w:t xml:space="preserve"> (C.A.) where at para. 37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pleading makes bald allegations that recite the basic elements of the tort in very general terms but fails to provide material facts sufficient to demonstrate an intentional wrongdoing by a specific public officer aimed at the respondents. The pleading does not allege that a specific public officer knowingly abused his or her statutory duties for the unlawful purpose of harming these respondents.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the result, the action in </w:t>
      </w:r>
      <w:r>
        <w:rPr>
          <w:rFonts w:ascii="arial" w:eastAsia="arial" w:hAnsi="arial" w:cs="arial"/>
          <w:i/>
          <w:color w:val="000000"/>
          <w:sz w:val="20"/>
          <w:lang w:val="en-US" w:eastAsia="en-US" w:bidi="ar-SA"/>
        </w:rPr>
        <w:t>L.(A.)</w:t>
      </w:r>
      <w:r>
        <w:rPr>
          <w:rFonts w:ascii="arial" w:eastAsia="arial" w:hAnsi="arial" w:cs="arial"/>
          <w:color w:val="000000"/>
          <w:sz w:val="20"/>
          <w:lang w:val="en-US" w:eastAsia="en-US" w:bidi="ar-SA"/>
        </w:rPr>
        <w:t xml:space="preserve">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Kikla</w:t>
      </w:r>
      <w:r>
        <w:rPr>
          <w:rFonts w:ascii="arial" w:eastAsia="arial" w:hAnsi="arial" w:cs="arial"/>
          <w:color w:val="000000"/>
          <w:sz w:val="20"/>
          <w:lang w:val="en-US" w:eastAsia="en-US" w:bidi="ar-SA"/>
        </w:rPr>
        <w:t>, Saunders J. dismissed the action of the plaintiff finding at para.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claims are not saved through the allegations of bad faith, abuse of process, etc. on the part of the employees. There is no substance to these allegations. There are no material facts pleaded in support, only bald assertions of wrongdoing.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agree with counsel for Ms. Lust that there are no material facts pleaded in support of the allegations against her -- only bald assertions of wrongdoing that, on the history laid out in Sharma J.'s decision, have no prospect of succeeding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am bound by the finding that EHMC was in breach of PCTIA bylaws requiring the refunding of tuition to withdrawing students such that Ms. Lust acted lawfully in: (1) declining to process EHMC's application for accreditation pending compliance; (2) suspending its license pending compliance; and (3) cancelling its registration upon EHMC failing to adhere to the conditions for the lifting of the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the result, the Agency's determination to not entertain the plaintiff's application for accreditation pending compliance, while adversely impacting the plaintiff, can hardly be said to be "for an unlawful purpose" or with improper motive so as to sustain the pleading against Ms. Lust of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Accordingly, I dismiss the action as against both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are entitled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Lodge v. Deloitte &amp; Touche, [2001] B.C.J. No. 2508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Stewart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19 - 23,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29,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C992114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2508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1655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109 A.C.W.S. (3d) 988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B.C.T.C. 1655</w:t>
      </w:r>
    </w:p>
    <w:p>
      <w:pPr>
        <w:spacing w:before="120" w:line="260" w:lineRule="atLeast"/>
        <w:rPr>
          <w:lang w:val="en-US" w:eastAsia="en-US" w:bidi="ar-SA"/>
        </w:rPr>
      </w:pPr>
      <w:r>
        <w:rPr>
          <w:rFonts w:ascii="arial" w:eastAsia="arial" w:hAnsi="arial" w:cs="arial"/>
          <w:color w:val="000000"/>
          <w:sz w:val="20"/>
          <w:lang w:val="en-US" w:eastAsia="en-US" w:bidi="ar-SA"/>
        </w:rPr>
        <w:t>Between David Lodge and Lodge &amp; Co. Project Management Ltd., plaintiffs, and Deloitte &amp; Touche, Deloitte &amp; Touche LLP, Deloite &amp; Touche S.R.L. and Robert Thomson,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0" style="position:absolute;z-index:2516981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3" w:name="Keywords_37"/>
      <w:bookmarkEnd w:id="243"/>
      <w:r>
        <w:rPr>
          <w:rFonts w:ascii="arial" w:eastAsia="arial" w:hAnsi="arial" w:cs="arial"/>
          <w:b/>
          <w:color w:val="000000"/>
          <w:sz w:val="20"/>
          <w:lang w:val="en-US" w:eastAsia="en-US" w:bidi="ar-SA"/>
        </w:rPr>
        <w:t xml:space="preserve">Professional occupations — Accountants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4" w:name="Case Summary_32"/>
            <w:bookmarkEnd w:id="24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client, Lodge, against the accounting firm, Deloitte &amp; Touche, for payment of funds owed by Lodge and Lodge's company to Revenue Canada. Lodge had worked in the construction industry for over 20 years. He engaged the firm in 1986 for advice on changing his status from that of employee to independent contractor. Over the years, Lodge received professional advice from the firm, but the firm never prepared an engagement letter outlining the terms of service. In 1987, Lodge incorporated his own company, under which he bid on construction jobs and retained and paid sub-trades. Lodge's company became active in 1988 or 1989. Beginning in 1986 or 1987, Lodge sent all his financial records to the firm. From 1986 to 1990, the firm sent personal income tax returns to Lodge for him to sign and send directly to Revenue Canada. After 1990, Lodge failed to file both personal and corporate income tax returns. When Revenue Canada began to send him request to file returns, he sent the information to the accounting firm, saying that he was under the impression that the firm had taken care of the returns. In 1997, the firm prepared the necessary returns and advised Lodge of the amounts owing. Revenue Canada issued Notices of Assessment, which included penalties and interest. At trial, Lodge testified that he had been told by the firm at various times that all required financial statements, income tax returns, and tax filings had been prepared and filed. On cross-examination, he admitted that he had never been told such things. Lodge also claimed that in 1993 he had lunch with an accountant who told him that he was in complete compliance with the Income Tax Act. The accountant did not recall the meeting or having made such a statement. Lodge testified that over several telephone conversations, the same accountant had referred to Lodge as having a tax holiday. The records did not show that such phone calls had occurred. </w:t>
            </w:r>
            <w:r>
              <w:rPr>
                <w:lang w:val="en-US" w:eastAsia="en-US" w:bidi="ar-SA"/>
              </w:rPr>
              <w:cr/>
            </w:r>
          </w:p>
          <w:p>
            <w:pPr>
              <w:spacing w:before="120" w:line="260" w:lineRule="atLeast"/>
              <w:ind w:left="240"/>
              <w:jc w:val="both"/>
              <w:rPr>
                <w:lang w:val="en-US" w:eastAsia="en-US" w:bidi="ar-SA"/>
              </w:rPr>
            </w:pPr>
            <w:bookmarkStart w:id="245" w:name="Holdings of Court_25"/>
            <w:bookmarkEnd w:id="245"/>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Lodge lied in his testimony and was not a credible witness. The court also did not believe that an independent businessman involved in financial considerations every day had not understood that his corporation had income tax payable. </w:t>
            </w:r>
            <w:r>
              <w:rPr>
                <w:lang w:val="en-US" w:eastAsia="en-US" w:bidi="ar-SA"/>
              </w:rPr>
              <w:cr/>
            </w:r>
          </w:p>
          <w:p>
            <w:pPr>
              <w:rPr>
                <w:lang w:val="en-US" w:eastAsia="en-US" w:bidi="ar-SA"/>
              </w:rPr>
            </w:pPr>
          </w:p>
        </w:tc>
      </w:tr>
    </w:tbl>
    <w:p>
      <w:pPr>
        <w:jc w:val="both"/>
        <w:rPr>
          <w:lang w:val="en-US" w:eastAsia="en-US" w:bidi="ar-SA"/>
        </w:rPr>
      </w:pPr>
      <w:bookmarkStart w:id="246" w:name="Legislation Cited_29"/>
      <w:bookmarkEnd w:id="24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11" style="position:absolute;z-index:2517493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Income Tax Act, s. 150.</w:t>
      </w:r>
      <w:r>
        <w:rPr>
          <w:lang w:val="en-US" w:eastAsia="en-US" w:bidi="ar-SA"/>
        </w:rPr>
        <w:cr/>
      </w:r>
    </w:p>
    <w:p>
      <w:pPr>
        <w:keepNext/>
        <w:spacing w:before="240" w:line="340" w:lineRule="atLeast"/>
        <w:rPr>
          <w:lang w:val="en-US" w:eastAsia="en-US" w:bidi="ar-SA"/>
        </w:rPr>
      </w:pPr>
      <w:bookmarkStart w:id="247" w:name="Counsel_38"/>
      <w:bookmarkEnd w:id="24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2" style="position:absolute;z-index:2518005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M.C. Stacey, for the plaintiffs. M.L. Smith and T. Martin, for the defendants.</w:t>
      </w:r>
      <w:r>
        <w:rPr>
          <w:lang w:val="en-US" w:eastAsia="en-US" w:bidi="ar-SA"/>
        </w:rPr>
        <w:cr/>
      </w:r>
    </w:p>
    <w:p>
      <w:pPr>
        <w:spacing w:after="240"/>
        <w:rPr>
          <w:lang w:val="en-US" w:eastAsia="en-US" w:bidi="ar-SA"/>
        </w:rPr>
      </w:pPr>
      <w:bookmarkStart w:id="248" w:name="Judgment_38"/>
      <w:bookmarkEnd w:id="248"/>
      <w:r>
        <w:pict>
          <v:line id="_x0000_s1213" style="position:absolute;z-index:25185075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9" w:name="STEWART J."/>
            <w:bookmarkEnd w:id="249"/>
            <w:r>
              <w:rPr>
                <w:rFonts w:ascii="arial" w:eastAsia="arial" w:hAnsi="arial" w:cs="arial"/>
                <w:b/>
                <w:color w:val="000000"/>
                <w:sz w:val="30"/>
                <w:lang w:val="en-US" w:eastAsia="en-US" w:bidi="ar-SA"/>
              </w:rPr>
              <w:t>STEWART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my calculation the plaintiff David Lodge was born in 1944. He came to Canada in 1971 at age 27. He worked as an employee of others in the construction industry. He was a member of the carpenters' union until 1994. Then he worked for "various other construction companies", as he put it when he testified before me. He started doing "project management work", as it was phrased, in 1986. He worked for Cityscape Interiors Inc. [Exhibit 1, Tab 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1986 David Lodge decided to engage an accountant. A discussion with a friend resulted in his meeting the defendant Robert Thomson, a Chartered Accountant then employed by the defendant Deloitte &amp; Touche. I pause to note that I will refer to that defendant as Deloitte &amp; Touche. The name of that defendant has changed and changed again over the years. Nothing is lost, and something is gained, by employing but one name for that defendant. In any event David Lodge met Robert Thomson in 1986. Before meeting Robert Thomson, David Lodge had decided that he wanted to change from being an individual who worked for a salary or a wage as an employee and become an independent contractor "employed by" Cityscape Interiors Inc. He wanted to "pay [his] own taxes and so on" as he put it when he testified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David Lodge and Robert Thomson discussed the use of a corporation as an alter ego (my term) for David Lodge.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February 9, 1987 Robert Thomson sent David Lodge a letter. That letter appears before me at Exhibit 1, Tab 2. It is lengthy. I will take it as read. I will refer here to only some of it. It confirms David Lodge's wish to be "taxed as an independent business rather than as an employee of Cityscape". The focus of the letter is the altering of David Lodge's relationship with Cityscape Interiors Inc., the freeing up of David Lodge to obtain work from businesses other than Cityscape Interiors Inc., and the warding off of Revenue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 date after February 9, 1987 David Lodge and Robert Thomson met with a lawyer named David Pedlow. That lawyer did not testify before me. One of the topics discussed by the three men was the incorporating of a company. They discussed the detail that goes with the incorporating of a company. It was to be a one man company, a close corporation, an alter ego for David Lodge. One can use any of several terms to get at the same 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company was incorporated on February 14, 1987. It is the second named plaintiff, i.e. Lodge &amp; Co. Project Management Limited.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February 9, 1987 letter referred to above from Robert Thomson to David Lodge (Exhibit 1, Tab 2) had suggested adopting January 1 as the year-end date. In the result the date settled on was January 31.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spring following each of 1986, 1987 and 1988 the defendant Deloitte &amp; Touche prepared a T1 - a personal income tax return - for David Lodge. The procedure followed was that the T1 would be sent by Deloitte &amp; Touche to David Lodge in a folder. It was his obligation to read it, sign it if appropriate and mail it to Revenue Canada. That is what happened in connection with each of taxation years 1986, 1987, 1988.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noted above David Lodge told me that the corporate plaintiff was incorporated on February 14, 1987. He told me that he started to "work with" the corporate plaintiff "in 1989 I think". A memo in Deloitte &amp; Touche's files indicates that Deloitte &amp; Touche thought the corporate plaintiff "started active operations some time in the fall of 1988". (Exhibit 1, Tab 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Beginning in 1986 or 1987 and continuing until 1997, at least, David Lodge sent "all [his] financial records" to Deloitte &amp; Touche. Robert Thomson had moved from Deloitte &amp; Touche's office in Vancouver to their office in Victoria in September 1987. The materials sent by David Lodge to Deloitte &amp; Touche in instalments over the years made their way from Deloitte &amp; Touche's Vancouver office to their Victoria office. As I understand the evidence Deloitte &amp; Touche retained all that David Lodge had sent Deloitte &amp; Touche, or at least the great majority of it, until after the relationship between the plaintiffs and Deloitte &amp; Touche was severed in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spring of 1990 and 1991, and pursuant to the standard procedure noted above, Deloitte &amp; Touche prepared David Lodge's T1 personal income tax returns for the years 1989 and 1990 respectively. Those T1 forms were forwarded to David Lodge and eventually made their way to Revenue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 one at Deloitte &amp; Touche ever prepared an engagement letter in connection with David Lodge or Lodge &amp; Co. Project Management Limited. It follows that as between professional person and layperson doubt as to the scope of the professional's retainer must be resolved in favour of the layperson to the extent the evidence will permit.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Some of what passed between the plaintiffs and Deloitte &amp; Touche is set out below. I deal here only with some of what is common ground or manifest on the face of the exhibits and not at all with anything controversial.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May 14th, 1987, Robert Thomson sent David Lodge the first of various invoices that appear before me in Exhibit 1. (Exhibit 1, Tab 9). I will take it as read. Over the years Deloitte &amp; Touche sent David Lodge or Lodge &amp; Co. Project Management Limited other invoices or statements of account. (Exhibit 1: Tab 12, Tab 14, Tab 20, Tab 28, Tab 63, Tab 93, Tab 102, Tab 103, Tab 107, Tab 112. These are mentioned by way of examples only. I will take them as read.) "Lodge &amp; Co." sent Deloitte &amp; Touche a series of cheques: Exhibit 1, Tab 23 - dated as early as August 1, 1995, which date I gather was a mistake. The flow of cheques continued: Exhibit 1, Tab 234, Tab 64, Tab 109.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common ground that Deloitte &amp; Touche was doing the after-the-fact bookkeeping for the corporate defendant. David Lodge kept control of the chequebook, did what had to be done to run his business and then bundled up the paper trail every few months and sent off an envelope to Deloitte &amp; Touche as noted above. [An example of an instalment being sent in appears at Exhibit 1, Tab 36].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clear on the face of the exhibits that the relationship between the plaintiffs and the defendant Deloitte &amp; Touche involved David Lodge receiving professional advice in connection with particular things that came up in the course of business such as: employment agreements between David Lodge and his wife and a corporation referred to initially as Lodge Contract Services Limited (Exhibit 1, Tab 5) and then as Lodge &amp; Co. Project Management Limited (Exhibit 1, Tab 7); a lease for a cellular phone (Exhibit 1, Tab 8); a possible fortuitous writing off of part of the cost of a holiday taken by David Lodge and his wife (Exhibit 1, Tab 36); the digging out of particular invoices or cheques (Exhibit 1: Tab 37, Tab 41, Tab 45); the obtaining of a new car (Tab 69, 7, 71). The fact that David Lodge had to, and did, initiate action in connection with his "financial affairs" is thus obvious on the face of the exhibits without my having touched upon any of the possibly contentious events in the financial life of David Lodge or Lodge &amp; Co. Project Management Limited.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now move to the source of the litigation that is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Exhibit 1, Tab 15 is one of Deloitte &amp; Touche's internal documents. It is a memorandum prepared by one Len Pye. He did not testify before me. The body of the memorandum reads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Lodge &amp; Co. Project Management Ltd. started active operations some time in the fall of 1988. Currently there is very little income earned and we therefore decided to have a year end of January 31, 1989. Those financial statements have not yet been prepared and we therefore, for David's 1989 personal income tax return, reported a management fee from his company in an amount to bring his taxable income up to a point where there would be no income tax payable. Between Rob and I, we will prepare corporation tax returns and financial statements for the company for its year ended January 31, 1989 and January 31, 1990 as soon as possible.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By way of a Request To File A Return dated February 23, 1996 (Exhibit 1, Tab 42) sent to David Lodge, David Lodge learned that Revenue Canada took the position that Revenue Canada did not have a "1994 T1 Return" for him. He was ordered by that document to file a return if he had not done so. David Lodge obviously knew that he personally had not signed and mailed off a T1 Return in the spring of 1995 as he had in the spring of 1987, 1988, 1989, 1990 and 1991. [See paras. 8 and 11 of these Reasons]. David Lodge said he sent the above-noted request to file a return (Exhibit 1, Tab 42) to Deloitte &amp; Touche.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way of a Second Request To File A Return dated April 11, 1996 and sent to David Lodge, David Lodge learned that Revenue Canada said again that he had to file an income tax return - a 1994 T1 Return - for 1994 (Exhibit 1, Tab 48). He sent it to Deloitte &amp; Touche with a letter saying, amongst other things, "What's next?" (Exhibit 1, Tab 48).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way of a letter from the Audit Division of Revenue Canada dated September 25, 1996 and sent to David Lodge, David Lodge learned that Revenue Canada took the position that he had "not yet filed income tax returns for the years" 1991, 1992, 1993, 1994 and 1995. Revenue Canada referred to "T1 Personal Income Tax Returns". [Exhibit 1, Tab 65]. He sent this document to Deloitte &amp; Touche with a letter saying, amongst other things, "This just in. I was under the impression that this was taken care of." [Exhibit 1, Tab 65].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way of five Demands For Income Tax Returns, all dated December 5, 1996, and addressed to David Lodge, David Lodge was told that Revenue Canada was demanding that he file a T1 Return for each of 1991, 1992, 1993, 1994, 1995. He sent the "Demands" to Deloitte &amp; Touche (Exhibit 1, Tab 72).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fall of 1996 Deloitte &amp; Touche, without discussing the matter with David Lodge, looked into the efficacy and availability of a "voluntary disclosure" to Revenue Canada by David Lodge and Lodge &amp; Co. Project Management Limited. (Exhibit 1, Tab 73, 74, 75). This came to nothing.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February 18, 1997, Deloitte &amp; Touche sent the Vancouver Tax Service Office T1 Personal Income Tax Returns for David Lodge for 1991 through 1995 and T2 Corporate Income Tax Returns for 1991 through 1995 for Lodge &amp; Co. Project Management Limited (Exhibit 1, Tab 84). On February 19, 1997 Deloitte &amp; Touche sent the Vancouver Tax Service Office the T2 Corporation Income Tax Return for Lodge &amp; Co. Project Management Limited for the year ended January 31, 1996 (Exhibit 1, Tab 88). A February 18, 1997 request that Revenue Canada reconsider its position on "voluntary disclosure" in connection with Lodge &amp; Co. Project Management Limited (Exhibit 1, Tab 84) came to nothing (Exhibit 1, Tab 92).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March 6th, 1997 Deloitte &amp; Touche told David Lodge and Lodge &amp; Co. Project Management Limited, in effect, that by their calculations - and if one ignored the problem of "interest/penalty charges" - the fact was that David Lodge owed Revenue Canada $49,268.70 for personal income taxes and the corporation owed Revenue Canada $13,925 for corporate income taxes payable. Offsetting the total of these two items against a (non-refundable) GST credit in favour of and available only to the corporation, the number that dropped out was $19,954.67 (Exhibit 1, Tab 91).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Notice of Assessment of Income Tax payable by Lodge &amp; Co. Project Management Limited - all dated April 10, 1997 - for taxation years ended January 31, 1989, 1990, 1988, 1991, 1992, 1993, 1994, 1995, 1996 were received by David Lodge on or before April 14, 1997. He sent them to Deloitte &amp; Touche. (Exhibit 1, Tab 96). The total amount assessed was roughly $53,552 including penalties and interest to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April 1997 Deloitte &amp; Touche and David Lodge went through the usual process of having Deloitte &amp; Touche prepare a 1996 T1 Personal Income Tax Return and having David Lodge sign it and send it to Revenue Canada. (Exhibit 1, Tab 99, 97, 98 plus a bit of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December 1997 there was a telephone conversation between David Lodge and Tony Floor, an employee of Deloitte &amp; Touche. Tony Floor did not testify before me. This much is certain: Tony Floor told David Lodge that the amount owed in connection with his personal income taxes was in excessive of $90.000. It was in fact $90,564.22 as Revenue Canada confirmed in a letter to David Lodge dated January 28, 1998 (Exhibit 1, Tab 121).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February 1998 Deloitte &amp; Touche summarized the unhappy state of affairs in an internal memo. They calculated that David Lodge owed Revenue Canada roughly $92,000 and Lodge &amp; Co. Project Management Limited owed Revenue Canada roughly $42,000. They offset against the whole of it a "GST refund" of $43,000, which was in fact, according to the evidence placed before me at trial, available only to the corporation and even then available only as a credit against future GST payable by the corporation (Exhibit 1, Tab 122). Their calculations were sabotaged by an error in addition (See Exhibit 1, Tab 122, Page 1137). But it matters not for they never sent these calculations (including the false total of $118,699 and false net of $75,460) on to David Lodge.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or before March 23, 1998 the corporate plaintiff received what is referred to by David Lodge in a letter dated March 23, 1998 to Deloitte &amp; Touche as "...yet another tax demand from Revenue Canada, this time for our corporate taxes to the tune of $45,000 which we attach" (Exhibit 1, Tab 123). If that demand is itself before me in Exhibit 1 or Exhibit 2, I have missed it. But nothing turns on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relationship between the plaintiffs and Deloitte &amp; Touche was severed later in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this action the plaintiffs seek to shift to the defendants the loss said to have been suffered because of the fact David Lodge did not file T1's in a timely fashion, as reviewed earlier in these Reasons for Judgment, and because of the fact that no T2's were filed in a timely fashion, by the corporate plaintiff when required by the relevant provisions of the Income Tax Act. (Section 150 of that Act was drawn to my attention by both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plaintiffs' causes of action sound in contract and tort. By the end of the submissions of counsel at the end of the case what had been said to be a third basis for recovery - "fiduciary duty" - was abandoned. (Properly so: B.(K.L.) v. B.C. </w:t>
      </w:r>
      <w:hyperlink r:id="rId671" w:history="1">
        <w:r>
          <w:rPr>
            <w:rFonts w:ascii="arial" w:eastAsia="arial" w:hAnsi="arial" w:cs="arial"/>
            <w:i/>
            <w:color w:val="0077CC"/>
            <w:sz w:val="20"/>
            <w:u w:val="single"/>
            <w:shd w:val="clear" w:color="auto" w:fill="FFFFFF"/>
            <w:lang w:val="en-US" w:eastAsia="en-US" w:bidi="ar-SA"/>
          </w:rPr>
          <w:t>(2001), 87 B.C.L.R. (3d) 52</w:t>
        </w:r>
      </w:hyperlink>
      <w:r>
        <w:rPr>
          <w:rFonts w:ascii="arial" w:eastAsia="arial" w:hAnsi="arial" w:cs="arial"/>
          <w:color w:val="000000"/>
          <w:sz w:val="20"/>
          <w:lang w:val="en-US" w:eastAsia="en-US" w:bidi="ar-SA"/>
        </w:rPr>
        <w:t xml:space="preserve"> (B.C.C.A.)).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claim as presented at the end of the day - during the submissions of counsel for the plaintiffs - is as follows: David Lodge seeks compensatory damages in the amount of $88,102.55 by way of compensation for penalties and interest paid or payable to Revenue Canada, and aggravated damages of $25,000. The corporate plaintiff seeks: the return of funds paid to Deloitte &amp; Touche by the corporate plaintiff over the years ($8,294); $35,414.89 by way of compensation for penalties and interest paid to Revenue Canada; $272,250 by way of an assessment of lost profit said to have resulted from the failure to file T2's over the years; and punitive damages of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emphasize that I have made no attempt to parrot the evidence placed before me at trial or replicate what appears in the voluminous exhibits that are before me. I have not attempted to state all that went on between the plaintiffs and the defendants over the years that is not in dispute. I have structured these Reasons for Judgment thus far on the basis that the record is a given and that my quest is to reach what has proved to this trier of fact in this particular case to be the determinative issue in the case having outlined only sufficient of what is not controversial, the nature of the action, and the claim as presented by counsel at the end of the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Reasons for Judgment are prepared after a judge has decided the case. That is obvious but, with respect, often forgotten. Having decided the case prior to taking pen in hand with a view to writing a judgment, my task as a matter of law as I write this or any other judgment is, at most, as the Supreme Court of Canada had recently made dead, simple clear, to: "provide reasons for [my] ultimate decision", "reveal [my] ultimate rationale for deciding the case as [I] did." (R. v. Pan and Sawyer, </w:t>
      </w:r>
      <w:hyperlink r:id="rId672" w:history="1">
        <w:r>
          <w:rPr>
            <w:rFonts w:ascii="arial" w:eastAsia="arial" w:hAnsi="arial" w:cs="arial"/>
            <w:i/>
            <w:color w:val="0077CC"/>
            <w:sz w:val="20"/>
            <w:u w:val="single"/>
            <w:shd w:val="clear" w:color="auto" w:fill="FFFFFF"/>
            <w:lang w:val="en-US" w:eastAsia="en-US" w:bidi="ar-SA"/>
          </w:rPr>
          <w:t>[2001] S.C.J. No. 44</w:t>
        </w:r>
      </w:hyperlink>
      <w:r>
        <w:rPr>
          <w:rFonts w:ascii="arial" w:eastAsia="arial" w:hAnsi="arial" w:cs="arial"/>
          <w:color w:val="000000"/>
          <w:sz w:val="20"/>
          <w:lang w:val="en-US" w:eastAsia="en-US" w:bidi="ar-SA"/>
        </w:rPr>
        <w:t>, 2001, para. 44.)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case hinges on an acceptance by me as the trier of fact, after having considered the whole of the evidence together, of the proposition that David Lodge was lulled into both not discharging his obligation in law to file personal tax returns and into failing to see that his corporation's tax returns were filed when and as required by law because of the nature and/or content of his relationship with Deloitte &amp; Touche and, more specifically, Robert Thomson.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That in turn devolves to this: Recognizing that any subjectively entertained belief by David Lodge that all of his and the corporation's potential problems with Revenue Canada and the Income Tax Act had been taken on by Deloitte &amp; Touche is irrelevant as a matter of law absent evidence that the plaintiffs went beyond simply retaining Deloitte &amp; Touche as their accountants and engaging them to do specific things [such as David Lodge's 1987 and 1988 personal tax returns - examination for discovery of David Lodge October 19/01 questions 23 and 24 adopted as true by David Lodge during his cross-examination before me] and in fact gave Deloitte &amp; Touche, through Robert Thomson, plenary instructions - which plenary instructions were accepted by Deloitte &amp; Touche - the plaintiffs' case must fall to the ground (Midland Bank Trust Company Limited v. Hett, Stubbs and Kemp (a firm), [1978] 3 All. E.R. 571 (Ch. Div.), the plaintiffs take the position that during the course of the relationship between the plaintiffs and Deloitte &amp; Touche, Robert Thomson assured David Lodge more than once that all things were well with Revenue Canada at times when I find any accountant, including Robert Thomson, would have known they were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Anything is possible. But in applying Faryna v. Chorny </w:t>
      </w:r>
      <w:hyperlink r:id="rId312" w:history="1">
        <w:r>
          <w:rPr>
            <w:rFonts w:ascii="arial" w:eastAsia="arial" w:hAnsi="arial" w:cs="arial"/>
            <w:i/>
            <w:color w:val="0077CC"/>
            <w:sz w:val="20"/>
            <w:u w:val="single"/>
            <w:shd w:val="clear" w:color="auto" w:fill="FFFFFF"/>
            <w:lang w:val="en-US" w:eastAsia="en-US" w:bidi="ar-SA"/>
          </w:rPr>
          <w:t>(1951), 4 W.W.R. (N.S.) 171</w:t>
        </w:r>
      </w:hyperlink>
      <w:r>
        <w:rPr>
          <w:rFonts w:ascii="arial" w:eastAsia="arial" w:hAnsi="arial" w:cs="arial"/>
          <w:color w:val="000000"/>
          <w:sz w:val="20"/>
          <w:lang w:val="en-US" w:eastAsia="en-US" w:bidi="ar-SA"/>
        </w:rPr>
        <w:t xml:space="preserve"> at 174-175 to what confronts me here, I begin by noting how unlikely it is that an accountant, for no apparent reason, would assure his client of what he would know to be both false and unlikely to remain hidden.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Next I consider such things as this: It is a fact that in January 1993, for reasons related to the leasing of a vehicle by the corporate plaintiff, Robert Thomson sent David Lodge, amongst other things, a "Lodge &amp; Co. Project Management Limited Balance Sheet as at January 31st, 1992 " which states on the face of it that "Income taxes payable" for 1992 are $8,921 and for 1991 are $4,831. (Exhibit 1, Tab 24, p. 634). Deloitte &amp; Touche's internal documentation says, in effect, that Robert Thomson reviewed the document with David Lodge (Exhibit 1, Tab 24, p. 639). Those facts are sufficient to cause this trier of fact to turn his gaze towards David Lodge without even taking into account Robert Thomson's evidence on this narrow point. And what is heard from David Lodge on this point? Evidence of something that could be accurate - for anything is possible - but most unlikely to be true. The thrust of what David Lodge says on the narrow point under consideration now is that in January 1993 he may have been 48 years of age, a man who had been by then an independent businessman for at least three years, a man whose one-man operation involved financial considerations right and left as he went about bidding on construction jobs and retaining and paying sub-trades, but, assuming he did read in January 1993 what the financial statements had to say (as above), he did not grasp that his corporation had income tax payable for 1992 and 1991.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Next I move to an incident that occurred in March 1993. David Lodge says that he arranged to meet Robert Thomson in Victoria. David Lodge and his wife went to Victoria. David Lodge and his wife both told me that David Lodge went off for a meeting with Robert Thomson at his office. I accept that he did. David Lodge's wife went shopping. David Lodge and his wife both say that when the three of them - Mr. and Mrs. Lodge and Robert Thomson - had lunch together after the meeting (and the shopping) were over, Robert Thomson, by word and gesture and acknowledgement of what David Lodge said in Mrs. Lodge's presence, confirmed that "everything is fine with Revenue Canada". Robert Thomson does not recall any such exchange at lunch and, in effect, says that if anything of that kind or sort was discussed it must have related to ongoing back and forth about GST. [As to which there is much material in the exhibits, including Exhibit 1, Tab 22 - November 1992].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exchange at lunch in March - if it occurred - takes on a meaning that is relevant to this action - actually crucial to this action - only if I accept the evidence of David Lodge - for there is no other evidence that tends to support the proposition - that the exchange at lunch was a cryptic reference to the fact that (says David Lodge) at the meeting between David Lodge and Robert Thomson earlier that day there was a crystal clear statement by Robert Thomson that meant, and could only mean, that Robert Thomson was telling David Lodge that both he and his corporation were, as of that date, in complete compliance with the Income Tax Act and nothing was due or payable by David Lodge as an individual or by his corporation to Revenue Canada by way of income tax. [Robert Thomson says, in effect, that he does not even recall the meeting].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note here that David Lodge says, in effect, that assurances of the same kind - described by him by the use of language such as "tax holiday" - were made by Robert Thomson perhaps as many as six additional times. But as to each alleged occasion other than the March 1993 lunch the conversations were long distance telephone calls - and no records connected with any such long distance telephone calls have been produced by David Lodge - and involved only David Lodge and Robert Thomson.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could go on and pile detail upon detail. But I see no point in doing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Before taking pen in hand and having considered the whole of the evidence together and kept firmly in mind that the onus on a plaintiff is only to prove his, or its, case on a balance of probabilities, I decided, as the trier of fact, that absent a decision by me that the plaintiff David Lodge is a reliable witness, a witness upon whom I am prepared to rely in resolving the crucial issues of fact that bottom the plaintiffs' attempt to establish that as between the plaintiffs and Deloitte &amp; Touche it was Deloitte &amp; Touche's responsibility - without prompting by David Lodge - to keep both plaintiffs' income tax skirts clean with Revenue Canada, the evidence - taken as a whole I emphasize - could not tip the scales in favour of either of the plaintiffs. And as the trier of fact I found David Lodge to be a man whose credibility as a witness was utterly destroyed during 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will give some examples of what bottomed that conclusion by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David Lodge was cross-examined on the content of a letter of his dated December 30, 1997 to Deloitte &amp; Touche (Exhibit 1, Tab 114). In the letter he made assertions of fact, assertions of fact that as of the moment he was writing the letter had to be known by him to be true or false. When confronted on cross-examination with what he had asserted in the letter as fact, it became clear, and I so find, that David Lodge had lied in the letter.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David Lodge was cross-examined on what he said in an affidavit filed in this action and dated July 13, 1999. There he said under oath, amongst other things, "I was advised at various times by Robert Thomson that all required financial statements, income tax returns and required tax filings had been prepared </w:t>
      </w:r>
      <w:r>
        <w:rPr>
          <w:rFonts w:ascii="arial" w:eastAsia="arial" w:hAnsi="arial" w:cs="arial"/>
          <w:color w:val="000000"/>
          <w:sz w:val="20"/>
          <w:u w:val="single"/>
          <w:lang w:val="en-US" w:eastAsia="en-US" w:bidi="ar-SA"/>
        </w:rPr>
        <w:t>and filed</w:t>
      </w:r>
      <w:r>
        <w:rPr>
          <w:rFonts w:ascii="arial" w:eastAsia="arial" w:hAnsi="arial" w:cs="arial"/>
          <w:color w:val="000000"/>
          <w:sz w:val="20"/>
          <w:lang w:val="en-US" w:eastAsia="en-US" w:bidi="ar-SA"/>
        </w:rPr>
        <w:t>". (Emphasis added). He admitted in cross-examination before me that that was not true, that it was the exact opposite of what he had told me under oath at trial. He was given an opportunity to explain. He could not. In fact, he said "I can't explain it." The point (as above) on which he had said one thing under oath in 1999 and the opposite before me under oath at trial was the exact opposite of something peripheral to the litigation. When the affidavit was revisited during re-examination of David Lodge nothing occurred that made things less bleak for David Lodge as a witness in the eyes of this trier of fact. The fact that what he said under oath in 1999 would, if true, put his case in a better position than what he said under oath at trial does not, in my assessment as the trier of fact, take the sting out of the fact that it is obvious David Lodge is one who flat out lies under oath when it suits his purpose of the moment.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What I have offered are simply brief statements of some of the things that, taken together, to me as the trier of fact in this particular case, at the end of the day destroyed the credibility of David Lodge as a witness not just on the specific points at issue but generally. He is a witness upon whom I am not prepared to rely in connection with anything that matters.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follows ineluctably from what I said earlier in these Reasons for Judgment that the claim of both David Lodge and Lodge &amp; Co. Project Management Limited must, and does, stand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face of it costs follow the event, Scale 3. Counsel may arrange to appear before me in connection with the issue of costs if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note for the sake of completeness that I decided that this is not a case for exercising my discretion in favour of making findings "in the alternative". Any such decision by a trial judge is case specific and involves the exercising of a discretion. Some of the common sense points that a judge must consider in exercising his or her discretion are outlined by Mr. Justice Bouck in Caplan Builders Ltd., Caplan and Caplan v, Royal Bank of Canada </w:t>
      </w:r>
      <w:hyperlink r:id="rId673" w:history="1">
        <w:r>
          <w:rPr>
            <w:rFonts w:ascii="arial" w:eastAsia="arial" w:hAnsi="arial" w:cs="arial"/>
            <w:i/>
            <w:color w:val="0077CC"/>
            <w:sz w:val="20"/>
            <w:u w:val="single"/>
            <w:shd w:val="clear" w:color="auto" w:fill="FFFFFF"/>
            <w:lang w:val="en-US" w:eastAsia="en-US" w:bidi="ar-SA"/>
          </w:rPr>
          <w:t>(1988), 25 B.C.L.R. (2d) 335</w:t>
        </w:r>
      </w:hyperlink>
      <w:r>
        <w:rPr>
          <w:rFonts w:ascii="arial" w:eastAsia="arial" w:hAnsi="arial" w:cs="arial"/>
          <w:color w:val="000000"/>
          <w:sz w:val="20"/>
          <w:lang w:val="en-US" w:eastAsia="en-US" w:bidi="ar-SA"/>
        </w:rPr>
        <w:t xml:space="preserve"> (B.C.S.C.), appeal dismissed June 8, 1989 (B.C.C.A.). I have applied what Mr. Justice Bouck had to say there to what is thrown up by this particular case. In my respectful view the basis upon which I have found against the plaintiffs (as above) makes this case totally unsuitable for findings "in the alternative").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STEWART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Strata Plan NES33 v. Westshore Developments Ltd., [2015] B.C.J. No. 1582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Groves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 and May 27-28,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24124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Cranbrook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1582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57 R.P.R. (5th) 231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257 A.C.W.S. (3d) 475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2179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NES33, Petitioner, and Westshore Developments Limited, The Owners, Strata Plan NES47,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0" w:name="Keywords_38"/>
      <w:bookmarkEnd w:id="250"/>
      <w:r>
        <w:rPr>
          <w:rFonts w:ascii="arial" w:eastAsia="arial" w:hAnsi="arial" w:cs="arial"/>
          <w:b/>
          <w:color w:val="000000"/>
          <w:sz w:val="20"/>
          <w:lang w:val="en-US" w:eastAsia="en-US" w:bidi="ar-SA"/>
        </w:rPr>
        <w:t>Real property law — Interests in land — Easements — By implication — By implied grant — Petition by Strata Plan owners for declaration of easements over access road and sewer line located on respondent's adjoining land allowed — Petitioner entitled to easements under equitable doctrine of non-derogation of grant and proprietary estoppel — Original owner intended to grant easement to petitioner — Respondent knew of deficiency at time it purchased its property — Easement necessary for reasonable enjoyment of petitioner's property — Westshore, by words or conduct, also encouraged petitioner to believe Westshore did not intend to rely on its strict rights by plowing roadway for many years and accepting reimbursement from petitioner for clearing.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1" w:name="Case Summary_33"/>
            <w:bookmarkEnd w:id="2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Strata Plan owners for a declaration of easements over an access road and sewer line located on properties adjoining the petitioner's land owned by the respondent. The Development Corporation owned a large property. It then granted a portion of that property to the petitioner for its use as strata units, including motel units on the ground floor. The Development Corporation retained the remainder of its larger property for its own use which was subsequently sold to the respondent Westshore. Westshore was the strata and rental manager for both the respondent and petitioner strata properties until 2001. When Westshore ceased its role as strata and rental manager, Westshore erected a private property sign at the entrance to the access roadway. The roadway continued to be used as an access point and parking location. Westshore then erected cement barricades along the edges of the roadway which blocked all parking access from the roadway. The Development Corporation clearly intended to grant an easement to the petitioner. It paved the road to allow access over a sewer line on property that it continued to own and an easement plan was drawn up. Prior to its purchase of the property, Westshore was aware of the roadway and sewer line irregularities and that these had resulted from the Development Corporation's failure to formalize the intended easements. Due to these irregularities, Westshore was able to purchase the property at a reduced price.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2" w:name="Holdings of Court_26"/>
            <w:bookmarkEnd w:id="252"/>
            <w:r>
              <w:rPr>
                <w:rFonts w:ascii="arial" w:eastAsia="arial" w:hAnsi="arial" w:cs="arial"/>
                <w:color w:val="000000"/>
                <w:sz w:val="20"/>
                <w:lang w:val="en-US" w:eastAsia="en-US" w:bidi="ar-SA"/>
              </w:rPr>
              <w:t>HELD: Petition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petitioner was entitled to the easements under both the equitable doctrine of non-derogation of grant and proprietary estoppel. Both the roadway access and sewer line were of such a nature that they could form the subject of an easement. A functioning sewage line at the appropriate elevation was necessary for the reasonable enjoyment of the property as contemplated. At the time that the Development Corporation granted a portion of its larger property to the petitioner, the roadway and sewer line were in place and were being used by the Development Corporation for the benefit of the petitioner. Road access combined with proximate parking would have been, and was still, necessary to the reasonable enjoyment of the motel units as contemplated. Westshore was under notice as to the outstanding easements and obtained a benefit as a result of them. To now deny those rights amounted to a lack of bona fides and a fraud, and therefore the easements were binding on Westshore. Westshore, by words or conduct, also encouraged the petitioner to believe that Westshore did not intend to rely on its strict rights by plowing the roadway for many years and by accepting reimbursement from petitioner for the clearing of the roadway. The petitioner relied on Westshore's encouragement to its detriment. It would be inequitable to then allow Westshore to assert its rights so as to deprive the petitioner passage over the roadway and sewage line usage. The balance of convenience favoured granting the requested easements. It was constant with equity to grant a reciprocal easement in favour of Westshore over those portions of the roadway, though not the parking areas, that were located on the petitioner's lands and that also adjoined Westshore's lands.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3" w:name="Legislation Cited_30"/>
      <w:bookmarkEnd w:id="2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6"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Land Title Act, </w:t>
      </w:r>
      <w:hyperlink r:id="rId681" w:history="1">
        <w:r>
          <w:rPr>
            <w:rFonts w:ascii="arial" w:eastAsia="arial" w:hAnsi="arial" w:cs="arial"/>
            <w:i/>
            <w:color w:val="0077CC"/>
            <w:sz w:val="20"/>
            <w:u w:val="single"/>
            <w:shd w:val="clear" w:color="auto" w:fill="FFFFFF"/>
            <w:lang w:val="en-US" w:eastAsia="en-US" w:bidi="ar-SA"/>
          </w:rPr>
          <w:t>RSBC 1996, CHAPTER 250, s. 29</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Property Law Act, </w:t>
      </w:r>
      <w:hyperlink r:id="rId682" w:history="1">
        <w:r>
          <w:rPr>
            <w:rFonts w:ascii="arial" w:eastAsia="arial" w:hAnsi="arial" w:cs="arial"/>
            <w:i/>
            <w:color w:val="0077CC"/>
            <w:sz w:val="20"/>
            <w:u w:val="single"/>
            <w:shd w:val="clear" w:color="auto" w:fill="FFFFFF"/>
            <w:lang w:val="en-US" w:eastAsia="en-US" w:bidi="ar-SA"/>
          </w:rPr>
          <w:t>RSBC 1996, CHAPTER 377, s. 36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4" w:name="Counsel_39"/>
      <w:bookmarkEnd w:id="2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J.A. Bird.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J.A. Hall.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5" w:name="Judgment_39"/>
      <w:bookmarkEnd w:id="255"/>
      <w:r>
        <w:pict>
          <v:line id="_x0000_s1218"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6" w:name="J.R. GROVES J."/>
            <w:bookmarkEnd w:id="256"/>
            <w:r>
              <w:rPr>
                <w:rFonts w:ascii="arial" w:eastAsia="arial" w:hAnsi="arial" w:cs="arial"/>
                <w:b/>
                <w:color w:val="000000"/>
                <w:sz w:val="30"/>
                <w:lang w:val="en-US" w:eastAsia="en-US" w:bidi="ar-SA"/>
              </w:rPr>
              <w:t>J.R. GROVES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petition was filed on July 14, 2014, and was initially heard before me in Cranbrook on March 12, 2015, and continued on May 27-28,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 seeks a declaration of easements for the benefit of all the owners of Strata Plan NES33 ("Silver Birch Strata") over an access road and sewer line located on properties adjoining the petitioner's land. The adjoining properties are owned by the respondent Westshore Developments Limited ("Westshore") and the owners of Strata Plan NES47 ("Mountain Edge Strata"). I am advised that Mountain Edge Strata has since agreed to enter into an easement agreement with the petitioner and so only the Westshore dispute remains before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relief is sought pursuant to three equitable principles and alternatively under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R.S.B.C. 1996, c. 377, s. 36</w:t>
        </w:r>
      </w:hyperlink>
      <w:r>
        <w:rPr>
          <w:rFonts w:ascii="arial" w:eastAsia="arial" w:hAnsi="arial" w:cs="arial"/>
          <w:color w:val="000000"/>
          <w:sz w:val="20"/>
          <w:lang w:val="en-US" w:eastAsia="en-US" w:bidi="ar-SA"/>
        </w:rPr>
        <w:t>. The petition also sought an interim and permanent injunction, though it appears that interim relief was never applied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Relevant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factual history is somewhat complex. The petitioner, Silver Birch Strata, is a strata corporation that was registered in 1981. At the time, the developer of the Silver Birch Strata (the "Development Corporation") owned a large parcel of land, part of which is now Silver Birch Strata, part of which is now Mountain Edge Strata, and the remainder of which is now owned by Westshore.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they now exist, the lots owned by Silver Birch Strata and Mountain Edge Strata are fully developed while the lots owned by Westshore, Lot 1 and Lot 2, remain undeveloped.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geographical relationship between these properties is of some importance. Silver Birch Strata, Lot 1 and Lot 2 are located next to each other with Silver Birch Strata to the west, Lot 1 in the centre and Lot 2 to the east. All three properties abut Dogwood Drive, a city owned road, on their southern edges.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Mountain Edge Strata is to the north of the other three properties and does not abut any road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Instead, two roads run north from Dogwood Drive, one between Silver Birch Strata and Lot 1, and one between Lot 1 and Lot 2. Both roads ultimately meet on Mountain Edge Strata property, forming an irregular loop. The eastern-most road, beside Lot 2, is the main access point to Mountain Edge Strata. This western-most road, beside Silver Birch Strata, is the subject of this petition and portions of it are located on each of Lot 1, Silver Birch Strata property and Mountain Edge Strata property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portion of the Roadway that runs adjacent to Silver Birch Strata and over Lot 1, corresponds with the impugned 530 square meter easement (the "Lot 1 Portion"). On Silver Birch Strata land next to the Roadway are a series of gravel parking places that partially intrude onto Lot 1. Running under the Roadway is an unregistered sewage line that serves Silver Birch Strata. The petitioner also seeks an easement for parking purposes and for this sewage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other words, though I am no doubt describing this in a very poor fashion, Westshore's Lot 1 is an approximate 1.3 acre, or 5,286 square meter, parcel which is not quite square and in fact looks like a bread slice. If one considers Lot 1 to be the bread slice with the rounded part oriented up to the north and the bottom edge oriented along Dogwood Drive to the south, running up the bread slice to the left is the property owned by Silver Birch Strata. Across the top of the bread slice is the property owned by Mountain Edge Strata. On the right side of the bread slice is Lot 2. Again, using perhaps inappropriately the bread slice analogy, there is a road that essentially runs the remaining perimeter of the bread crust. The part of this road that runs along the right (east) and along the top (north) of the bread slice is the access road for Mountain Edge Strata. The impugned easement is over the road that runs along the left (west) side of the bread slice.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Development of the Properties and History of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Events during the development of these properties are also of some significance. Silver Birch Strata was initially a two phase development, or so it appears. Nothing turns on that. The number of units has changed over time due to consolidations that I will discuss later. All Silver Birch Strata units were sold in 1981-1983, some have since been resold.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the initial sale, there were a number of units that faced east over the Lot 1 Portion of the Roadway. These units were marketed as, and I will refer to them as, motel units. These motel units are basically basement premises that are separated from the larger upper units by a locked door. They are much akin to a motel or hotel room in that they are small, and they were initially built with a washroom and sleeping area, but no cooking or laundry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rest of the Silver Birch Strata units consist of larger sized units with the usual condominium facilities, such as kitchens and defined bedrooms and living areas. There is one larger unit above each motel unit, with a connecting door. The larger units all face the opposite direction, onto an access road called Dewdney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Initially, eight of the 18 motel units were purchased by separate owners than the corresponding upper unit. However, over time, many of the motel units have been consolidated with the larger upper units, I am advised for tax purposes. Two motel units held under separate title remain. Both units, as with all the motel units, face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noted earlier, when Silver Birch Strata was first developed, it was developed on one large piece of property. Due to elevation considerations, a portion of the Silver Birch Strata sewer line was installed on what is now Lot 1, and runs under the Lot 1 Portion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Mountain Edge Strata, to the North, was initially developed in 1982 and was conceived, at that time, as a four phased development. Two of the phases were completed and have become what I have been referring to as the Mountain Edge Strata. The third and fourth phase of the original plan were started, in the sense that footings were poured, but even at this late date, some 30 years later, have not yet been completed and have become what I have been referring to as Lot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would appear that in at some point in 1987, the Development Corporation was foreclosed upon by the Royal Bank of Canada. At the time, the Development Corporation was of course aware that the Silver Birch Strata easements over the Lot 1 Portion of the Roadway were still outstanding and the foreclosing bank was also made aware of this issue. The then president of Silver Birch Strata deposed that he had entered negotiations with the Royal Bank and Mountain Edge Strata for a joint venture that would have provided both stratas with a club complex located on a jointly-owned portion of Lot 1. As part of this plan, the City of Kimberly required that the road and sewer easements be formally registered. Plans for the easements were drawn up; however, the Royal Bank chose not to proceed with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Westshore purchased what is now Lot 1, Lot 2 and 40 of the 44 Mountain Edge Strata units from the Royal Bank of Canada in December 1989. It is suggested by counsel for the petitioner that Westshore used the easement deficiencies as a means of obtaining the best price possible for the remaining properties. Westshore confirms that it was able to reduce the purchase price from $900,000 to $700,000. There is no direct confirmation as to the exact basis on which this reduction was obtained, though the petitioner's suggestions were not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there were no registered easements in favour of Silver Birch Strata on title for Lot 1 in 1989, there can be no doubt that Westshore had known about the Roadway and the unregistered sewer line. This is clear because one of the principles of Westshore, Mr. Lau, owned both an upper and a motel unit in Silver Birch Strata prior to Westshore purchasing the lands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Lau deposed in his affidavit that he became aware of the unregistered sewer line and Roadway as part of his research into the property prior to purchasing his Silver Birch Strata units in 1988. He further noted that he was made aware of the financial difficulties at the neighbouring developments, as well as the proposed club complex joint venture, at his first strata meeting. At that point, he identified the neighbouring properties as a potential investment opportunity. He then sold both of his Silver Birch Strata units just prior to the closing of the sale between the Royal Bank and the newly incorporated Westshore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are some allegations that Mr. Lau used his motel unit as a sales centre for the as yet unsold Mountain Edge Strata units; however, he deposed that he did not use his unit in this way and I consider that that use would be inconsistent with when the Silver Birch Strata units were sold and when the Westshore sale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Upon taking ownership of Mountain Edge Strata, Westshore submitted a December 1989 disclosure statement to the Superintendent of Real Estate for British Columbia, which acknowledged the irregularities: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paved driveway from Dogwood Drive provides access to the project. The driveway will be maintained by the Strata Corporation and Dogwood Drive will be maintained by the municipality. There are some difficulties with encroachments on the access to the project and it is the intention of the developer to negotiate with an adjacent condominium project to regularize the access to the project by entering reciprocal agreements and trading parts of adjacent parcels of land which will remain in the ownership of the developer with the Strata Corporation to ensure proper legal access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Westshore was the strata and rental manager for Mountain Edge Strata from 1990 until 2001 and for Silver Birch Strata from 1994 until 2001. During this time, Westshore was paid between $10,000 and $13,000 a year for its services to Silver Birch Strata. Since the properties were marketed as investment properties, the rental manager was responsible for arranging third party rentals of both the upper units and the motel units. During the winters, Westshore arranged for, and the two stratas paid for, snow clearing on the Roadway. It is undisputed that Westshore did not expend any of its funds in clearing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2001, when Westshore ceased in its role as strata and rental manager, Mr. Lau deposed that Westshore erected a private property sign at the entrance to the Roadway. He also deposed that that sign was removed multiple times by unknown persons, in which instances it was replaced. This is disputed. Silver Birch Strata owners and the current property manager have deposed that they first saw this sign in late 2014. What is clear is that the Roadway continued to be used as an access point and parking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2005, Silver Birch Strata commissioned a survey of its property. This survey was aimed at resolving a dispute related to the northern edge of the property. It revealed that the Roadway was not entirely on Silver Birch Strata lands; however, the president of the strata deposed that this was not identified as a concern based on the understanding that the long history of use without issues being raised meant that there must have been an easement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2009, Westshore raised the issue of the "unresolved issues" related to the Roadway and sewer line in a letter to Silver Birch Strata. This appears to be the first documented time that Westshore had raised the issue. A series of meetings followed, and the minutes of the early meetings reflect a willingness on Westshore's part to negotiate easements so long as liability issues were resolved. It appears to be of particular concern that once management of the stratas shifted to another entity, Westshore was unable to obtain liability insurance for only one portion of the Roadway. Ultimately, the parties could not come to an agreement on the issue of parking in spaces along the Silver Birch Strata edge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issue of parking, Mr. Lau, on behalf of Westshore, deposed to the fact that Westshore had always discouraged parking along the Roadway, especially in the winter due to concerns over falling ice and snow. However, there is evidence that the property manager, a position filled by Westshore for many years, arranged for both the Roadway and the parking spaces to be cleared of snow every year up until 2013. Further, the evidence of the Silver Birch Strata owners was that they were not aware that any attempt had been made to restrict parking access during the time that Westshore managed the properties or afterwards until this dispute arose. The current property manager deposed that he was unaware of any parking restrictions, regardless of season, and that motel unit users regularly parked off of the Roadway up until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2013, Westshore advised Silver Birch Strata that access to the Roadway would be physically restricted and that in one years' time the sewage line would be decommissioned. Westshore then erected cement barricades along the edges of the Roadway. These barricades blocked all parking access from the Roadway. Over that winter, Mountain Edge Strata paid for all of the snow plowing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Original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 1980 disclosure statement sent to the Superintendent of Real Estate for British Columbia, the Development Corporation indicated that sewage connections would be completed by the 1981 completion date. From this, in combination with the necessary nature of the sewage line, I conclude that the sewage line was in place at the time of Silver Birch Strata's initial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regards to the Roadway, Westshore identifies some evidence as suggestive of the fact that the Roadway was never intended as an access road for the motel units. In particular, the 1980 disclosure statement identifies only Dewdney Way as "providing access to the project" and fails to identify any intended easements related to the development. Further, the development permit exhibited to the disclosure statement had as a requirement that the developer "will construct a children's play area adjacent to the Private Driveway to the rear (east side) of units 27 to 38", which if it had been built would have covered at least some of the parking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Mr. Weitemeyer, one of the original purchasers of a both an upper unit and a motel unit, deposed to the existence of the Roadway at the time of his purchase and to its use at that time, and since, as an access point for the motel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Lot 1 Portion of the Roadway is a paved road running over the sewage line. Adjacent to it is a gravel strip of varying widths, on which a car could fit. Placing the time of the construction of the Roadway with that of the rest of the strata development is consistent with Mr. Weitemeyer's evidence, with the lack of any other evidence as to who, if not the Development Corporation, would have built and paved the road and with the nature of the motel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should say as well that the motel units were clearly designed to be strictly that. They did not have cooking facilities or laundry facilities. They were simply rooms with a bathroom. One of the two remaining existing motel units, for what it is worth, has been converted into a full suite with kitchen and laundry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satisfied that access to the motel units, by the nature of the development, included a provision for parking. Two parking spaces are available off Dewdney Way in covered driveways at the front of each of the larger upper units; however, there was no provision on that road for parking for the motel units. Instead, the images before the court show that the external doors to the motel units open onto a small landscaped strip that is separated by a permanent curb from the gravel area used for parking adjacent to Roadway. One of the motel unit owners deposed to the fact that prior to 2013, he, or his tenants, formerly parked on that gravel area and that at the time of his original purchase in 1999, he was unaware that this access point amounted to an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Further, as they are designed as motel units, there would be an expectation that people would be coming and going more so than perhaps owners of traditional strata units. This expectation is particularly supported by the fact that there are no cooking facilities in the motel units and so residents would need to leave frequently if only to eat. In short, the design is such that there is simply no place for motel unit occupants to park other than in front of their units. Parking in front of the motel units, off the Lot 1 Portion of the Roadway, has always required some combination, depending on the unit, of parking on Silver Birch Strata's property and Lot 1 property. Clearly, it must have been anticipated by the original Development Corporation that vehicle access near the door entrances to these motel units was important, in that he created the Roadway over the lands he then owned for access to these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also clear on the facts before me that the Development Corporation always intended to register an easement in favour of Silver Birch Strata over the lands that are now Lot 1, both for the purposes of the sewer and for the purposes of the access to and parking beside the motel units. As discussed above, Mr. Lau noted that he became aware of the easement irregularities prior to purchasing his strata units based on a June 29, 1982 resolution "to have development site to East of our strata Corp. boundary subdivided and have the appropriate easements in place". After the Royal Bank assumed ownership, the strata's May 7, 1988 minutes comment that while the strata's attempts in this regard are still "in limbo", plans for the easements had been drawn up. So there is evidence of an ongoing discussion with the Development Corporation in which easements were clearly being contemplated as part of the Lot 1 development plans, development plans which did not progress to completion due to the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Factual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this somewhat lengthy history there are a number of factual conclusions that can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First off, the original developer clearly intended to grant an easement to Silver Birch Strata. He paved the road to allow access over a sewer line on property that he continued to own. He was in negotiations with Silver Birch Strata prior to his financial difficulties for this easement and an easement plan was drawn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Second, Westshore knew about this deficiency. Its principal owned one of the motel units in Silver Birch Strata. In that sense, he benefited from the Roadway. I am satisfied on the evidence that he had knowledge of this deficiency when he negotiated the purchase with the Royal Bank of Canada and, as it is not expressly denied, I accept that he obtained a reduced price for the land based on the need to deal with this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Thirdly, and though I did not mention it earlier, the City of Kimberly Fire Department has a desire in maintaining the Roadway for the purposes of fire access to Silver Birch Strata, potentially Mountain Edge Strata, and potentially any new development that may occur on Lot 1. Though I agree that Westshore could make arrangements with the City for additional installations of water services in the course of Lot 1's development, if it does, the evidence before me suggests that the City of Kimberly none-the-less prefers a ring-type road to allow greater access for fire safety. At present, the Fire Chief has deposed that there are three hydrants in the area and that a fire engine would need to use the Roadway should all three be required for a fire. Westshore has deposed that while it plans to erect a barrier that would close all access to the Roadway, keys to the barrier would be left with the fire department should it need to 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Fourth, Westshore has not been diligent in asserting its rights. When it bought the land in 1989, it made no complaint about the known encroachment. When it was in the process of selling the Mountain Edge Strata units and this road was apparent, and perhaps of benefit in completing sales, it did nothing about it. This can be concluded by reference to the commitment made in the December 1989 disclosure statement noted earlier. When it was the property manager for Silver Birch Strata, it made no effort in that capacity to regularize the operation. In fact, the evidence shows that for a period of over 20 years Westshore did nothing about this encroachment. It let the residents of Silver Birch Strata use the Lot 1 Portion of the Roadway for access and parking and it permitted the sewer line to run on its property, all of which benefited Silver Birch Strata.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petitioner requests an easement over the Lot 1 Portion of the Roadway for the purpose of access, parking and continued sewer line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petitioner firstly submits that it is entitled to the requested easements without the payment of compensation by virtue of the equitable doctrines of non-derogation of grant, proprietary estoppel and/or common intent. In the alternative, the petitioner submits that it is entitled to the requested easements upon payment of the appropriate compensation by virtue of s. 36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Westshore argues that the petitioner has not made out its case under any of the equitable doctrines plead or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It makes detailed submissions relevant each of the plead grounds for relief, which I will discuss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arguments before this Court, Westshore took the position that it is willing to grant an easement for the sewer line upon payment of compensation and assurance that certain conditions are in place. It is not willing to grant an easement over the Lot 1 Portion of the Roadway, particularly for the purpose of parking, due to winter safety and access concerns as well as concerns related to the impact of such an easement on future development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issue before this Court is whether Silver Birch Strata is entitled to any easements over Westshore's property and if so, what compensation, if any, is payable. I will discuss the law and facts relevant to each of the plead basis for relief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have concluded that Silver Birch Strata is entitled to its requested easements without payment to Westshore under both the equitable doctrine of non-derogation of grant and proprietary estoppel. I have also concluded, that even were that not the case, the balance of convenience favours granting Silver Birch Strata's easements upon payment of $10,000 under s. 36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Non-derogation of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doctrine of non-derogation of grant is a long-standing common-law doctrine that, simply stated, may apply where a portion of lands was granted and the reasonable enjoyment of that portion is dependent on an implied easement over the portion retained: Jonathan Gaunt &amp; The Honourable Mr. Justice Morgan, eds. </w:t>
      </w:r>
      <w:r>
        <w:rPr>
          <w:rFonts w:ascii="arial" w:eastAsia="arial" w:hAnsi="arial" w:cs="arial"/>
          <w:i/>
          <w:color w:val="000000"/>
          <w:sz w:val="20"/>
          <w:lang w:val="en-US" w:eastAsia="en-US" w:bidi="ar-SA"/>
        </w:rPr>
        <w:t>Gale on Easements</w:t>
      </w:r>
      <w:r>
        <w:rPr>
          <w:rFonts w:ascii="arial" w:eastAsia="arial" w:hAnsi="arial" w:cs="arial"/>
          <w:color w:val="000000"/>
          <w:sz w:val="20"/>
          <w:lang w:val="en-US" w:eastAsia="en-US" w:bidi="ar-SA"/>
        </w:rPr>
        <w:t>, 19th ed. (London, U.K.: Sweet &amp; Maxwell, 2012) at para. 3-32.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Babine Investments Ltd. v. Prince George Shopping Centre Ltd.</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2002 BCCA 289</w:t>
        </w:r>
      </w:hyperlink>
      <w:r>
        <w:rPr>
          <w:rFonts w:ascii="arial" w:eastAsia="arial" w:hAnsi="arial" w:cs="arial"/>
          <w:color w:val="000000"/>
          <w:sz w:val="20"/>
          <w:lang w:val="en-US" w:eastAsia="en-US" w:bidi="ar-SA"/>
        </w:rPr>
        <w:t>, the majority of the court affirmed the continued applicability of the doctrine in British Columbia but in a somewhat restricted manner. This case considered the issue of whether an implied easement existed over a lane on lot 1 for the benefit of tenants on lot 3. Both lots had once been owned by the same landlord and lot 3 tenants had used the lane for access, parking and dumpster use. However, shortly after lot 3 had been purchased by a new landlord, a lot 1 tenant fenced off access to the lane. The majority upheld the requested easement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 I am satisfied the doctrine of non-derogation from grant is not necessarily inconsistent with the British Columbia land registration system in this province and survives to the extent it is not abrogated by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That means the doctrine applies as between a grantor and grantee, but cannot affect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Moreover, I am persuaded the relevant date for the implication of an easement is the date of the grant of land the right accommodates.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majority in </w:t>
      </w:r>
      <w:r>
        <w:rPr>
          <w:rFonts w:ascii="arial" w:eastAsia="arial" w:hAnsi="arial" w:cs="arial"/>
          <w:i/>
          <w:color w:val="000000"/>
          <w:sz w:val="20"/>
          <w:lang w:val="en-US" w:eastAsia="en-US" w:bidi="ar-SA"/>
        </w:rPr>
        <w:t>Babine Investments</w:t>
      </w:r>
      <w:r>
        <w:rPr>
          <w:rFonts w:ascii="arial" w:eastAsia="arial" w:hAnsi="arial" w:cs="arial"/>
          <w:color w:val="000000"/>
          <w:sz w:val="20"/>
          <w:lang w:val="en-US" w:eastAsia="en-US" w:bidi="ar-SA"/>
        </w:rPr>
        <w:t xml:space="preserve"> summarized the necessary features of the doctrine at para. 45, which I restate in general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Upon the grant of [a portion of a larger property], what continuous and apparent accommodations afforded by [the retained portion] were enjoyed by [the portion granted] which, to track the language of 12 Halsbury,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541-2,</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of such a nature that they might form the subject of an easement,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necessary to the reasonable enjoyment of the property granted,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been and are at the time of the grant used by the owner of the entirety for the benefit of the part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Under English common law, the doctrine can function to impose positive obligations on without-notice successors in title where the grantor's land is subsequently sold: Gaunt &amp; Morgan at para. 3-54. However, </w:t>
      </w:r>
      <w:r>
        <w:rPr>
          <w:rFonts w:ascii="arial" w:eastAsia="arial" w:hAnsi="arial" w:cs="arial"/>
          <w:i/>
          <w:color w:val="000000"/>
          <w:sz w:val="20"/>
          <w:lang w:val="en-US" w:eastAsia="en-US" w:bidi="ar-SA"/>
        </w:rPr>
        <w:t>Babine Investments</w:t>
      </w:r>
      <w:r>
        <w:rPr>
          <w:rFonts w:ascii="arial" w:eastAsia="arial" w:hAnsi="arial" w:cs="arial"/>
          <w:color w:val="000000"/>
          <w:sz w:val="20"/>
          <w:lang w:val="en-US" w:eastAsia="en-US" w:bidi="ar-SA"/>
        </w:rPr>
        <w:t xml:space="preserve"> at para. 38, makes it clear that another necessary feature of the doctrine, at least as it exists in British Columbia, is that it does not apply to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purchasers. This requirement was reiterated in </w:t>
      </w:r>
      <w:r>
        <w:rPr>
          <w:rFonts w:ascii="arial" w:eastAsia="arial" w:hAnsi="arial" w:cs="arial"/>
          <w:i/>
          <w:color w:val="000000"/>
          <w:sz w:val="20"/>
          <w:lang w:val="en-US" w:eastAsia="en-US" w:bidi="ar-SA"/>
        </w:rPr>
        <w:t>Grieve v. Huntley</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2006 BCSC 1112</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Westshore argues firstly that there was never a grant of any right or easement over Lot 1 in this case. It further argues, that even were there a grant, the doctrine does not apply as against Westshore as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successor in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Since the existence of a grant is foundational to this doctrine, I will begin by addressing Westshore's argument that a grant does not exist in this case. Respectfully, I find that this argument is misconceived. The issue is not whether a right over Lot 1 had been granted, but rather whether a portion of a larger property had been granted while the rest was retained. Here the Development Corporation owned a large property. It then granted a portion of that property to Silver Birch Strata for its use as strata units. The Development Corporation retained the remainder of its larger property for its own use. This falls squarely within the scope of the type of grant contemplated by the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Turning to the factors outlined in </w:t>
      </w:r>
      <w:r>
        <w:rPr>
          <w:rFonts w:ascii="arial" w:eastAsia="arial" w:hAnsi="arial" w:cs="arial"/>
          <w:i/>
          <w:color w:val="000000"/>
          <w:sz w:val="20"/>
          <w:lang w:val="en-US" w:eastAsia="en-US" w:bidi="ar-SA"/>
        </w:rPr>
        <w:t>Babine Investments</w:t>
      </w:r>
      <w:r>
        <w:rPr>
          <w:rFonts w:ascii="arial" w:eastAsia="arial" w:hAnsi="arial" w:cs="arial"/>
          <w:color w:val="000000"/>
          <w:sz w:val="20"/>
          <w:lang w:val="en-US" w:eastAsia="en-US" w:bidi="ar-SA"/>
        </w:rPr>
        <w:t xml:space="preserve">, I find that both the Roadway access and sewer line are of such a nature that they may form the subject of an easement: </w:t>
      </w:r>
      <w:r>
        <w:rPr>
          <w:rFonts w:ascii="arial" w:eastAsia="arial" w:hAnsi="arial" w:cs="arial"/>
          <w:i/>
          <w:color w:val="000000"/>
          <w:sz w:val="20"/>
          <w:lang w:val="en-US" w:eastAsia="en-US" w:bidi="ar-SA"/>
        </w:rPr>
        <w:t>Ellenborough Park, Re</w:t>
      </w:r>
      <w:r>
        <w:rPr>
          <w:rFonts w:ascii="arial" w:eastAsia="arial" w:hAnsi="arial" w:cs="arial"/>
          <w:color w:val="000000"/>
          <w:sz w:val="20"/>
          <w:lang w:val="en-US" w:eastAsia="en-US" w:bidi="ar-SA"/>
        </w:rPr>
        <w:t>, [1955] 2 All E.R. 38 (Eng. Ch.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the time of the grant, the Development Corporation would have contemplated that the Silver Birch Strata portion, which it had developed and caused to be stratified, would have been used as residential units and as motel units. It is clear that a functioning sewage line at the appropriate elevation is necessary for the reasonable enjoyment of the property as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regards to whether access over and parking on the Lot 1 Portion of the Roadway are necessary for the reasonable enjoyment of the property, I have detailed the necessary interaction between the Roadway and the motel units above. Westshore argued that there were once pathways that granted foot access from the front of the larger upper units to the motel units and so access over and parking on the Roadway was not necessary to the enjoyment of those units. However, the motel units were marketed and sold as just that, and I consider that road access combined with proximate parking would have been, and is still, necessary to the reasonable enjoyment of the motel units as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have also found, above, that at the time that the Development Corporation granted a portion of its larger property to Silver Birch Strata, the Roadway and sewer line were in place and were being used by the Development Corporation for the benefit of the strata. This fulfills the third </w:t>
      </w:r>
      <w:r>
        <w:rPr>
          <w:rFonts w:ascii="arial" w:eastAsia="arial" w:hAnsi="arial" w:cs="arial"/>
          <w:i/>
          <w:color w:val="000000"/>
          <w:sz w:val="20"/>
          <w:lang w:val="en-US" w:eastAsia="en-US" w:bidi="ar-SA"/>
        </w:rPr>
        <w:t>Babine Investments</w:t>
      </w:r>
      <w:r>
        <w:rPr>
          <w:rFonts w:ascii="arial" w:eastAsia="arial" w:hAnsi="arial" w:cs="arial"/>
          <w:color w:val="000000"/>
          <w:sz w:val="20"/>
          <w:lang w:val="en-US" w:eastAsia="en-US" w:bidi="ar-SA"/>
        </w:rPr>
        <w:t xml:space="preserv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Accordingly, I have found that at the time that the Development Corporation granted a portion of its lands to Silver Birch Strata, implied easements existed over and under the retained Lot 1 Portion of the Roadway for the benefit of Silver Birch Strata. These easements allowed the use of Lot 1 for the sewage line, for passing over the Roadway, and for parking on the west side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issue then becomes whether this type of easement can survive in a Torrens system where the grantor entity, the Development Corporation, has subsequently transferred its remaining lands. </w:t>
      </w:r>
      <w:r>
        <w:rPr>
          <w:rFonts w:ascii="arial" w:eastAsia="arial" w:hAnsi="arial" w:cs="arial"/>
          <w:i/>
          <w:color w:val="000000"/>
          <w:sz w:val="20"/>
          <w:lang w:val="en-US" w:eastAsia="en-US" w:bidi="ar-SA"/>
        </w:rPr>
        <w:t>Babine Investments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Grieve</w:t>
      </w:r>
      <w:r>
        <w:rPr>
          <w:rFonts w:ascii="arial" w:eastAsia="arial" w:hAnsi="arial" w:cs="arial"/>
          <w:color w:val="000000"/>
          <w:sz w:val="20"/>
          <w:lang w:val="en-US" w:eastAsia="en-US" w:bidi="ar-SA"/>
        </w:rPr>
        <w:t xml:space="preserve"> make it clear that the doctrine does not function as against a subsequent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because the doctrine must remain consistent with the Torrens system. However, while both cases expressly identify that the doctrine continues to apply as between grantor and grantee and does not apply to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purchasers, the courts were not called upon to consider whether the doctrine continues to apply as against subsequent non-</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This has importance because I do not consider Westshore to be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Sometimes called "equity's darling",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at common law acquires title without notice and for value: </w:t>
      </w:r>
      <w:r>
        <w:rPr>
          <w:rFonts w:ascii="arial" w:eastAsia="arial" w:hAnsi="arial" w:cs="arial"/>
          <w:i/>
          <w:color w:val="000000"/>
          <w:sz w:val="20"/>
          <w:lang w:val="en-US" w:eastAsia="en-US" w:bidi="ar-SA"/>
        </w:rPr>
        <w:t>CitiFinancial Canada East Corporation v. Touchie</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2010 NSSC 149</w:t>
        </w:r>
      </w:hyperlink>
      <w:r>
        <w:rPr>
          <w:rFonts w:ascii="arial" w:eastAsia="arial" w:hAnsi="arial" w:cs="arial"/>
          <w:color w:val="000000"/>
          <w:sz w:val="20"/>
          <w:lang w:val="en-US" w:eastAsia="en-US" w:bidi="ar-SA"/>
        </w:rPr>
        <w:t xml:space="preserve"> at para. 34; and </w:t>
      </w:r>
      <w:r>
        <w:rPr>
          <w:rFonts w:ascii="arial" w:eastAsia="arial" w:hAnsi="arial" w:cs="arial"/>
          <w:i/>
          <w:color w:val="000000"/>
          <w:sz w:val="20"/>
          <w:lang w:val="en-US" w:eastAsia="en-US" w:bidi="ar-SA"/>
        </w:rPr>
        <w:t>Stubbert v. Scott</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[1931] B.C.J. No. 120</w:t>
        </w:r>
      </w:hyperlink>
      <w:r>
        <w:rPr>
          <w:rFonts w:ascii="arial" w:eastAsia="arial" w:hAnsi="arial" w:cs="arial"/>
          <w:color w:val="000000"/>
          <w:sz w:val="20"/>
          <w:lang w:val="en-US" w:eastAsia="en-US" w:bidi="ar-SA"/>
        </w:rPr>
        <w:t xml:space="preserve"> at para. 8 (S.C.). Here, I have found that prior to its purchase of Lot 1, Westshore was aware of the Roadway and sewer line irregularities and that these had resulted from the Development Corporation's failure to formalize the intended easements. I have also found that Westshore benefited from those irregularities, which were also known to the Royal Bank, in the form of a lower purchase price. It was not therefore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for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question then remains as to whether it would be inconsistent with the Torrens system, as reflected in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to uphold an easement implied by virtue of the doctrine of non-derogation of grant as against a non-</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The majority </w:t>
      </w:r>
      <w:r>
        <w:rPr>
          <w:rFonts w:ascii="arial" w:eastAsia="arial" w:hAnsi="arial" w:cs="arial"/>
          <w:i/>
          <w:color w:val="000000"/>
          <w:sz w:val="20"/>
          <w:lang w:val="en-US" w:eastAsia="en-US" w:bidi="ar-SA"/>
        </w:rPr>
        <w:t>Babine Investments</w:t>
      </w:r>
      <w:r>
        <w:rPr>
          <w:rFonts w:ascii="arial" w:eastAsia="arial" w:hAnsi="arial" w:cs="arial"/>
          <w:color w:val="000000"/>
          <w:sz w:val="20"/>
          <w:lang w:val="en-US" w:eastAsia="en-US" w:bidi="ar-SA"/>
        </w:rPr>
        <w:t xml:space="preserve"> at para. 38 held that "the doctrine of non-derogation from grant ... survives to the extent it is not abrogated by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Section 29(2)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states, in relevant part: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the case of fraud in which he or she has participated, a person contracting or dealing with or taking or proposing to take from a registered owner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transfer of land, or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not, despite a rule of law or equity to the contrary, affected by a notice, express, implied, or constructive, of an unregistered interest affecting the land or charge other than</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interest, the registration of which is pending,</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lease or agreement for lease for a period not exceeding 3 years if there is actual occupation under the lease or agreement, 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title of a person against which the indefeasible title is void under section 23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summarized in </w:t>
      </w:r>
      <w:r>
        <w:rPr>
          <w:rFonts w:ascii="arial" w:eastAsia="arial" w:hAnsi="arial" w:cs="arial"/>
          <w:i/>
          <w:color w:val="000000"/>
          <w:sz w:val="20"/>
          <w:lang w:val="en-US" w:eastAsia="en-US" w:bidi="ar-SA"/>
        </w:rPr>
        <w:t>Szabo v. Janeil Enterprises Ltd.</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2006 BCSC 502</w:t>
        </w:r>
      </w:hyperlink>
      <w:r>
        <w:rPr>
          <w:rFonts w:ascii="arial" w:eastAsia="arial" w:hAnsi="arial" w:cs="arial"/>
          <w:color w:val="000000"/>
          <w:sz w:val="20"/>
          <w:lang w:val="en-US" w:eastAsia="en-US" w:bidi="ar-SA"/>
        </w:rPr>
        <w:t xml:space="preserve"> at para. 20, s. 29 "protects the title of purchasers from prior unregistered interests, except in the case of fraud." In that case, neighbouring properties had negotiated a written, unregistered easement agreement and a subsequent purchaser, who was found to have constructive knowledge of the easement, was claiming the protection of s. 29. In </w:t>
      </w:r>
      <w:r>
        <w:rPr>
          <w:rFonts w:ascii="arial" w:eastAsia="arial" w:hAnsi="arial" w:cs="arial"/>
          <w:i/>
          <w:color w:val="000000"/>
          <w:sz w:val="20"/>
          <w:lang w:val="en-US" w:eastAsia="en-US" w:bidi="ar-SA"/>
        </w:rPr>
        <w:t>Szabo</w:t>
      </w:r>
      <w:r>
        <w:rPr>
          <w:rFonts w:ascii="arial" w:eastAsia="arial" w:hAnsi="arial" w:cs="arial"/>
          <w:color w:val="000000"/>
          <w:sz w:val="20"/>
          <w:lang w:val="en-US" w:eastAsia="en-US" w:bidi="ar-SA"/>
        </w:rPr>
        <w:t>, McKinnon J. reviewed trends in the case law and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As the cases below indicate, in recent cases, B.C. courts have taken a restrictive view of what constitutes fraud for the purposes of s. 29. These cases suggest that mere notice and registration alone cannot deprive a purchaser of the protection of s. 29(1), in the absence of dishonesty on the part of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Vancouver City Savings Credit Union v. Serving for Success Consulting Ltd.</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2011 BCSC 124</w:t>
        </w:r>
      </w:hyperlink>
      <w:r>
        <w:rPr>
          <w:rFonts w:ascii="arial" w:eastAsia="arial" w:hAnsi="arial" w:cs="arial"/>
          <w:color w:val="000000"/>
          <w:sz w:val="20"/>
          <w:lang w:val="en-US" w:eastAsia="en-US" w:bidi="ar-SA"/>
        </w:rPr>
        <w:t>, Bracken J. stated the relevant considerations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In my view the law requires more than simple notice of the respondents' unregistered interest in the property. Even if the respondents are able to prove the petitioners had full knowledge of the respondents' interest in the property at the time the mortgages were granted, that knowledge is not enough.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To prove equitable fraud it must be established that the party acquiring a registered interest in land had sufficient actual knowledge of the conflicting interest in the property to cause a reasonable person to make inquiries as to the terms and legal implications of the prior instrument. In addition, there must be some other circumstance to take the matter out of the ordinary course of business or to show some clear intention to use the statute to defeat the respondents' interests in circumstances contrary to common morality such that it would be inequitable for the court to allow reliance upon the statute as protection. Something more than simple knowledge is required. This interpretation seems consistent with the clear words of ss. 20, 29 and 30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Here the easements were implied by equity rather than established by instrument; however, Westshore had sufficient knowledge of the development history between the two lots, as well as the irregularities in use, to cause a reasonable person to make inquiries about the legal implications of these facts and the existence of unregistered easements. Further, I consider that the fact that Westshore used its knowledge of the irregularities to negotiate a decreased purchase price amounts to more than simple knowledge. It would be contrary to common morality to obtain a benefit on the basis that easement irregularities had not yet been addressed and then later deny the need to be bound by those irregularities.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summary, I consider that easements inferred by virtue of the doctrine of non-derogation of grant may be binding as against a subsequent non-</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of the servient property where the purchaser has committed a fraud, as that term has been interpreted in the context of s. 29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xml:space="preserve">. I find that the petitioner has proven that the impugned easements arose by virtue of the doctrine. I further find that Westshore was under notice as to the outstanding easements and obtained a benefit as a result of them. To now deny those rights amounts to a lack of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and a fraud, and therefore the easements are binding on Westshore.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Proprietary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Proprietary estoppel involves the equitable acquisition of an interest in property where an owner knowingly stands by while another person incurs detriment under the belief that they are, or will be, entitled to an interest in the land: I.C.F. Spry, </w:t>
      </w:r>
      <w:r>
        <w:rPr>
          <w:rFonts w:ascii="arial" w:eastAsia="arial" w:hAnsi="arial" w:cs="arial"/>
          <w:i/>
          <w:color w:val="000000"/>
          <w:sz w:val="20"/>
          <w:lang w:val="en-US" w:eastAsia="en-US" w:bidi="ar-SA"/>
        </w:rPr>
        <w:t>The Principles of Equitable Remedies</w:t>
      </w:r>
      <w:r>
        <w:rPr>
          <w:rFonts w:ascii="arial" w:eastAsia="arial" w:hAnsi="arial" w:cs="arial"/>
          <w:color w:val="000000"/>
          <w:sz w:val="20"/>
          <w:lang w:val="en-US" w:eastAsia="en-US" w:bidi="ar-SA"/>
        </w:rPr>
        <w:t xml:space="preserve">, 6th ed. (Agincourt, Ont.: The Carswell Company, 2001) at 181-182. Proprietary estoppel, unlike other forms of estoppel, can found a cause of action: </w:t>
      </w:r>
      <w:r>
        <w:rPr>
          <w:rFonts w:ascii="arial" w:eastAsia="arial" w:hAnsi="arial" w:cs="arial"/>
          <w:i/>
          <w:color w:val="000000"/>
          <w:sz w:val="20"/>
          <w:lang w:val="en-US" w:eastAsia="en-US" w:bidi="ar-SA"/>
        </w:rPr>
        <w:t>Zelmer v. Victor Projects Ltd.</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(1997), 34 B.C.L.R. (3d) 125</w:t>
        </w:r>
      </w:hyperlink>
      <w:r>
        <w:rPr>
          <w:rFonts w:ascii="arial" w:eastAsia="arial" w:hAnsi="arial" w:cs="arial"/>
          <w:color w:val="000000"/>
          <w:sz w:val="20"/>
          <w:lang w:val="en-US" w:eastAsia="en-US" w:bidi="ar-SA"/>
        </w:rPr>
        <w:t xml:space="preserve"> at para. 48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development of the modern approach to proprietary estoppel was summarized in </w:t>
      </w:r>
      <w:r>
        <w:rPr>
          <w:rFonts w:ascii="arial" w:eastAsia="arial" w:hAnsi="arial" w:cs="arial"/>
          <w:i/>
          <w:color w:val="000000"/>
          <w:sz w:val="20"/>
          <w:lang w:val="en-US" w:eastAsia="en-US" w:bidi="ar-SA"/>
        </w:rPr>
        <w:t>Erickson v. Jones</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2008 BCCA 379</w:t>
        </w:r>
      </w:hyperlink>
      <w:r>
        <w:rPr>
          <w:rFonts w:ascii="arial" w:eastAsia="arial" w:hAnsi="arial" w:cs="arial"/>
          <w:color w:val="000000"/>
          <w:sz w:val="20"/>
          <w:lang w:val="en-US" w:eastAsia="en-US" w:bidi="ar-SA"/>
        </w:rPr>
        <w:t xml:space="preserve"> at paras. 52-57. At issue in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was whether an unregistered easement existed over an access road that had been relocated so as to have less of an impact on the property it traversed. At para. 56, the majority cited Newbury J.A.'s concurring reasons in </w:t>
      </w:r>
      <w:r>
        <w:rPr>
          <w:rFonts w:ascii="arial" w:eastAsia="arial" w:hAnsi="arial" w:cs="arial"/>
          <w:i/>
          <w:color w:val="000000"/>
          <w:sz w:val="20"/>
          <w:lang w:val="en-US" w:eastAsia="en-US" w:bidi="ar-SA"/>
        </w:rPr>
        <w:t>Tretheway-Edge Dyking District v. Coniagas Ranches Ltd.</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2003 BCCA 197</w:t>
        </w:r>
      </w:hyperlink>
      <w:r>
        <w:rPr>
          <w:rFonts w:ascii="arial" w:eastAsia="arial" w:hAnsi="arial" w:cs="arial"/>
          <w:color w:val="000000"/>
          <w:sz w:val="20"/>
          <w:lang w:val="en-US" w:eastAsia="en-US" w:bidi="ar-SA"/>
        </w:rPr>
        <w:t xml:space="preserve"> at para. 64, wherein she adopts the following statement of the applicable considerations: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real test is said to be whether upon the facts of the particular case the situation has become such that it would be dishonest or unconscionable for the plaintiff, or the person having the right sought to be enforced, to continue to seek to enforce it. .. the true test is that the facts must be such that the owner of the legal right has done something beyond mere delay to encourage the wrongdoer to believe that he does not intend to rely on his strict rights, and the wrongdoer must have acted to his prejudice in that belief. The modern approach is a broad one and the tendency is to reject any classification of equitable estoppel into exclusive and defined categories.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accept Westshore's articulation of the approach set out by Newbury J.A. in </w:t>
      </w:r>
      <w:r>
        <w:rPr>
          <w:rFonts w:ascii="arial" w:eastAsia="arial" w:hAnsi="arial" w:cs="arial"/>
          <w:i/>
          <w:color w:val="000000"/>
          <w:sz w:val="20"/>
          <w:lang w:val="en-US" w:eastAsia="en-US" w:bidi="ar-SA"/>
        </w:rPr>
        <w:t>Tretheway-Edge</w:t>
      </w:r>
      <w:r>
        <w:rPr>
          <w:rFonts w:ascii="arial" w:eastAsia="arial" w:hAnsi="arial" w:cs="arial"/>
          <w:color w:val="000000"/>
          <w:sz w:val="20"/>
          <w:lang w:val="en-US" w:eastAsia="en-US" w:bidi="ar-SA"/>
        </w:rPr>
        <w:t xml:space="preserve"> as it applies to the case at bar: see also </w:t>
      </w:r>
      <w:r>
        <w:rPr>
          <w:rFonts w:ascii="arial" w:eastAsia="arial" w:hAnsi="arial" w:cs="arial"/>
          <w:i/>
          <w:color w:val="000000"/>
          <w:sz w:val="20"/>
          <w:lang w:val="en-US" w:eastAsia="en-US" w:bidi="ar-SA"/>
        </w:rPr>
        <w:t>Sabey v. Rommel</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2014 BCCA 360</w:t>
        </w:r>
      </w:hyperlink>
      <w:r>
        <w:rPr>
          <w:rFonts w:ascii="arial" w:eastAsia="arial" w:hAnsi="arial" w:cs="arial"/>
          <w:color w:val="000000"/>
          <w:sz w:val="20"/>
          <w:lang w:val="en-US" w:eastAsia="en-US" w:bidi="ar-SA"/>
        </w:rPr>
        <w:t xml:space="preserve"> at para. 30. The questions to be asked are:</w:t>
      </w:r>
      <w:r>
        <w:rPr>
          <w:rFonts w:ascii="arial" w:eastAsia="arial" w:hAnsi="arial" w:cs="arial"/>
          <w:sz w:val="20"/>
          <w:lang w:val="en-US" w:eastAsia="en-US" w:bidi="ar-SA"/>
        </w:rPr>
        <w:cr/>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Westshore, by words or conduct, encourage Silver Birch Strata to believe that Westshore did not intend to rely on its strict rights?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Silver Birch Strata rely on such encouragement, if any, to its detriment?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Westshore been unconscionable, inequitable or unjust by seeking to rely on its rights to defeat the expectation which Westshore encouraged Silver Birch Strata to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add, as stressed in </w:t>
      </w:r>
      <w:r>
        <w:rPr>
          <w:rFonts w:ascii="arial" w:eastAsia="arial" w:hAnsi="arial" w:cs="arial"/>
          <w:i/>
          <w:color w:val="000000"/>
          <w:sz w:val="20"/>
          <w:lang w:val="en-US" w:eastAsia="en-US" w:bidi="ar-SA"/>
        </w:rPr>
        <w:t>Sabey</w:t>
      </w:r>
      <w:r>
        <w:rPr>
          <w:rFonts w:ascii="arial" w:eastAsia="arial" w:hAnsi="arial" w:cs="arial"/>
          <w:color w:val="000000"/>
          <w:sz w:val="20"/>
          <w:lang w:val="en-US" w:eastAsia="en-US" w:bidi="ar-SA"/>
        </w:rPr>
        <w:t>, that a final step must be the consideration of the extent of the equity, or remedy, required in all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The extent of the equity depends on all the circumstances, including the expectations and detriment of the claimant and any benefits that the claimant may have received. The court's aim is to determine the minimum required to satisfy the equity and do justice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found as one of my factual conclusions above that Westshore was not diligent in asserting its rights. I find that this was the case from the date of purchase in 1989 until the letter sent in 2009. Westshore argues that its principal, Mr. Lau, consistently stated that it was a concern of his, as the owner of Westshore, that his land was being used for road, parking and sewer access and that he raised it as a concern with Silver Birch Strata when Westshore was the property manager. The facts do not support that suggestion, in that no correspondence or direction or minutes supporting this position is in evidence before me. It is only a number of years after Westshore stopped being the property manager that the concern was raised formally.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However, something more than mere delay is required. Here Silver Birch Strata relies firstly on Mr. Lau's purchase of strata units in 1988. However, I do not consider that Mr. Lau's purchase of strata units at a time prior to Westshore's purchase of Lot 1 is relevant to the issue of what, if anything, Westshore encouraged Silver Birch Strata to believe.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More persuasive is Silver Birch Strata's argument that by plowing the Roadway for many years, Westshore was actively encouraging Silver Birch Strata to believe that Westshore did not intend to rely on its strict rights. It is clear on the evidence before me that plowing did take place every year until 2013. It is also clear that Westshore arranged for that plowing, for which it was reimbursed, during those years that it was property manager. By accepting reimbursement from Silver Birch Strata for the clearing of the Roadway, Westshore conveyed an acceptance that Silver Birch Strata owners would be using the road for access. Further, the evidence before me reveals that the plowing company was instructed to not only clear the Roadway, but to then return with a bobcat in order to clear off the parking spaces. The importance of this additional step is clear, and in the year that it was not done, 2013, Silver Birch Strata did not contribute to the clearing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Westshore submits that the clearing is not probative of encouragement since (a) Silver Birch Strata requested and paid for the service, (b) Westshore was the property manager at the time and retained control over the Roadway, and (c) Westshore erected private property signs upon ceasing its management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consider that Silver Birch Strata's request and payment for the service is consistent with Westshore's role as property manager and with the desire to maintain a cordial relationship between neighbours. It does not indicate, as Westshore submitted, that Silver Birch Strata "must have realized it had no automatic entitlement to use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Further, rather than weakening a finding that Westshore, by words or conduct, encouraged Silver Birch Strata to believe that Westshore did not intend to rely on its strict rights, Westshore's position as property manager strengthens such a finding. During the years that Westshore had control over the property management at Silver Birch Strata, it did not use that position as an opportunity to clarify what it claims it considered to be its property rights, instead, it made provision for a clearing process that cleared both the Roadway and the parking spaces.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regards to the private property sign at the entrance to the Roadway, this evidence is in dispute in the various affidavits filed before me and no other evidence was provided to support Westshore's assertion that one has been in place, and repeatedly replaced, since 2001. Even had one been in place, there is no evidence that this sign was aimed at limiting usage by either Silver Birch Strata or Mountain Edge Strata, rather than the public more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Turning to the second question in this analysis, I consider that Silver Birch Strata did rely on Westshore's encouragement to its detriment. First off, as noted in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at para. 45, contributing to maintenance can amount to detriment. Silver Birch Strata did this for many years while Westshore was the property manager, and it paid Westshore for its services in arranging this maintenance. Secondly, over the course of the 20 plus years of use of the Roadway and parking, the owners of Silver Birch Strata have bought and sold motel units with the expectation of access and parking on the lands in question. Also, parking on Dewdney Way, in front of the upper units, has for 20 years been organized on the basis that motel unit would have access and parking on the impugned lands, rather than on Dewdney Way, and pathways, stairs and landscaping have been developed assuming this access. Finally, both Silver Birch Strata and, though it is not crucial to this analysis, Mountain Edge Strata have relied on this access for adequate fire protection via the City of Kimberly fire protection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Next, I turn to whether it would be unconscionable or inequitable for Westshore to rely on its rights to defeat Silver Birch Strata's expectation that Westshore would not seek to do so. Here Westshore continued to facilitate access to the Roadway for both parking and access. Silver Birch Strata was therefore left with the belief that it did not need to take steps to clarify its legal position. As a result, it suffered the detriments that I have identified above. I consider that it would be inequitable to then allow Westshore to assert its rights so as to deprive Silver Birch Strata passage over, parking beside and sewage line usage under the Lot 1 Portion of the Roadway. Again, an equitable basis for the requested easement has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Finally, I turn to the extent of the remedy that should be awarded. This should be the "minimum required to satisfy the equity" and therefore I do not consider that a conveyance of the lands in question would be appropriate. Nor, in all the circumstances do I consider that a mere licence over the lands would be appropriate. Here the long term expectations of Silver Birch Strata were that they would not only have licence to pass over the lands, but would hold an easement as against the lands as had been contemplated all along. This easement will provide continued certainty of access as the development of Lot 1 progresses and the property possibly passes into the hands of a different developer, but can also be tailored, as I will discuss in more detail below, so as to expire should it no longer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Common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Bruce v. Dixon</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[1957] O.J. No. 540</w:t>
        </w:r>
      </w:hyperlink>
      <w:r>
        <w:rPr>
          <w:rFonts w:ascii="arial" w:eastAsia="arial" w:hAnsi="arial" w:cs="arial"/>
          <w:color w:val="000000"/>
          <w:sz w:val="20"/>
          <w:lang w:val="en-US" w:eastAsia="en-US" w:bidi="ar-SA"/>
        </w:rPr>
        <w:t xml:space="preserve"> (C.A.), the court held that where two neighbours had entered into a joint undertaking to drill a well, their agreement included an implied grant of an easement over the lands to where the well was ultimately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doctrine articulated in </w:t>
      </w:r>
      <w:r>
        <w:rPr>
          <w:rFonts w:ascii="arial" w:eastAsia="arial" w:hAnsi="arial" w:cs="arial"/>
          <w:i/>
          <w:color w:val="000000"/>
          <w:sz w:val="20"/>
          <w:lang w:val="en-US" w:eastAsia="en-US" w:bidi="ar-SA"/>
        </w:rPr>
        <w:t>Bruce</w:t>
      </w:r>
      <w:r>
        <w:rPr>
          <w:rFonts w:ascii="arial" w:eastAsia="arial" w:hAnsi="arial" w:cs="arial"/>
          <w:color w:val="000000"/>
          <w:sz w:val="20"/>
          <w:lang w:val="en-US" w:eastAsia="en-US" w:bidi="ar-SA"/>
        </w:rPr>
        <w:t xml:space="preserve">, was recently applied where two neighbours had participated in an undertaking to acquire a pump house: </w:t>
      </w:r>
      <w:r>
        <w:rPr>
          <w:rFonts w:ascii="arial" w:eastAsia="arial" w:hAnsi="arial" w:cs="arial"/>
          <w:i/>
          <w:color w:val="000000"/>
          <w:sz w:val="20"/>
          <w:lang w:val="en-US" w:eastAsia="en-US" w:bidi="ar-SA"/>
        </w:rPr>
        <w:t>Spur Valley v. Csokonay</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2000 BCSC 1356</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Silver Birch Strata submits that a common intention existed when the Development Corporation initially built the Roadway and that continued cooperation in road clearing efforts demonstrates that a common intention continues to exist between the two stratas and Westshore.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do not agree. When initially built, the Development Corporation owned all the properties at issue and so there could be no common intent, or joint undertaking, as between neighbours in the sense articulated in the case law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regards to a shared intent as between Silver Birch Strata and Westshore, the emphasis of this doctrine appears to be on the existence of a common intent to undertake the cooperative development and ultimate sharing of a resource. In each of </w:t>
      </w:r>
      <w:r>
        <w:rPr>
          <w:rFonts w:ascii="arial" w:eastAsia="arial" w:hAnsi="arial" w:cs="arial"/>
          <w:i/>
          <w:color w:val="000000"/>
          <w:sz w:val="20"/>
          <w:lang w:val="en-US" w:eastAsia="en-US" w:bidi="ar-SA"/>
        </w:rPr>
        <w:t>Bruce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Spur Valley</w:t>
      </w:r>
      <w:r>
        <w:rPr>
          <w:rFonts w:ascii="arial" w:eastAsia="arial" w:hAnsi="arial" w:cs="arial"/>
          <w:color w:val="000000"/>
          <w:sz w:val="20"/>
          <w:lang w:val="en-US" w:eastAsia="en-US" w:bidi="ar-SA"/>
        </w:rPr>
        <w:t>, both neighbours contributed to the creation of a resource that would be jointly beneficial. Where one neighbour then sought to restrict the other's access, the courts held that an easement should be granted in order to ensure that both received the common benefit initially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Here, there was no agreement to build or improve the road and all road maintenance was paid for by the two stratas. Westshore did agree to allow the clearing; however, it did not otherwise contribute to or receive a benefit from the Roadway. I find that shared use and clearing of the pre-existing Roadway does not amount to an equitable basis for an easement under this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Property Law Act, 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Section 36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36(1) For the purposes of this section, "owner" includes a person with an interest in, or right to possession of land.</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on the survey of land, it is found that a building on it encroaches on adjoining land, or a fence has been improperly located so as to enclose adjoining land, the Supreme Court may on application</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 that the owner of the land has for the period the court determines and on making the compensation to the owner of the adjoining land that the court determines, an easement on the land encroached on or enclosed,</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vest title to the land encroached on or enclosed in the owner of the land encroaching or enclosing, on making the compensation that the court determines, or</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owner to remove the encroachment or the fence so that it no longer encroaches on or encloses any part of the adjoining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Court's attention was drawn to the recent decision in </w:t>
      </w:r>
      <w:r>
        <w:rPr>
          <w:rFonts w:ascii="arial" w:eastAsia="arial" w:hAnsi="arial" w:cs="arial"/>
          <w:i/>
          <w:color w:val="000000"/>
          <w:sz w:val="20"/>
          <w:lang w:val="en-US" w:eastAsia="en-US" w:bidi="ar-SA"/>
        </w:rPr>
        <w:t>The Owners, Strata Plan VR 10 v. EE Management</w:t>
      </w:r>
      <w:r>
        <w:rPr>
          <w:rFonts w:ascii="arial" w:eastAsia="arial" w:hAnsi="arial" w:cs="arial"/>
          <w:color w:val="000000"/>
          <w:sz w:val="20"/>
          <w:lang w:val="en-US" w:eastAsia="en-US" w:bidi="ar-SA"/>
        </w:rPr>
        <w:t xml:space="preserve"> Corp, </w:t>
      </w:r>
      <w:hyperlink r:id="rId695" w:history="1">
        <w:r>
          <w:rPr>
            <w:rFonts w:ascii="arial" w:eastAsia="arial" w:hAnsi="arial" w:cs="arial"/>
            <w:i/>
            <w:color w:val="0077CC"/>
            <w:sz w:val="20"/>
            <w:u w:val="single"/>
            <w:shd w:val="clear" w:color="auto" w:fill="FFFFFF"/>
            <w:lang w:val="en-US" w:eastAsia="en-US" w:bidi="ar-SA"/>
          </w:rPr>
          <w:t>2015 BCSC 473</w:t>
        </w:r>
      </w:hyperlink>
      <w:r>
        <w:rPr>
          <w:rFonts w:ascii="arial" w:eastAsia="arial" w:hAnsi="arial" w:cs="arial"/>
          <w:color w:val="000000"/>
          <w:sz w:val="20"/>
          <w:lang w:val="en-US" w:eastAsia="en-US" w:bidi="ar-SA"/>
        </w:rPr>
        <w:t xml:space="preserve"> at para. 99, in which the parties agreed that a driveway at issue did not meet the definition of a "building". However, I accept that the definition of "building" has been interpreted liberally and that it applies to the Roadway and sewer line at issue in this case: </w:t>
      </w:r>
      <w:r>
        <w:rPr>
          <w:rFonts w:ascii="arial" w:eastAsia="arial" w:hAnsi="arial" w:cs="arial"/>
          <w:i/>
          <w:color w:val="000000"/>
          <w:sz w:val="20"/>
          <w:lang w:val="en-US" w:eastAsia="en-US" w:bidi="ar-SA"/>
        </w:rPr>
        <w:t>Epp v. Gartside</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2011 BCSC 1687</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Both parties agree that the purpose of s. 36 is "to provide a basis, on equitable grounds, for resolving disputes over encroachments": </w:t>
      </w:r>
      <w:r>
        <w:rPr>
          <w:rFonts w:ascii="arial" w:eastAsia="arial" w:hAnsi="arial" w:cs="arial"/>
          <w:i/>
          <w:color w:val="000000"/>
          <w:sz w:val="20"/>
          <w:lang w:val="en-US" w:eastAsia="en-US" w:bidi="ar-SA"/>
        </w:rPr>
        <w:t>Taylor v. Hoskin</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2006 BCCA 39</w:t>
        </w:r>
      </w:hyperlink>
      <w:r>
        <w:rPr>
          <w:rFonts w:ascii="arial" w:eastAsia="arial" w:hAnsi="arial" w:cs="arial"/>
          <w:color w:val="000000"/>
          <w:sz w:val="20"/>
          <w:lang w:val="en-US" w:eastAsia="en-US" w:bidi="ar-SA"/>
        </w:rPr>
        <w:t xml:space="preserve"> at para. 52. This is achieved through an assessment of the balance of convenience as is summarized by the court in </w:t>
      </w:r>
      <w:r>
        <w:rPr>
          <w:rFonts w:ascii="arial" w:eastAsia="arial" w:hAnsi="arial" w:cs="arial"/>
          <w:i/>
          <w:color w:val="000000"/>
          <w:sz w:val="20"/>
          <w:lang w:val="en-US" w:eastAsia="en-US" w:bidi="ar-SA"/>
        </w:rPr>
        <w:t>Vanziffle v. Coulter</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2003 BCCA 350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As the summary trial judge observed, the law governing applications under s. 36 is reasonably clear and well set out in the authorities, including </w:t>
      </w:r>
      <w:r>
        <w:rPr>
          <w:rFonts w:ascii="arial" w:eastAsia="arial" w:hAnsi="arial" w:cs="arial"/>
          <w:i/>
          <w:color w:val="000000"/>
          <w:sz w:val="20"/>
          <w:lang w:val="en-US" w:eastAsia="en-US" w:bidi="ar-SA"/>
        </w:rPr>
        <w:t>Gay v. Wierzbicki</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[1967] 2 O.R. 211</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Barrow v. Landry</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[1998] B.C.J. No. 1601</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Vineberg v. Rerick</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[1995] B.C.J. No. 2506</w:t>
        </w:r>
      </w:hyperlink>
      <w:r>
        <w:rPr>
          <w:rFonts w:ascii="arial" w:eastAsia="arial" w:hAnsi="arial" w:cs="arial"/>
          <w:color w:val="000000"/>
          <w:sz w:val="20"/>
          <w:lang w:val="en-US" w:eastAsia="en-US" w:bidi="ar-SA"/>
        </w:rPr>
        <w:t xml:space="preserve"> (B.C.S.C.). In the latter case, Leggatt J. noted three "predominant considerations" used by courts in assessing the "balance of convenience" analysis mandated by s. 36, namely:</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comprehension of the property lines. Were the parties cognizant of the correct boundary line before the encroachment became an issue? There are three degrees of knowledge: honest belief,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 The party seeking the easement should have an honest belief to be awarded this remedy.</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encroachment: Was the encroachment a lasting improvement? What is the effort and cost involved in moving the improvement? Was is its effect on the properties in question? The more fixed the improvement, and the more costly and cumbersome it would be to move it, the more these considerations will be weighed in favour of the petitioner.</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size of the encroachment: How does the encroachment effect the properties, in terms of both their present and future value and use? These questions serve to balance the potential losses and gains of the creation of an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xml:space="preserve"> at para. 51, the court stressed that the three </w:t>
      </w:r>
      <w:r>
        <w:rPr>
          <w:rFonts w:ascii="arial" w:eastAsia="arial" w:hAnsi="arial" w:cs="arial"/>
          <w:i/>
          <w:color w:val="000000"/>
          <w:sz w:val="20"/>
          <w:lang w:val="en-US" w:eastAsia="en-US" w:bidi="ar-SA"/>
        </w:rPr>
        <w:t>Vineberg</w:t>
      </w:r>
      <w:r>
        <w:rPr>
          <w:rFonts w:ascii="arial" w:eastAsia="arial" w:hAnsi="arial" w:cs="arial"/>
          <w:color w:val="000000"/>
          <w:sz w:val="20"/>
          <w:lang w:val="en-US" w:eastAsia="en-US" w:bidi="ar-SA"/>
        </w:rPr>
        <w:t xml:space="preserve"> considerations are not a strict test, but rather a guide that should be applied so as to assist in coming to the equitable resolution intended by 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While some owners in Silver Birch Strata deposed that they were not aware that Roadway was not fully on strata lands at the time that they purchased their units, it is clear on the evidence that members of the council, at least, knew of the irregularities. However, knowledge of the encroachment is not fatal to a s. 36 claim under the flexible approach guided by equity as described in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I consider that the inequity in this case, as it relates to knowledge, is not that the strata did not know that the Roadway was not within its property line but rather that it was led to believe that its continued use of the Roadway was not at issue, as I have described above. It further relates to the fact that Westshore also knew of and benefited from the encroachments at the time of its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regards to the nature of the encroachment, in </w:t>
      </w:r>
      <w:r>
        <w:rPr>
          <w:rFonts w:ascii="arial" w:eastAsia="arial" w:hAnsi="arial" w:cs="arial"/>
          <w:i/>
          <w:color w:val="000000"/>
          <w:sz w:val="20"/>
          <w:lang w:val="en-US" w:eastAsia="en-US" w:bidi="ar-SA"/>
        </w:rPr>
        <w:t>Dattolo v. Merlo</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[1998] B.C.J. No. 1499</w:t>
        </w:r>
      </w:hyperlink>
      <w:r>
        <w:rPr>
          <w:rFonts w:ascii="arial" w:eastAsia="arial" w:hAnsi="arial" w:cs="arial"/>
          <w:color w:val="000000"/>
          <w:sz w:val="20"/>
          <w:lang w:val="en-US" w:eastAsia="en-US" w:bidi="ar-SA"/>
        </w:rPr>
        <w:t xml:space="preserve"> at para. 16 (S.C.), Shabbits J. held that a sidewalk that ran to a rental unit and that was built as a part of the initial construction was a lasting improvement and necessary in order to provide good access to the rental unit. Similarly, here the Roadway was built with the initial construction in order to provide access and parking for the motel units. Short of physically relocating the Silver Birch Strata condo blocks a road-width to the west, there is no other way to provide the necessary road access to the motel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regards to the sewer line, the evidence before me is that its location was necessary due to elevation concerns at the property. Even were relocation possible, this would be a cumbersome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Both parties made submissions as to the impact of the encroachment on the two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Silver Birch Strata submitted an expert report authored by Dean Beck, a senior appraiser who reviewed applicable bylaws, title documents, property assessments and survey plans. He did not physically inspect the property but rather relied on google maps. Mr. Beck noted that under current zoning requirements, Lot 1 could not be subdivided, has a maximum site coverage of 40%, and a side setback requirement of three meters. He notes that the impact caused by the easement "is likely limited to the design and siting of any proposed improvements" and concludes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development potential of Lot 1 is not significantly impacted by the proposed easement. The proposed easement will not reduce the maximum allowable building area or maximum site coverage of a multiple dwelling development. The granting of the proposed easement will likely result in minimal, if any, difference between appraised "before" and "after"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Westshore argues that Mr. Beck's report suffers from many weaknesses including the lack of a physical inspection, a mis-stating that Westshore could tie into, and thus benefit from, the existing sewer line and a failure to recognize the slope of the Lot 1 property. However, it does not challenge Mr. Beck's appraisal findings with contrary expert evidence or dispute the bylaw requirements applied. I therefore find Mr. Beck's report to be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terms of its characterization of the impact on its own property, Westshore submits that while an underground sewer line may not be overly disruptive to the ultimate development of Lot 1, the existence of a roadway along the western boundary of the property would become a barrier to what it has identified as the most advantageous development plan for the site. This "most advantageous" plan would have the access road running through the centre of Lot 1 with building clusters on either side. The continued existence of the Roadway would mean that some of those clusters would back onto the Roadway, rather than a landscaped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do not find the submission of a "most advantageous" plan at all persuasive. In fact, it appears to be self-serving for this litigation. It calls for construction of a new roadway in the centre of Lot 1. Using the impugned easement for access would in fact result in more land being available for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terms of the impact of the easement on the Silver Birch Strata property, Silver Birch Strata owners have deposed that parking is essential to their continued use of the motel units in not only their personal capacity but also as rental accommodation and investment properties. The strata also submits that the existence of a ring road provides the necessary fire engine access. Westshore counters that the proposed Roadway easement would benefit only a few Silver Birch Strata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Overall, I consider that the balance of convenience favours granting the requested easements. While Silver Birch Strata had knowledge of the encroachment, Westshore shared that knowledge and failed to act to assert its rights. The improvements are of a permanent nature and would be impossible, or at least very costly, to relocate. Finally, the benefits to Silver Birch Strata vastly outweigh the losses, if any, that would be faced by Westshore.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Having determined that a s. 36 order is appropriate, the Court must now consider whether that order will vest title to the disputed lands or create an easement upon payment of the appropriate compensation. Silver Birch Strata requested either remedy. I consider that an easement is the more appropriate remedy. In </w:t>
      </w:r>
      <w:r>
        <w:rPr>
          <w:rFonts w:ascii="arial" w:eastAsia="arial" w:hAnsi="arial" w:cs="arial"/>
          <w:i/>
          <w:color w:val="000000"/>
          <w:sz w:val="20"/>
          <w:lang w:val="en-US" w:eastAsia="en-US" w:bidi="ar-SA"/>
        </w:rPr>
        <w:t>Sidiropoulous v. Sullivan</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2002 BCSC 1271</w:t>
        </w:r>
      </w:hyperlink>
      <w:r>
        <w:rPr>
          <w:rFonts w:ascii="arial" w:eastAsia="arial" w:hAnsi="arial" w:cs="arial"/>
          <w:color w:val="000000"/>
          <w:sz w:val="20"/>
          <w:lang w:val="en-US" w:eastAsia="en-US" w:bidi="ar-SA"/>
        </w:rPr>
        <w:t xml:space="preserve"> at para. 16, aff'd </w:t>
      </w:r>
      <w:hyperlink r:id="rId704" w:history="1">
        <w:r>
          <w:rPr>
            <w:rFonts w:ascii="arial" w:eastAsia="arial" w:hAnsi="arial" w:cs="arial"/>
            <w:i/>
            <w:color w:val="0077CC"/>
            <w:sz w:val="20"/>
            <w:u w:val="single"/>
            <w:shd w:val="clear" w:color="auto" w:fill="FFFFFF"/>
            <w:lang w:val="en-US" w:eastAsia="en-US" w:bidi="ar-SA"/>
          </w:rPr>
          <w:t>2003 BCCA 505</w:t>
        </w:r>
      </w:hyperlink>
      <w:r>
        <w:rPr>
          <w:rFonts w:ascii="arial" w:eastAsia="arial" w:hAnsi="arial" w:cs="arial"/>
          <w:color w:val="000000"/>
          <w:sz w:val="20"/>
          <w:lang w:val="en-US" w:eastAsia="en-US" w:bidi="ar-SA"/>
        </w:rPr>
        <w:t xml:space="preserve">, Paris J. favoured an easement noting that a "vesting order would be permanent in nature whereas an easement could be ordered subject to conditions regarding its future removal upon the rebuilding or major renovation". I consider this comment to be similarly relevant to the facts before me. Here, as in </w:t>
      </w:r>
      <w:r>
        <w:rPr>
          <w:rFonts w:ascii="arial" w:eastAsia="arial" w:hAnsi="arial" w:cs="arial"/>
          <w:i/>
          <w:color w:val="000000"/>
          <w:sz w:val="20"/>
          <w:lang w:val="en-US" w:eastAsia="en-US" w:bidi="ar-SA"/>
        </w:rPr>
        <w:t>Sidiropolous</w:t>
      </w:r>
      <w:r>
        <w:rPr>
          <w:rFonts w:ascii="arial" w:eastAsia="arial" w:hAnsi="arial" w:cs="arial"/>
          <w:color w:val="000000"/>
          <w:sz w:val="20"/>
          <w:lang w:val="en-US" w:eastAsia="en-US" w:bidi="ar-SA"/>
        </w:rPr>
        <w:t>, the easement will be extinguished when the existing condos that back onto the Lot 1 Portion Roadway are demolished, or damaged or renovated to the extent that the repairs or renovations will amount to 50% or more of the replacement costs of those condos overall.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Sidiropoulous</w:t>
      </w:r>
      <w:r>
        <w:rPr>
          <w:rFonts w:ascii="arial" w:eastAsia="arial" w:hAnsi="arial" w:cs="arial"/>
          <w:color w:val="000000"/>
          <w:sz w:val="20"/>
          <w:lang w:val="en-US" w:eastAsia="en-US" w:bidi="ar-SA"/>
        </w:rPr>
        <w:t xml:space="preserve"> is also relevant to the issue of the appropriate method of quantifying compensation. In that case, the Paris J. considered a house which encroached over the property line. At issue was whether compensation should be quantified by reference to diminution in property value of the property encroached upon or another measure, such as the increase in property value of the property benefiting from the encroachment. His decision to adopt the former approach was upheld on appeal. Paragraph 10 of the Court of Appeal's reasons reflect an acknowledgement of the multitude of ways that a s. 36 easement could be established and that court concluded that it was unable to detect an error in principle in the trial judge's decision to base his decision on the diminution in property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Here, there is no evidence before the Court as to the monetary value that is gained by Silver Birch Strata as a result of the easement, and the response to petition does not advance an appropriate value. In terms of the diminution of value that will be suffered by Westshore, Mr. Beck concluded that there would be minimal, if any, impact on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its petition, Silver Birch Strata submits that compensation ought to take the form of a reciprocal easement over the portion of the Roadway that is on Silver Birch Strata's property. While Westshore has not expressed a desire to use the Roadway at present, I consider that this type of reciprocal order would be appropriate and equitable. However, it appears that the portion of the Roadway that falls on Silver Birch Strata lands is quite small, and I do not consider that expanding this reciprocal easement such that it would also grant Westshore a right to the parking areas would be appropriate. I consider, in light of Mr. Beck's report, that a further nominal cash payment of $10,000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conclude that Silver Birch Strata has raised and proven equitable grounds to grant its requested easements over Westshore's Lot 1 lands, as set out in the petition, under both the doctrine of non-derogation of grant and under proprietary estoppel. While compensation is not required under these doctrines, I consider that it is constant with equity to grant a reciprocal easement in favour of Westshore over those portions of the Roadway, though not the parking areas, that are located on Silver Birch Strata lands and that also adjoin Westshore's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the event that I am wrong in my consideration of equitable doctrines raised, I would nonetheless conclude that the balance of convenience favours granting the requested easements, upon the payment of $10,000 and in conjunction with the reciprocal easement described above, pursuant to s. 36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For clarity, I note that the easement granted over the Roadway by this decision will allow both passage over the Roadway for the benefit of Silver Birch Strata and parking along the west side of the Roadway so long as intrusions into the Roadway are minimal and do not block traffic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Further, I direct that all parties will work together to establish a reasonable amount of liability coverage over the entirety of the Roadway, such that each of them is a named insured and that the costs of maintenance and snow removal will be borne by those parties that use the road, as was the case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easements that will result from this decision will be extinguished when the existing Silver Birch Strata condos that back onto the Lot 1 Portion of the Roadway are demolished, or damaged or renovated to the extent that the repairs or renovations will amount to 50% or more of the replacement costs of those condos overall.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petitioner has been successful and is entitled to its costs on Scale B. If there are issues in regards to costs, either party is at liberty to arrange through trial scheduling a further appearance in front of me, provided that such request is made within 60 days of the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GROVES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Strauss v. Jarvis, [2006] B.C.J. No. 956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Blair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and 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34683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956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675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327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Imre Strauss also known as Jim Strauss, plaintiff, and Sandra Marie Jarvis, Rodney Neske, Dennis W. Shelley, Brian Mori, Ronald John Humenchuk, William Gary Baird, Patricia Evelyn McKenzie, Tony Halisky, Attorney General of Canada, Anthony Varesi, Gillespie Renkema Barnett Broadway, a partnership, and David Edwards,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7" w:name="Keywords_39"/>
      <w:bookmarkEnd w:id="257"/>
      <w:r>
        <w:rPr>
          <w:rFonts w:ascii="arial" w:eastAsia="arial" w:hAnsi="arial" w:cs="arial"/>
          <w:b/>
          <w:color w:val="000000"/>
          <w:sz w:val="20"/>
          <w:lang w:val="en-US" w:eastAsia="en-US" w:bidi="ar-SA"/>
        </w:rPr>
        <w:t>Civil procedure — Pleadings — Striking out pleadings or allegations — Grounds — Failure to disclose a cause of action or defence — Estoppel — Estoppel by record (res judicata) --- Issue estoppel — Motion by the defendants for an order striking out Strauss' Statement of Claim or pleadings and dismissing the action on the grounds that the Statement of Claim disclosed no reasonable cause of action dismissed — Strauss argued that the defendants' motion should be dismissed on the basis of res judicata, or alternatively, issue estoppel — The cross-motion was brought under a different Rule than the previous proceedings on which Strauss relied for res judicata or issue estoppel — The two Rules differed in the test the Court had to apply and some defendants had been added in the previous proceedings, therefore, the doctrine of res judicata or issue estoppel did not apply — The defendants failed to prove that Strauss' Statement of Claim failed to disclose a reasonable cause of action as the facts found in the Statement of Claim might have provided a basis for the causes of action claimed — Rules of Court, Rule 19(24)(a), Rule 19(24)(d), Rule 19(27).</w:t>
      </w:r>
    </w:p>
    <w:p>
      <w:pPr>
        <w:jc w:val="both"/>
        <w:rPr>
          <w:rFonts w:ascii="arial" w:eastAsia="arial" w:hAnsi="arial" w:cs="arial"/>
          <w:sz w:val="20"/>
          <w:lang w:val="en-US" w:eastAsia="en-US" w:bidi="ar-SA"/>
        </w:rPr>
      </w:pPr>
      <w:bookmarkStart w:id="258" w:name="Legislation Cited_31"/>
      <w:bookmarkEnd w:id="2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Food and Drugs Act, R.S.C. c. F-27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15(5), Rule 15(5)(a), Rule 19(24)(a), Rule 19(24)(b), Rule 19(24)(d), Rule 19(27)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9" w:name="Counsel_40"/>
      <w:bookmarkEnd w:id="2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Sutherland R. Bailey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H.J. Wruck,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0" w:name="Judgment_40"/>
      <w:bookmarkEnd w:id="260"/>
      <w:r>
        <w:pict>
          <v:line id="_x0000_s1223"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1" w:name="BLAIR J._0"/>
            <w:bookmarkEnd w:id="261"/>
            <w:r>
              <w:rPr>
                <w:rFonts w:ascii="arial" w:eastAsia="arial" w:hAnsi="arial" w:cs="arial"/>
                <w:b/>
                <w:color w:val="000000"/>
                <w:sz w:val="30"/>
                <w:lang w:val="en-US" w:eastAsia="en-US" w:bidi="ar-SA"/>
              </w:rPr>
              <w:t>BLAIR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under Rule 19(24)(a) of the  (the "") by an amended notice of motion dated January 23, 2006 for an order striking out the plaintiff's Amended Amended Writ of Summons and Amended Amended Statement of Claim and dismissing the action on the grounds that the Statement of Claim fails to disclose a reasonable claim. Alternatively, the defendants seek an order staying the proceedings on the grounds that the pleadings disclose no reasonable claim in that they are vague and lacking in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applies pursuant to the inherent jurisdiction of this court and Rule 19(24)(d) of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by an amended notice of motion dated January 27, 2006 that the defence motion be dismissed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or alternatively, by issue estoppel. In submission, the plaintiff further contended that the defence application ought to be struck as an abuse of process or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Imre Strauss, brought this action initially for malicious prosecution after being charged on January 10, 2003 with 73 violations under the </w:t>
      </w:r>
      <w:r>
        <w:rPr>
          <w:rFonts w:ascii="arial" w:eastAsia="arial" w:hAnsi="arial" w:cs="arial"/>
          <w:b/>
          <w:i/>
          <w:color w:val="000000"/>
          <w:sz w:val="20"/>
          <w:lang w:val="en-US" w:eastAsia="en-US" w:bidi="ar-SA"/>
        </w:rPr>
        <w:t>Food and Drugs Act</w:t>
      </w:r>
      <w:r>
        <w:rPr>
          <w:rFonts w:ascii="arial" w:eastAsia="arial" w:hAnsi="arial" w:cs="arial"/>
          <w:color w:val="000000"/>
          <w:sz w:val="20"/>
          <w:lang w:val="en-US" w:eastAsia="en-US" w:bidi="ar-SA"/>
        </w:rPr>
        <w:t xml:space="preserve">, R.S.C., c. F-27. The Crown subsequently stayed the charges. On June 2, 2005 Mr. Justice A.F. Wilson, allowing an appeal from the April 5, 2005 judgment of Master Hyslop, granted leave to amend the Statement of Claim to plead breaches of the plaintiff's rights under the </w:t>
      </w:r>
      <w:r>
        <w:rPr>
          <w:rFonts w:ascii="arial" w:eastAsia="arial" w:hAnsi="arial" w:cs="arial"/>
          <w:b/>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misfeasance of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alleges that the defendants in their various roles with the Crown were involved in the prosecution which founds 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motion to dismiss the defence application rests on his submission that the relief sought in the defendants' application has already been dealt with in the decisions of Master Hyslop and Wilson J. The plaintiff brought his motion to permit him to introduce at the hearing of the defendants' motion material outside the pleadings, including the judgments of Master Hyslop and Mr. Justice Wilson. The defence application was brought under Rule 19(24)(a) and Rule 19(27) provides that no evidence is admissible under Rule 19(24)(a). The Court must determine an application under subrule (24)(a) on the pleadings alone with the facts contained therein presumed true. In </w:t>
      </w:r>
      <w:r>
        <w:rPr>
          <w:rFonts w:ascii="arial" w:eastAsia="arial" w:hAnsi="arial" w:cs="arial"/>
          <w:b/>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[2000] B.C.J. No. 1203</w:t>
        </w:r>
      </w:hyperlink>
      <w:r>
        <w:rPr>
          <w:rFonts w:ascii="arial" w:eastAsia="arial" w:hAnsi="arial" w:cs="arial"/>
          <w:color w:val="000000"/>
          <w:sz w:val="20"/>
          <w:lang w:val="en-US" w:eastAsia="en-US" w:bidi="ar-SA"/>
        </w:rPr>
        <w:t xml:space="preserve"> (B.C.S.C.) at [paragraph] 8 [37], Drossos J. noted that while no evidence is admissible on an application under subrule 24(a):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evidence may be used in an application pursuant to Rule 19(24)(d) such as in the case of where issues of res judicata are involved or other issues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19(24)(a) and (d) and (27) state in part:</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motion under s. 19(24)(d) enables him to introduce evidence to support his submission that the questions raised in the defendants' January 23, 2006 motion have already been determined following the hearing before Master Hyslop and the subsequent appeal before Mr. Justice Wilson. On January 7, 2005 the plaintiff filed a motion seeking an order under Rule 15(5)(a)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Anthony Varesi, Gillespie Renkema Barnett Broadway, a partnership, David Edwards, and Lancaster, Brooks &amp; Welch, a partnership, be added as defendants to the within action;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Writ of Summons and Attached Statement of Claim be amended accordingly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on January 21, 2005 filed a motion seeking an order pursuant to Rule 19(24)(a) and (b):</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paragraphs 15, 16 and 17 of the Amended Statement of Claim filed herein on January 6, 2005 be struck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then counsel for the defendants advised plaintiff's counsel that he was not going to proceed with the Rule 19(24)(a) and (b) application and therefore only the plaintiff's notice of motion to add the defendants proceeded before Master Hyslop on January 31,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her judgment filed April 5, 2005, Master Hyslop denied the plaintiff's application to add Anthony Varesi, the partnership of Gillespie Renkema Barnett Broadway, and David Edwards as defendants, a decision subsequently overturned by Mr. Justice A.F. Wilson who on June 2, 2005 allowed the plaintiff's appeal from the Master's decision and ordered the addition of the three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That background brings the course of this action to the applications which are presently before the court. The defendants, now represented by the present counsel, brought an amended notice of motion dated January 23, 2006 applying for an order pursuant to Rule 19(24)(a) that the plaintiff's Amended Amended writ of Summons and Amended Amended Statement of Claim be struck as failing to disclose a reasonable claim or, alternatively, that the proceedings be stayed on the grounds that the pleadings disclose no reasonable claim in that they are vague and lacking substance. The plaintiff responded with his amended notice motion dated January 27, 2006 for an order pursuant to Rule 19(24)(d) dismissing the defendants' motion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and/or issue estoppel. I will deal first with the plaintiff's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issue estoppel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RES JUDICATA</w:t>
      </w:r>
      <w:r>
        <w:rPr>
          <w:rFonts w:ascii="arial" w:eastAsia="arial" w:hAnsi="arial" w:cs="arial"/>
          <w:b/>
          <w:color w:val="000000"/>
          <w:sz w:val="20"/>
          <w:lang w:val="en-US" w:eastAsia="en-US" w:bidi="ar-SA"/>
        </w:rPr>
        <w:t xml:space="preserve"> OR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submits that although the defendants did not proceed with their application under Rule 19(24)(a) and (b) before Master Hyslop, the defendants' response to the plaintiff's application to add new defendants under Rule 15(5)(a) incorporated the question of the sufficiency of the plaintiff's pleadings which the plaintiff contends is the same issue addressed in the defendants' Rule 19(24)(a) application now before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submission leads to a consideration of those portions of Mr. Justice Wilson's decision in </w:t>
      </w:r>
      <w:r>
        <w:rPr>
          <w:rFonts w:ascii="arial" w:eastAsia="arial" w:hAnsi="arial" w:cs="arial"/>
          <w:b/>
          <w:i/>
          <w:color w:val="000000"/>
          <w:sz w:val="20"/>
          <w:lang w:val="en-US" w:eastAsia="en-US" w:bidi="ar-SA"/>
        </w:rPr>
        <w:t>Strauss v. Jarvis et al</w:t>
      </w:r>
      <w:r>
        <w:rPr>
          <w:rFonts w:ascii="arial" w:eastAsia="arial" w:hAnsi="arial" w:cs="arial"/>
          <w:color w:val="000000"/>
          <w:sz w:val="20"/>
          <w:lang w:val="en-US" w:eastAsia="en-US" w:bidi="ar-SA"/>
        </w:rPr>
        <w:t xml:space="preserve"> (2 June 2005) Kamloops 34683 which refer to the defendants' submissions relating to the sufficiency of the pleadings against the proposed defendants. Wilson J. at [paragraph] 20 noted that the defendants asserted in reply to the plaintiff's Rule 15(5)(a) application that the plaintiff's pleadings were insufficient as they failed to make any specific allegations against the proposed new defendants, but just sought to expand the allegations made against the existing defendants. Wilson J. stated at [paragraph]20 that the plaintiff's response to the defendants' assertion was that at the then stage of the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discoveries have not been completed, it is sufficient to plead the allegations in general form, that the allegations as set out do give all of the defendants, including the proposed new defendants, notice of what is alleged. I accept that submission. I consider that the allegations in paragraphs 15 to 19 of the proposed Amended Amended Statement of Claim are sufficiently specific that they would give the new proposed defendants notice of what is alleged against them, yet they are sufficiently general that they can include those new defendants and are not restricted merely to the existing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At [paragraph]21 Wilson J. concluded that </w:t>
      </w:r>
      <w:r>
        <w:rPr>
          <w:rFonts w:ascii="arial" w:eastAsia="arial" w:hAnsi="arial" w:cs="arial"/>
          <w:b/>
          <w:i/>
          <w:color w:val="000000"/>
          <w:sz w:val="20"/>
          <w:lang w:val="en-US" w:eastAsia="en-US" w:bidi="ar-SA"/>
        </w:rPr>
        <w:t>Quintette Coal Ltd. v. Bow Valley Resource Services Ltd.</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(1986), 6 B.C.L.R. (2d) 347</w:t>
        </w:r>
      </w:hyperlink>
      <w:r>
        <w:rPr>
          <w:rFonts w:ascii="arial" w:eastAsia="arial" w:hAnsi="arial" w:cs="arial"/>
          <w:color w:val="000000"/>
          <w:sz w:val="20"/>
          <w:lang w:val="en-US" w:eastAsia="en-US" w:bidi="ar-SA"/>
        </w:rPr>
        <w:t xml:space="preserve"> (B.C.S.C.) expressed the test under Rule 15(5)(a) to be that before joining new parties the court must find that the issue raised between the plaintiff and the proposed new defendants is a real one which is not entirely frivolous and would result in courts wasting judicial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Wilson J. also considered the sufficiency of the pleadings against the proposed defendants in the context of the test to strike out pleadings under Rule 19(24)(a) as expressed by Madam Justice Wilson in </w:t>
      </w:r>
      <w:r>
        <w:rPr>
          <w:rFonts w:ascii="arial" w:eastAsia="arial" w:hAnsi="arial" w:cs="arial"/>
          <w:b/>
          <w:i/>
          <w:color w:val="000000"/>
          <w:sz w:val="20"/>
          <w:lang w:val="en-US" w:eastAsia="en-US" w:bidi="ar-SA"/>
        </w:rPr>
        <w:t>Hunt v. Carey Canada Inc</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[paragraph]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of the British Columbia Rules of Court is the same as the one that governs an application under R.S.C.O.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Justice Wilson, after comparing the test in a Rule 15(5) application to the test in a Rule 19(24)(a), stated at [paragraph] 23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23 Although it is not precisely the same test, the situation is analogous to an application under Rule 19(24)(a) to strike pleadings on the grounds that they disclose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Justice Wilson therefore concluded that the test on a Rule 15(5) application as described in </w:t>
      </w:r>
      <w:r>
        <w:rPr>
          <w:rFonts w:ascii="arial" w:eastAsia="arial" w:hAnsi="arial" w:cs="arial"/>
          <w:b/>
          <w:i/>
          <w:color w:val="000000"/>
          <w:sz w:val="20"/>
          <w:lang w:val="en-US" w:eastAsia="en-US" w:bidi="ar-SA"/>
        </w:rPr>
        <w:t>Quintette</w:t>
      </w:r>
      <w:r>
        <w:rPr>
          <w:rFonts w:ascii="arial" w:eastAsia="arial" w:hAnsi="arial" w:cs="arial"/>
          <w:color w:val="000000"/>
          <w:sz w:val="20"/>
          <w:lang w:val="en-US" w:eastAsia="en-US" w:bidi="ar-SA"/>
        </w:rPr>
        <w:t xml:space="preserve"> was distinct from the test to be applied in a Rule 19(24)(a) application as described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I concur with his conclusion and determine that although the outcome as to the sufficiency of the pleadings raised under a Rule 15(5)(a) application might lead to the same outcome as if the pleadings were viewed in the context of a Rule 19(24)(a) motion, it is also possible that the result might be different, given that the tests under the two rules differ. The differing tests in the two rules leave open the possibility of different results arising from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satisfied that the fact that the test applicable in the Rule 15(5)(a) motion considered by Wilson J. and the test in the Rule 19(24)(a) before me are different is alone sufficient for me to conclude that the question determined by Wilson J. under Rule 15(5)(a) is not the question raised before me in this Rule 19(24)(a)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there is a further difference between the two motions and that lies in the identity of the parties. The motion before Master Hyslop and subsequently before Mr. Justice Wilson involved the defendants as they then existed and the plaintiff. The plaintiff's motion sought the addition of the three defendants, Mr. Varesi, his law firm Gillespie Renkema Barnett Broadway, and Mr. Edwards, none of whom were parties to the action at the time of the application. Then counsel for the named defendants appeared at the hearing of the Rule 15(5)(a) motion on behalf of the proposed defendants, but it was not until Wilson J. made his order that the three proposed defendants actually became defendants. Although this might be a somewhat technical position, I cannot see how the proposed defendants, not then parties, can be viewed as parties to the previous decision, although they are parties to the present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find that the plaintiff's motion under Rule 19(24)(d) based on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issue estoppel fails leading to a consideration of the defendants' motion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contend that the Amended Amended Statement of Claim fails to disclose a reasonable claim and should be struck pursuant to Rule 19(24)(a). Alternatively, the defendants seek an order staying the proceedings until the plaintiff has properly pled the material facts necessary to establish any cause of action as required by Rule 19(1)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as brief as the nature of the case will permit and must contain a statement in summary form of the material facts on which the party relies, but not the evidence by which the facts are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test applicable in a Rule 19(24)(a) motion as brought by the defendants is expressed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as referred to in [paragraph] 13 above, and I pay particular heed to the following portion of that extract from Madam Justice Wilson's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submit that the plaintiff "seems to be advancing" the following causes of action: malicious prosecution; negligent investigation; s. 7 breach of the </w:t>
      </w:r>
      <w:r>
        <w:rPr>
          <w:rFonts w:ascii="arial" w:eastAsia="arial" w:hAnsi="arial" w:cs="arial"/>
          <w:b/>
          <w:i/>
          <w:color w:val="000000"/>
          <w:sz w:val="20"/>
          <w:lang w:val="en-US" w:eastAsia="en-US" w:bidi="ar-SA"/>
        </w:rPr>
        <w:t>Charter</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possibly misfeasance in public office; possibly negligent prosecution; administrative law breach; and an unknown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response is that the Amended Amended Statement of Claim sets out the grounds for the four causes of action it is alleging against the defendants who were involved in the events leading to his prosecution. The causes of action are malicious prosecution, malfeasance of public office, breach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satisfied that the facts found in the Statement of Claim, assuming they can be proven, might provide a basis for the causes of action advanced by the plaintiff, although I acknowledge that malfeasance of public office is not at this time a well grounded cause of action. I am unable to find, as advanced by the defendants, that the plaintiff's statement of claim discloses no reasonable cause of action, which is the test that the defendants must meet in order to have the plaintiff's pleadings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submit that the plaintiff in his Amended Amended Statement of Claim fails to provide in summary form the material facts on which he relies to prove his claim. I find that the pleadings provide sufficient material facts on which to advance his claim, keeping in mind the directive that pleadings are to be as brief as the nature of the case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application under Rule 19(24)(a) is dismissed. The plaintiff will have his costs at scale 3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Tung v. Allen, [2008] B.C.J. No. 970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F.W. 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29 - May 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40572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970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2008 BCSC 666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168 A.C.W.S. (3d) 97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Jodi Lynn Tung, Plaintiff, and Norman Edward Allen,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2" w:name="Keywords_40"/>
      <w:bookmarkEnd w:id="262"/>
      <w:r>
        <w:rPr>
          <w:rFonts w:ascii="arial" w:eastAsia="arial" w:hAnsi="arial" w:cs="arial"/>
          <w:b/>
          <w:color w:val="000000"/>
          <w:sz w:val="20"/>
          <w:lang w:val="en-US" w:eastAsia="en-US" w:bidi="ar-SA"/>
        </w:rPr>
        <w:t>Damages — Assessment of damages — Measure of damages — Action for damages for injuries arising from a motor vehicle accident allowed in part — Defendant argued injuries were exaggerated — Plaintiff suffered a soft-tissue injury that should resolve itself over time — Plaintiff was awarded non-pecuniary damages, loss of capacity to do her housekeeping, past lost wages and nominal costs for future medical care — Plaintiff's ongoing symptoms would not affect her ability to work and did not entitle her to a claim for future loss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3" w:name="Case Summary_34"/>
            <w:bookmarkEnd w:id="2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arising from a motor vehicle accident. The defendant admitted liability. The plaintiff sought general damages, special damages, past wage loss, loss of future earning capacity, future care costs and loss of housekeeping capacity. The defendant argued that the injuries were not permanent, that the plaintiff exaggerated her injuries and that she did not take the medication she claimed.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4" w:name="Holdings of Court_27"/>
            <w:bookmarkEnd w:id="26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 credible witness. The court found that the plaintiff suffered a soft-tissue injury that should resolve itself over time. The appropriate award for non-pecuniary damages was $60,000. The plaintiff had a valid claim for loss of capacity to do her housekeeping assessed at $5,000. The plaintiff was awarded $19,000 for past lost wages. The plaintiff's ongoing symptoms would not affect her ability to work and did not entitle her to a claim for future loss of earning capacity. The plaintiff was entitled to $1400 for the cost of future medical care and therapy.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5" w:name="Counsel_41"/>
      <w:bookmarkEnd w:id="2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6"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Gary P. Weatherill.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Kyle D. Watts.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6" w:name="Judgment_41"/>
      <w:bookmarkEnd w:id="266"/>
      <w:r>
        <w:pict>
          <v:line id="_x0000_s1227" style="position:absolute;z-index:2518036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7" w:name="F.W. COLE J._0"/>
            <w:bookmarkEnd w:id="267"/>
            <w:r>
              <w:rPr>
                <w:rFonts w:ascii="arial" w:eastAsia="arial" w:hAnsi="arial" w:cs="arial"/>
                <w:b/>
                <w:color w:val="000000"/>
                <w:sz w:val="30"/>
                <w:lang w:val="en-US" w:eastAsia="en-US" w:bidi="ar-SA"/>
              </w:rPr>
              <w:t>F.W. 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Jodi Lynn Tung, age 35, seeks damages for soft tissue injuries suffered in a motor vehicle accident on June 30, 2005. Liability is admitted. The plaintiff claims general damages, special damages, past wage loss, loss of future earning capacity, future care costs, and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June 30, 2005, the plaintiff was driving her Honda Accord on Highway 97, in Kelowna, when she stopped in a line of traffic. She was rear ended by a black truck, driven by the defendant. She did not see or hear what happened. She said that, after the impact, she was shocked and "out of it". She got out of her vehicle and exchanged information with the defendant. When she went back to her vehicle, she realized that the ball cap and glasses that she had been wearing had ended up in the back seat of her car. Her vehicle was not repairable. She received $8,100 from the insurance company and kept her car, which she sold for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She did not think to call the police or an ambulance but, instead, went to a restaurant to phone BCAA. There, she found that she had a difficult time looking up the telephone number. An ambulance went by and a paramedic asked her if she was alright. She says that she has no idea why she said "yes" or why she did not have the paramedic check her out, particularly as she was 24 weeks pregnant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police arrived and the tow truck took her to Vernon, where her husband picked her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accident, the plaintiff was a healthy individual with no musculoskeletal symptoms. She has a degree in social work and works for the Ministry of Child and Family Services as a child protection worker. Her job is a stressful one, assessing and apprehending children in need of protection. She works 8:30 - 4:30, plus emergencies, and is on-call some weekends. She says that she deals with the stress by engaging in rigorous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accident, she played for three different slow pitch teams and three different volleyball teams. She also played hockey, ringette, and golf, worked out at the gym, and attended an outdoor exercise program, called boot camp, three times a week from 5:30 a.m. to 6:30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Shortly after the accident, she had soreness in her hip and sternum. Later that evening, she had pain in her neck and right shoulder, her tailbone felt "like a knife went through it", and she had stiffness in her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following day she could hardly get out of bed because of her stiffness and pain. She then went to a walk-in clinic because she was concerned about her unborn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Throughout July she had a lot of pain and could not take medication because of the pregnancy. She was off work for 2-3 weeks after which she started back gradually. However, she never worked more than three days a week from the time she returned until October 7, when she took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Because her car was a write-off, she and her husband road-tested a new vehicle. She said that she "freaked out" while sitting in the passenger seat; she said she felt unsafe and shaky, and that she became anxious if she looked in the rear view mirror. This anxiety from being in a car has never gone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did not seek counselling at that time, nor did she discuss the extent of her anxiety with her husband because she thought that she could handle it without involving others. She said that she loves driving and was embarrassed to talk about her anxiety, particularly as it did not fit in with her personality as an orderly and organized individual who controls and overcomes adversity in her own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Tung had a longstanding agreement, with her brother and sister, to drive to Winnipeg on August 12. On that trip, she had to sit with an icepack under her tailbone whenever it was her turn to drive. She had planned on returning home by herself but had to get her mother to accompany her and to do most of the driving back to Vernon.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commenced physiotherapy, which she found to be helpful. She also had massage therapy, but it has had no lasting benefit. In October of 2006, after her maternity leave was completed, she returned to work on a full-time basis. She was seconded to work in Golden, commencing in November, for a period of six months. However, she left at the end of January of 2007 because of her anxiety about driving and because she had recurring dreams of abandoning her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October 7, 2005, she started back at the gym but that was not helpful. She said she did not go any place without an icepack for her tailbone and that she used an airline pillow for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winter of 2005 she played some hockey. In January she started playing some volleyball but found that it was hard on her neck. She also went back to boot camp but at a greatly reduced level of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September of 2005, she was referred to Dr. Duncan, who specializes in pain control. He recommended acupuncture, which she tried. However, she found that this form of treatment only achieved limited success. She was also referred to Dr. Raghavan, who is a rheumatologist and also a specialist in physical medicine and rehabilitation. Dr. Raghavan recommended that she continue her exercise program and consider trigger point, facet point, and sacroiliac joint injections in the future. He also recommended continued use of anti-inflammatories, which she continues to take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early 2007, shortly after returning to work in Vernon, the plaintiff was almost struck by a vehicle when she was in a cross-walk. She was shaken up by this experience and took the Friday and following Monday off work. She contacted I.C.B.C. to inquire about driving lessons. At that time, I.C.B.C. suggested that she seek help with addressing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was then that she discussed her anxiety, with respect to driving, with her general practitioner, Dr. Friesen. She did not discuss this with him previously because she said that she is not the "whining type of person" and would not tell him unless she was specifically asked. Again, she had felt that she could control and resolve this problem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Her general practitioner recommended that the plaintiff see Dr. Neilson, a psychologist, and she made an appointment for February of 2007. The plaintiff has now been seeing Dr. Neilson for approximately a year. Dr. Neilson diagnosed the plaintiff as having Post Traumatic Stress Disorder. The plaintiff says she had difficulty absorbing this diagnosis because she believed that she was "a stronger person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the plaintiff returns to work on June 2 of this year, she has decided to do so in a new position. She says that she has made this decision because she is not physically capable of continuing in her present job, due to the fact that it requires a fair amount of driving, and that often the driving is on an emergency basis where she does not have time to plan out her best route. Her new job, which is at the same rate of pay as her old one, will be acting as a resource social worker for foster parents and recruiting foster parents. In addition to her lack of physical ability and anxiety, she has changed jobs because she is now less able to deal with the stress of being a protection worker by engaging in physical activities. She says that if she cannot be 100% mentally fit and physically fit, she cannot do her job. On cross-examination, she admitted that another reason for which she wanted to change her job was that her new job fit in with her emerging lifestyle as a part of a young growing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physical activities are still greatly reduced and she does not play sports at the frequency and at the competitive level she did in the past. Her ability to do housework has also been affected. She admits to being a neat freak but claims that she cannot do any housework above her head or any heavy housework. Since November/December of 2005, she has had a house cleaner, once or twice every second week, at $20/hour.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is still taking anti-inflammatories and wishes to continue to see Dr. Neilson who charged $140/hour.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still has soreness and continual pain in both her neck and tailbone, and has periodic flare 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expert, Duncan Laidlow, who is a physical medicine and rehabilitation expert, said in his report dated February 4,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suspect that she will be continuing to [be] prone to mechanical lower back pain, although the discomfort will lessen and be much less troublesome if she could fully restore her range of motion to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may require the odd use of anti-inflammatories during times of flare-up.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Travlos, who is an expert in physical medicine and rehabilitation, states in his report of September 10,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Tung's current residual neck and shoulder symptoms are a result of the accident. It is likely that these symptoms will slowly continue to improve and ultimately resolve. The current symptoms are intermittent and as time goes on the distance between episodes will lengthen and eventually the flare-ups will just stop occurring.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Tung's tailbone symptoms are clearly an ongoing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Further on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her current low back/pelvic symptoms is intermittent and this bodes well for further recovery. Assuming that additional tests are negative, it is likely that Ms. Tung's lower back symptoms will reduce. It is probable, however, that she will remain symptomatic to some extent with certain types of activities and that she will always be cautious with what she does in order to avoid aggravating her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general practitioner, Dr. Friesen, states in his report of January 12,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unable to comment on the probable duration of her symptoms. I am hopeful, however, that with ongoing treatment and continued increase in physical activity, Ms. Tung will be able to return to the type of lifestyle she once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re-examination, Dr. Friesen explained that sentence by saying that he was optimistic that she is motivated and that, with treatment and physical activity, there is room for improvement in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Raghavan, an expert in physical medicine and rehabilitation wrote a report, which is dated February 4, 2007. There, he said that his diagnosis was: "chronic axial pain", which he says was secondary to the injury sustained in the motor vehicle accident. He also felt, in view of the widespread tenderness in her axial spine, that there was a significant component of myofacial pain disorder. He recommended treatment including trigger point injections, diagnostic injections to establish whether her neck pain is coming from facet joint pathology and, if it is, a surgical procedure called facet rhizotomy (freezing of the joints), diagnostic injections for lower back symptoms, and pharmacological options to supplement these treatments. He encouraged her to continue with physical exercise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 argues that this is a case of purely soft-tissue injuries and that there are no objective findings by any of the professionals involved with the plaintiff. They quote the often cited decision of McEachern C.J.S.C. (as he then was) in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where the Chief Justice stated at 398: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Perhaps no injury has been the subject of so much judicial consideration as the whiplash. Human experience tells us that these injuries normally resolve themselves within six months to a year or so. Yet every physician knows some patients whose complaint continues for years, and some apparently never recover. For this reason, it is necessary for a court to exercise caution and to examine all the evidence carefully so as to arrive at fair and reasonable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view, there is objective evidence provided by the defendant's own expert, Dr. Laidlow. He states, at page 6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lower back revealed some muscular tightness in the paraspinal and gluteal muscles. There was tenderness noted in the paraspinal musculature on either side of the lower back, in addition to discomfort noted to direct palpitation of the trapezius and rhomboid areas in the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Practically all the experts called describe the plaintiff as being highly motivated. Her attempt to get back into playing sports and exercise is indicative of her motivation and inconsistent with her being a malingerer.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also submits that there are many inconsistencies with respect to the plaintiff's evidence at trial and what she has reported to the various physicians. They say she exaggerates her symptoms and that she does not take the amount of anti-inflammatory medication that she says she takes. Furthermore, the defendant submits that her working overtime between January 1 and May 31, 2007, is inconsistent with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accept that there are numerous inconsistencies with respect to the plaintiff's evidence, but I still find that she is a credible witness. She is not a complainer; she is an extremely private person. She answers questions when put to her by her physicians; if she does not remember specific incidents she does not guess, and if the physician does not ask questions directly, she does not offer explanations. There is no surprise that the frequency of her sporting activities is not reported exactly the same by all treating physicians, due in part, I am satisfied, to the numerous physical activities with which she was attempting to re-engage, the number of physicians she has seen, and the relatively lengthy period of time that she was reporting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satisfied that the plaintiff is a credible witness, that the medical evidence for the most part is consistent with her description of her injuries, and I find that she has suffered a soft-tissue injury that would be described as the upper end of a moderate soft-tissue injury that should resolve itself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Before dealing with the issues of non-pecuniary damages, I wish to deal with the issue of Post Traumatic Stress Disorder because the defendant takes the position that due to the second incident, when the plaintiff was nearly struck by a truck in a cross-walk, that I must assess damages for Post Traumatic Stress Disorder on the basis of the principles set forth in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(1968), 65 W.W.R. 577 (BCCA), where Robertson J.A. stated at 591: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the way in which justice can best be done here is: (a) To assess as best one can what the plaintiff would have recovered against the Thiessens had his action against them been tried on April 22, 1966 (the day before the second accident), and to award damages accordingly; (b) To assess global damages as of the date of the trial in respect of both accidents; and (c) To deduct the amount under (a) from the amount under (b) and award damages against Laliberte in the amount of the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That approach has been applied most recently in </w:t>
      </w:r>
      <w:r>
        <w:rPr>
          <w:rFonts w:ascii="arial" w:eastAsia="arial" w:hAnsi="arial" w:cs="arial"/>
          <w:b/>
          <w:i/>
          <w:color w:val="000000"/>
          <w:sz w:val="20"/>
          <w:lang w:val="en-US" w:eastAsia="en-US" w:bidi="ar-SA"/>
        </w:rPr>
        <w:t>Kailey v. Kellner</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2007 BCSC 1449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However,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subsequently in </w:t>
      </w:r>
      <w:r>
        <w:rPr>
          <w:rFonts w:ascii="arial" w:eastAsia="arial" w:hAnsi="arial" w:cs="arial"/>
          <w:b/>
          <w:i/>
          <w:color w:val="000000"/>
          <w:sz w:val="20"/>
          <w:lang w:val="en-US" w:eastAsia="en-US" w:bidi="ar-SA"/>
        </w:rPr>
        <w:t>E.D.G. v. Hammer</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xml:space="preserve">, the Supreme Court of Canada held that tortfeasors liable for separate tortious incidents, which caused a single injury, are jointly and severally liable to the plaintiff for all of the damages, and apportionment is merely an application of the provincial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This latter approach was approved by Mr. Justice Shaw in </w:t>
      </w:r>
      <w:r>
        <w:rPr>
          <w:rFonts w:ascii="arial" w:eastAsia="arial" w:hAnsi="arial" w:cs="arial"/>
          <w:b/>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 where the learned trial judge examined the history of these two approaches.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am satisfied in, this case, that the two incidents that the plaintiff was involved in are indivisible. The anxiety caused to the plaintiff by the second incident is directly connected to the accident involving the defendant. Since the individual that caused the second accident was not before the court, as was the case in </w:t>
      </w:r>
      <w:r>
        <w:rPr>
          <w:rFonts w:ascii="arial" w:eastAsia="arial" w:hAnsi="arial" w:cs="arial"/>
          <w:b/>
          <w:i/>
          <w:color w:val="000000"/>
          <w:sz w:val="20"/>
          <w:lang w:val="en-US" w:eastAsia="en-US" w:bidi="ar-SA"/>
        </w:rPr>
        <w:t>Ashcroft,</w:t>
      </w:r>
      <w:r>
        <w:rPr>
          <w:rFonts w:ascii="arial" w:eastAsia="arial" w:hAnsi="arial" w:cs="arial"/>
          <w:color w:val="000000"/>
          <w:sz w:val="20"/>
          <w:lang w:val="en-US" w:eastAsia="en-US" w:bidi="ar-SA"/>
        </w:rPr>
        <w:t xml:space="preserve"> where there was a settlement of the claim, the defendant is liable for all of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 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Since the accident, the plaintiff has described her anxiety that results from sitting in a motor vehicle and not wanting to look into the rear-view mirror, her anxiety about driving, and her recurring nightmares, one of which being that she has left one of her children on the side of the road. This anxiety was never revealed to her family doctor until the incident in early 2007. It was only after that event that she discussed it and was referred to Dr. Neilson, a registered psychologist who first saw the plaintiff on April 20, 2007. Dr. Neilson diagnosed the plaintiff as having Post Traumatic Stress Disorder. The facts and assumptions made by Dr. Neilson include the following:</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Tung experienced her accident as traumatic, with feelings of fear and helplessness;</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motor vehicle accident, Ms. Tung has experienced post-traumatic symptoms, including re-experiencing, avoiding and hyper-arousal;</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Tung experiences some intrusive thoughts and images of the accident;</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Tung tries to avoid reminders of the accident;</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Tung finds it difficult to think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am satisfied, after reviewing the evidence, that the plaintiff has not proven all of those assumptions set out above. In </w:t>
      </w:r>
      <w:r>
        <w:rPr>
          <w:rFonts w:ascii="arial" w:eastAsia="arial" w:hAnsi="arial" w:cs="arial"/>
          <w:b/>
          <w:i/>
          <w:color w:val="000000"/>
          <w:sz w:val="20"/>
          <w:lang w:val="en-US" w:eastAsia="en-US" w:bidi="ar-SA"/>
        </w:rPr>
        <w:t>R. v. Abbey</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[1982] 2 S.C.R. 24</w:t>
        </w:r>
      </w:hyperlink>
      <w:r>
        <w:rPr>
          <w:rFonts w:ascii="arial" w:eastAsia="arial" w:hAnsi="arial" w:cs="arial"/>
          <w:color w:val="000000"/>
          <w:sz w:val="20"/>
          <w:lang w:val="en-US" w:eastAsia="en-US" w:bidi="ar-SA"/>
        </w:rPr>
        <w:t xml:space="preserve"> at 46, the Court said the following regarding the assessment of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Before any weight can be given to an expert's opinion, the facts upon which the opinion is based must be found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was recently affirmed in </w:t>
      </w:r>
      <w:r>
        <w:rPr>
          <w:rFonts w:ascii="arial" w:eastAsia="arial" w:hAnsi="arial" w:cs="arial"/>
          <w:b/>
          <w:i/>
          <w:color w:val="000000"/>
          <w:sz w:val="20"/>
          <w:lang w:val="en-US" w:eastAsia="en-US" w:bidi="ar-SA"/>
        </w:rPr>
        <w:t>R. v. Stinn</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2003 BCSC 966</w:t>
        </w:r>
      </w:hyperlink>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satisfied that no weight should be given to Dr. Neilson's report, however, I do accept the evidence of the plaintiff that she suffered anxiety because of the motor vehicle accident of June 30, 2005. I do accept the fact that Dr. Neilson confirmed that the plaintiff found that the near-collision that the plaintiff experienced in the crosswalk in early 2007 was quite traumatic and has likely led to an increase in the intensity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 says that the conservative range for general damages is $50,000 - $75,000. The defendant is of the view that general damages are between $20,000 and $30,000. Both counsel provide ample authorities to justify their range of damages. But, as noted by Mr. Justice McEachern C.J.S.C. (as he then was) in </w:t>
      </w:r>
      <w:r>
        <w:rPr>
          <w:rFonts w:ascii="arial" w:eastAsia="arial" w:hAnsi="arial" w:cs="arial"/>
          <w:b/>
          <w:i/>
          <w:color w:val="000000"/>
          <w:sz w:val="20"/>
          <w:lang w:val="en-US" w:eastAsia="en-US" w:bidi="ar-SA"/>
        </w:rPr>
        <w:t>Price</w:t>
      </w:r>
      <w:r>
        <w:rPr>
          <w:rFonts w:ascii="arial" w:eastAsia="arial" w:hAnsi="arial" w:cs="arial"/>
          <w:color w:val="000000"/>
          <w:sz w:val="20"/>
          <w:lang w:val="en-US" w:eastAsia="en-US" w:bidi="ar-SA"/>
        </w:rPr>
        <w:t>, at 398, "Previously decided cases are some help (but not much, because obviously every case is different)." Taking into account the fact that Ms. Tung suffered a period of three weeks of almost total disability, followed by partial disability as reflected in her loss of income, and considering that she will continue to have some disability for an unknown period of time, I am satisfied that the appropriate award for non-pecuniary damages is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claims housekeeping expenses at $40 for two hours every second week. She says that she is unable to handle the heavier aspects of her housekeeping duties. She provides, however, only two receipts totalling $80 but makes a total claim of $2,560. Dr. Travlos, the plaintiff's expert in physical medicine and rehabilitation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Tung is capable of doing chores and activities around the house and she should remain capable of doing most of these, other than the heavier, more repetitive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Under the section "History &amp; Physical Examination" Dr. Travlos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home, she generally does all the chores inside the home and her husband does the outside yard work. She also has a cleaner come in to the house for two hours per week to do the heavier chores. She noted that there is nothing that she cannot do, but avoids the heavier and repetitive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cross-examination, the plaintiff admitted that, in terms of household chores, there was nothing she could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Laidlow, the defendant's expert in physical medicine and rehabilitation,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believe that she is capable of doing the activities around her home, although it may take a longer period of time then it might otherwise have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told Dr. Laidlow that she gets help with her housekeeping and ceiling fans.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satisfied that the plaintiff is capable of doing all her housekeeping duties although it will take her a longer period of time to do them and that she may find it more difficult to do some of the heavier chores. In my view, this is not a case of the plaintiff not being able to perform this function. She has chosen to pay for housekeeping and I do not accept that this is a proper claim. However, in my view, she has a valid claim for loss of capacity to do her housekeeping duties and I assess that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claims the sum of $345 for physiotherapy, which in my view, is a valid claim. The plaintiff also claims $700 for her appointments with her psychologist, Dr. Patricia Neilson, from January 3 to April 4, 2008. I am satisfied that that too is a valid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claims the sum of $58 for daycare in order for her to attend an appointment for an Independent Medical Examination with Dr. Travlos, her own specialist. In my view that is a proper claim for a disbursement, not a special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also claims $400 for boot camp, I am of the view that that is something she participated in on a frequent basis prior to the accident and is not a proper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Finally, the plaintiff claims the sum of $500 for mileage and over-the-counter medications. However, she does not provide any details of what the mileage is for or receipts for the medications claimed. Although I agree with the plaintiff that my function is to assess damages, not calculate them, there must be something more than a bare assertion that she is entitled to "something". I do not find that this is a valid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claims the sum of $19,522.02 for past wage loss. This includes a loss of $9,725.30 in wages with respect to her base salary from June 30, 2005 to October 7, 2005. She also lost overtime and income from duty weekends. There is also a claim for reduced hours between March 23, 2007 and June 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did not really contest these claims and I am satisfied, in any event, that the plaintiff has substantiated them. Thus, I order that the defendant pay the plaintiff $19,522.02. Counsel indicated that they could agree upon a calculation to account for taxes. If there is no agreement they can speak to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is changing her job from a child protection worker to a resource social worker. It is clear that she enjoyed the challenge of being a child protection worker, although it was highly stressful. She says that she is making a lateral move, in part, because of her ongoing physical limitations, which compromise her ability to cope with the stress of the job, and her anxiety regarding driving. However, she also acknowledges that this lateral move is better-suited to her family needs and her lifestyle, as her new position will require less weekend work and less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Travlos'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Tung is capable of working full-time and has demonstrated the capacity to do so. Assessing her in my office, she clearly is limited from being able to sit for lengthy periods of time and this will impact on her work. She may also have to adapt her work station, so that she is not sitting all the time. She may need to have a standing workstation or even voice activation software to help her to type up letters without having to sit for prolonged periods of time. Both the neck and the tailbone symptoms will impact on the enjoyment of her work, but she should still be capable of gainful full-time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Laidlow was also of the view that she was capable of performing her job as a social worker and that she may have to change her working environment so as to make it more comfortable for her to perform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"capital asset" test for determining whether there has been a loss of future earning capacity was articulated in </w:t>
      </w:r>
      <w:r>
        <w:rPr>
          <w:rFonts w:ascii="arial" w:eastAsia="arial" w:hAnsi="arial" w:cs="arial"/>
          <w:b/>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There, Madam Justice Southin stated, at 399: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true questions the jury must address in a claim such as this are: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to any degree by his injuries?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amount in the light of all the evidence should be awarded for that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Mr. Justice Finch (as he then was) referred to several cases, including </w:t>
      </w:r>
      <w:r>
        <w:rPr>
          <w:rFonts w:ascii="arial" w:eastAsia="arial" w:hAnsi="arial" w:cs="arial"/>
          <w:b/>
          <w:i/>
          <w:color w:val="000000"/>
          <w:sz w:val="20"/>
          <w:lang w:val="en-US" w:eastAsia="en-US" w:bidi="ar-SA"/>
        </w:rPr>
        <w:t>Earnshaw</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He stated, at 269: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does not appear that the trial judge had his attention drawn to any of these cases, or to the approach they suggest. These cases all treat a person's capacity to earn income as a capital asset, whose value may be lost or impaired by injury. It is a different approach from that taken in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 </w:t>
      </w:r>
      <w:hyperlink r:id="rId73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and similar cases, where the court is asked to determine the likelihood of some future event leading to loss of income. Those cases say, if there is a "real possibility" or a "substantial possibility" of such a future event, an award for future loss of earning may be made. There is nothing in the case law to suggest that the "capital asset" approach and the "real possibility" approach are in any way mutually exclusive. They are simply different ways of attempting to assess the same head of damages,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case at bar, I am not satisfied that the plaintiff's injuries are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describes herself as a "lifer" with the Ministry of Child and Family Services. She intends on working with the Ministry until she retires. The Ministry pays well and has good benefits. The plaintiff argues, however, that there are many things that could happen that could result in her having to look elsewhere for work, such as government cutbacks or if she needs to move to a city or town that does not have an opening in social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of the view that it is highly unlikely that the plaintiff will be laid off due to cutbacks as she enjoys the job-security that comes with seniority in the Ministry. As to her being required to move for some unknown reason to a town that does not have social worker openings, I find that this to be far too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What concerns me most, with respect to this aspect of the action, is that the plaintiff has demonstrated that she is capable of working for prolonged periods of time, and accumulating substantial amounts of overtime as she did between January 1, 2007 to May 31, 2007, before taking her maternity leave. During that period of time she earned the sum of $49,905 while her usual hourly rate of $31 per hour would translate to the sum of $23,870 over a 22-week period. Thus, during those 22 weeks, the plaintiff earned $26,035 in overtime pay. The defendant calculates that, based on her regular hourly rate multiplied by time and a half, this translates into an additional 560 hours over the 22-week period, or some 3.6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calculations are suspect. The defendant receives various rates of pay depending on the days worked, and the frequency of the callouts on weekends. There is a standard calculation for being on call at $31 for every 3-hour period and then an accelerated rate for when an individual is actually called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amount of overtime worked, however, even considering an average pay of $62 per hour would translate into 280 hours of overtime over the 22-week period, or 1.8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This satisfied me that, in addition to her having a secure job, her ongoing symptoms do not affect her ability to work as a child protection worker or as a resource social worker, and because her symptoms are not permanent but will resolve over time, the plaintiff has not satisfied me that she is entitled to a claim of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have already dealt with the issue of housekeeping expenses. There is an issue of the cost of future medical care, mainly the cost of muscle relaxants and the cost of future therapy with Dr. Nielsen. In my view, with respect to the cost of future medical care, the sum of $400 is adequate along with $1,000 for the cost of future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have found that the defendant is liable to the plaintiff for the following amounts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2823"/>
        <w:gridCol w:w="2404"/>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2927"/>
        <w:gridCol w:w="230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6,045.00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2823"/>
        <w:gridCol w:w="2404"/>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19,522.02</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346"/>
        <w:gridCol w:w="1882"/>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Medical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2927"/>
        <w:gridCol w:w="230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Therapy</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450"/>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 DAMAGES:</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$86,967.02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will be court ordered interest with respect to past wage loss and special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F.W. 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8"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T.W.N.A. v. Canada, [2000] B.C.J. No. 1016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C886397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1016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773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219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T.W.N.A., E.A.J., G.B.S., K.J.J., F.M.B., B.F.P. and J.M.P., plaintiffs, and Derek Clarke, Anthony William Harding, Her Majesty the Queen in Right of Canada as represented by the Minister of Indian and Northern Affairs, defendants, and The Anglican Church of Canada, the Anglican Diocese of Cariboo, the General Synod of the Anglican Church of Canada, the Synod of the Diocese of Cariboo and Derek Clarke,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9"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8" w:name="Keywords_41"/>
      <w:bookmarkEnd w:id="268"/>
      <w:r>
        <w:rPr>
          <w:rFonts w:ascii="arial" w:eastAsia="arial" w:hAnsi="arial" w:cs="arial"/>
          <w:b/>
          <w:color w:val="000000"/>
          <w:sz w:val="20"/>
          <w:lang w:val="en-US" w:eastAsia="en-US" w:bidi="ar-SA"/>
        </w:rPr>
        <w:t>Practice — Discovery — Time for application for discovery — When available — Trials.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9" w:name="Case Summary_35"/>
            <w:bookmarkEnd w:id="2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an order for discovery of the plaintiff BFP in the middle of a trial. The defendants included the federal government and the Anglican Church of Canada. They operated a residential school. BFP was one of seven plaintiffs who attended the school. They sued the defendants for sexual assaults perpetrated upon them at the school. The principal perpetrators were individuals named Clarke, Harding and Everett. During BFP's examination for discovery he found it difficult to answer questions about Harding's assaults. His counsel was permitted to provide a detailed statement of Harding's activities. This was confirmed by BFP. During his examination-in-chief at the trial, BFP testified about the assaults committed by Clarke, Harding and Everett. The defendants objected to the questions about Harding and Everett. They claimed the questions were irrelevant. The pleadings only pertained to assaults committed by Clarke.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0" w:name="Holdings of Court_28"/>
            <w:bookmarkEnd w:id="27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were put on notice from the pleadings and the discovery that BFP's claims were against all three individuals. They were not restricted in their examination for discovery and could not claim they were prejudiced. Exceptional circumstances did not exist that would justify this order.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1" w:name="Counsel_42"/>
      <w:bookmarkEnd w:id="2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0"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P.R.A. Grant, B. O'Reilly and A.M. Early, for the plaintiffs. M.R. Taylor, J. Mules, A. Maclure and R.S. Whittaker, for Her Majesty the Queen in Right of Canada. G.E.H. Cadman, Q.C., and H.D. Craig, for the Anglican Church of Canada. D.C. Harris and R.A. Finlay, for the Synod of the Diocese of Cariboo.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2" w:name="Judgment_42"/>
      <w:bookmarkEnd w:id="272"/>
      <w:r>
        <w:pict>
          <v:line id="_x0000_s1231" style="position:absolute;z-index:2518046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3" w:name="WILLIAMSON J."/>
            <w:bookmarkEnd w:id="273"/>
            <w:r>
              <w:rPr>
                <w:rFonts w:ascii="arial" w:eastAsia="arial" w:hAnsi="arial" w:cs="arial"/>
                <w:b/>
                <w:color w:val="000000"/>
                <w:sz w:val="30"/>
                <w:lang w:val="en-US" w:eastAsia="en-US" w:bidi="ar-SA"/>
              </w:rPr>
              <w:t>WILLIAMSON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proceeding, which has been underway for 24 days and is expected to take another 30 days, the defendants seek an order permitting further examination of one of the plaintiffs, B.F.P. The plaintiff B.F.P. opposes this application. The third parties take no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arose in the following way. B.F.P. is one of seven plaintiffs in this proceeding suing the defendants as a result of sexual assaults perpetrated upon the plaintiffs while they were residents at St. George's Residential School in Lytton, British Columbia, in the 1960s and 1970s.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principal perpetrator of the sexual assaults was the individual defendant Derek Clarke who was incarcerated for his misdeeds. A second perpetrator was the individual defendant Anthony William Harding, now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B.F.P.'s testimony, he testified about sexual assaults upon him by Clarke, but then went on to testify about certain sexual assaults upon him by Harding, and as well as certain activities of a third employee of St. George's Residential School, one Graham Everett.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the defendants objected to the examination in chief of the plaintiff B.F.P. upon those points on the grounds that they were irrelevant and not covered by the pleadings. It was the position of the defendants that the pleadings alleged that this particular plaintiff had been sexually assaulted by Derek, but did not make that allegation against Harding.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B.F.P. took the position that the pleadings as framed did encompass sexual assaults by Harding upon B.F.P., and that the questions put to B.F.P. at his original examination for discovery indicated that the defendants understood that was so. The following paragraphs in the Statement of Claim are material:</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March 1969, Canada operated the school directly and employed Harding and Clarke directly. Canada is vicariously liable for all sexual assaults and battery, breaches of fiduciary duty which occurred at St. George's School.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in breach of her fiduciary duty and duty of care, Canada operated or caused to be operated St. George's, and the Defendant Harding administered St. George's, whose students and residents, including each of the Plaintiffs herein, were systematically subjected to abuse, mistreatment, and racist ridicule and harassment caused or permitted by each and all of the Defendants, particulars of which include, but are not limited to the following: ...</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assault;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Canada, and the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assault and battery on the part of Harding, and the breach of fiduciary duty, assault and battery on the part of Clarke, the Plaintiff, B.F.P., suffered and continues to suffer damages which include, but are not limited to the following: ...</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trauma;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am satisfied that these pleadings were sufficient to alert prudent counsel to the fact that B.F.P. was seeking damages from the defendants as a result of assaults by Harding upon him. Indeed, paragraph 76, says so expressly.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the defendants says that they conducted the examination for discovery of the plaintiff B.F.P. based not only upon the above excerpts from the pleadings, but upon paragraphs 32 and 33. These paragraphs read: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Harding, on various dates and occasions, and during his course of employment with the Defendant, Canada, committed acts of gross indecency with and sexually assaulted the Plaintiff, K.J.J., who at the time was an infant.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Harding, committed the gross indecency and sexual assaults by threatening, coercing, and manipulating the Plaintiff, K.J.J., and without the consent of K.J.J.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says that these paragraphs had the effect of leading them to focus on Harding's sexual assaults upon another plaintiff, K.J.J., and to conclude that they did not have to deal with an allegation of sexual assault by Harding upon B.F.P. In view of the excerpts from the pleadings quoted above and in particular the clear wording of paragraph 76, I find this argument unpersuasive.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If I were wrong in that conclusion, I would nevertheless decline to grant this application because I conclude, as submitted by counsel for B.F.P., that the defendants conducted their examination for discovery fully aware of the allegations of sexual assault by Harding upon B.F.P. A perusal of the examination for discovery discloses that this is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examination for discovery of B.F.P. took place on December 15, 1999. It was conducted by counsel for the defendant Canada, although not the individual counsel who argued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topic of any assault upon B.F.P. by Harding was raised by counsel for Canada who said: "I understand from Mr. B.F.P.'s trial testimony in Tony Harding's criminal trial that Mr. Harding on one occasion attempted to assault Mr. B.F.P.". In response, B.F.P. said that there were three incidents involving Reverend Harding.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Those incidents were explored by counsel in questions which followed. In particular, an incident said to have taken place in Kamloops was the subject of a number of questions. As far as that incident was concerned, B.F.P. clearly had trouble discussing it. As a result, counsel for B.F.P. said that the matter was an extremely difficult one for the witness to speak about and that he, counsel, could advise about what he had been informed. Counsel for Canada agreed and on the record counsel for B.F.P.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B.F.P. was naked on the bed. When he came to and woke up, Mr. Harding was behind him and was naked. There was stickiness-like semen in Mr. B.F.P.'s anal area. Mr. B.F.P. does not know if he was penetrated or not, but when he woke up, that was -- there had been ejaculation apparently by Mr. Harding in his anal area and he doesn't know whether he was penetrated or not. Is that a fair summary of what you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B.F.P. answered that it was. In the next question he was asked by counsel for Canada if the statement was an accurate summary. B.F.P. replied "It's pretty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discovery, Mr. B.F.P. also was asked questions about the other two alleged incidents; one when he arrived intoxicated at Reverend Harding's residence and woke up the next morning "stark naked" with Harding, and another time when Reverend Harding offered him money to go into his bedroom and he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no time did counsel for B.F.P. object to questions about these incidents. There was no limitation placed upon counsel for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conclude that the defendants were fully aware of the incidents of alleged sexual assault by Reverend Harding, that they were not restricted in their examination for discovery on that topic, and that they cannot now say that they have been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same concerns the other matter upon which the defendants seek further examination of B.F.P., the allegation that he was photographed nude by another employee of St. George's Residential School, Graham Everett. It is alleged that Everett, while employed as a supervisor at St. George's School, habitually photographed the boys living in the residence nude.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matter was raised in interrogatories which had been put to B.F.P. The matter was reviewed in examination for discovery. B.F.P. testified that if he did not let such pictures be taken by Everett he would lose certain privileges. He described those privileges, and he described the "sort of pictures" taken by Mr. Everett as "nude". He said such pictures were taken regularly and they involved a majority of the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Again, there was no objection to this questioning, and counsel was not limited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law with respect to whether further examination for discovery may be ordered during the trial is set out in McFall v. Vancouver Exhibition Assn. </w:t>
      </w:r>
      <w:hyperlink r:id="rId739" w:history="1">
        <w:r>
          <w:rPr>
            <w:rFonts w:ascii="arial" w:eastAsia="arial" w:hAnsi="arial" w:cs="arial"/>
            <w:i/>
            <w:color w:val="0077CC"/>
            <w:sz w:val="20"/>
            <w:u w:val="single"/>
            <w:shd w:val="clear" w:color="auto" w:fill="FFFFFF"/>
            <w:lang w:val="en-US" w:eastAsia="en-US" w:bidi="ar-SA"/>
          </w:rPr>
          <w:t>(1942), 58 B.C.R. 290</w:t>
        </w:r>
      </w:hyperlink>
      <w:r>
        <w:rPr>
          <w:rFonts w:ascii="arial" w:eastAsia="arial" w:hAnsi="arial" w:cs="arial"/>
          <w:color w:val="000000"/>
          <w:sz w:val="20"/>
          <w:lang w:val="en-US" w:eastAsia="en-US" w:bidi="ar-SA"/>
        </w:rPr>
        <w:t>, in which Farris C.J.S.C. said at p. 292: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an order for examination for discovery could not be made during the course of the trial, but if there was discretion in the judge to order such examination that the discretion should only be exercised in most exceptional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statement of the law was accepted by Wootton J. in A. &amp; D. Logging Co. v. Convair Logging Ltd. (1966), 57 W.W.R. 440 (B.C.S.C.), and again by Rowles J., as she then was, in GEAC Canada Ltd. v. Prologic Computer Corp. </w:t>
      </w:r>
      <w:hyperlink r:id="rId740" w:history="1">
        <w:r>
          <w:rPr>
            <w:rFonts w:ascii="arial" w:eastAsia="arial" w:hAnsi="arial" w:cs="arial"/>
            <w:i/>
            <w:color w:val="0077CC"/>
            <w:sz w:val="20"/>
            <w:u w:val="single"/>
            <w:shd w:val="clear" w:color="auto" w:fill="FFFFFF"/>
            <w:lang w:val="en-US" w:eastAsia="en-US" w:bidi="ar-SA"/>
          </w:rPr>
          <w:t>(1989) 38 B.C.L.R. (2d) 347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the circumstances here are not "exceptional" as that word is used in McFall v. Vancouver Exhibition Assn.,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2"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Whiskey Dock Developments Ltd. v. Ucluelet (District), [2011] B.C.J. No. 1329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M.D. 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08-5211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1329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937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1835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204 A.C.W.S. (3d) 511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Whiskey Dock Developments Ltd., Plaintiff, and District of Ucluelet,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3"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4" w:name="Keywords_42"/>
      <w:bookmarkEnd w:id="274"/>
      <w:r>
        <w:rPr>
          <w:rFonts w:ascii="arial" w:eastAsia="arial" w:hAnsi="arial" w:cs="arial"/>
          <w:b/>
          <w:color w:val="000000"/>
          <w:sz w:val="20"/>
          <w:lang w:val="en-US" w:eastAsia="en-US" w:bidi="ar-SA"/>
        </w:rPr>
        <w:t>Civil litigation — Civil procedure — Parties — Adding or substituting — Motion by plaintiff to add defendants dismissed — Plaintiff obtained building permit from District for mixed-use complex — Development came to halt after compliance order issued under Homeowners Protection Act and plaintiff commenced proceeding against District — As existing proceeding focused on District's alleged failure to make necessary inquiries to ensure compliance with Homeowners Protection Act before issuing building permit, adding suggested claims against proposed defendants was not something that ought to have been done at outset and their participation of as formal parties not necessary to ensure effective adjudication — Cause of action against proposed defendants inconsistent with allegations against District.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5" w:name="Case Summary_36"/>
            <w:bookmarkEnd w:id="2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 to add various defendants to its lawsuit against the District of Ucluelet. In 2004, the District issued a building permit for the construction of a mixed-use strata lot development, which the plaintiff later built. The plaintiff was not a licensed residential builder under the Homeowner Protection Act and did not arrange for new home warranty insurance coverage. The Homeowner Protection Office issued a compliance order to the plaintiff requiring persons named in the order to cease carrying on business as a residential builder and to ensure that the development was covered by home warranty insurance, which brought the development to a halt. Some time after the development came to a halt as a result of compliance with the order, the plaintiff defaulted on the construction financing and the lender foreclosed. The plaintiff then commenced a claim against the District alleging that, by issuing the building permit, the District represented that the plaintiff was exempt from the requirements of the Homeowners Protection Act, and that the plaintiff relied on those representations. The plaintiff then sought to add the Homeowner Protection Office and other government parties as defendants alleging that once the District issued the building permit, the Homeowner Protection Office did not have statutory authority to issue the compliance order and that the District, in issuing the building permit, acted as an agent of the provincial government and exempted it from the licensing requirement under the Homeowners Protection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6" w:name="Holdings of Court_29"/>
            <w:bookmarkEnd w:id="276"/>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the existing proceeding focused on the District's alleged failure to make necessary inquiries to ensure compliance with the Homeowner's Protection Act before issuing a building permit, adding the suggested claims against the proposed defendants was not something that out to have been done at the outset and the participation of the proposed defendants as formal parties was not necessary to ensure that the proceeding against the District could be effectively adjudicated. Furthermore, the cause of action against the proposed defendants was inconsistent with the allegations against the District.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7" w:name="Legislation Cited_32"/>
      <w:bookmarkEnd w:id="2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4"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Civil Rule, Rule 6-2(7), Rule 6-2(7)(b), Rule 6-2(7)(c)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Homeowner Protection Act, </w:t>
      </w:r>
      <w:hyperlink r:id="rId748" w:history="1">
        <w:r>
          <w:rPr>
            <w:rFonts w:ascii="arial" w:eastAsia="arial" w:hAnsi="arial" w:cs="arial"/>
            <w:i/>
            <w:color w:val="0077CC"/>
            <w:sz w:val="20"/>
            <w:u w:val="single"/>
            <w:shd w:val="clear" w:color="auto" w:fill="FFFFFF"/>
            <w:lang w:val="en-US" w:eastAsia="en-US" w:bidi="ar-SA"/>
          </w:rPr>
          <w:t>SBC 1998, CHAPTER 31, s. 1</w:t>
        </w:r>
      </w:hyperlink>
      <w:r>
        <w:rPr>
          <w:rFonts w:ascii="arial" w:eastAsia="arial" w:hAnsi="arial" w:cs="arial"/>
          <w:color w:val="000000"/>
          <w:sz w:val="20"/>
          <w:lang w:val="en-US" w:eastAsia="en-US" w:bidi="ar-SA"/>
        </w:rPr>
        <w:t>, s. 14, s. 20.1, s. 22, s. 30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8" w:name="Counsel_43"/>
      <w:bookmarkEnd w:id="2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5"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Representative for the Plaintiff: W. Wenstob.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A.M. Bookman.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Defendant: Her Majesty the Queen in Right of the Province of British Columbia: N.H. Barnes.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Defendant: British Columbia Housing, Management Commission: K.L. Boonstra.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9" w:name="Judgment_43"/>
      <w:bookmarkEnd w:id="279"/>
      <w:r>
        <w:pict>
          <v:line id="_x0000_s1236"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0" w:name="M.D. MACAULAY J."/>
            <w:bookmarkEnd w:id="280"/>
            <w:r>
              <w:rPr>
                <w:rFonts w:ascii="arial" w:eastAsia="arial" w:hAnsi="arial" w:cs="arial"/>
                <w:b/>
                <w:color w:val="000000"/>
                <w:sz w:val="30"/>
                <w:lang w:val="en-US" w:eastAsia="en-US" w:bidi="ar-SA"/>
              </w:rPr>
              <w:t>M.D. 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Whiskey Dock Developments Ltd. ("WDDL"), seeks orders pursuant to </w:t>
      </w:r>
      <w:r>
        <w:rPr>
          <w:rFonts w:ascii="arial" w:eastAsia="arial" w:hAnsi="arial" w:cs="arial"/>
          <w:i/>
          <w:color w:val="000000"/>
          <w:sz w:val="20"/>
          <w:lang w:val="en-US" w:eastAsia="en-US" w:bidi="ar-SA"/>
        </w:rPr>
        <w:t>Civil Rule</w:t>
      </w:r>
      <w:r>
        <w:rPr>
          <w:rFonts w:ascii="arial" w:eastAsia="arial" w:hAnsi="arial" w:cs="arial"/>
          <w:color w:val="000000"/>
          <w:sz w:val="20"/>
          <w:lang w:val="en-US" w:eastAsia="en-US" w:bidi="ar-SA"/>
        </w:rPr>
        <w:t xml:space="preserve"> 6-2(7) adding various defendants to its lawsuit against the District of Ucluelet (the "District"). The parties that WDDL seeks to add are referred to in the application as the Homeowner Protection Office, Provincial Government of British Columbia, BC Housing and Ministry of Energy and Mines. Collectively, I will refer to them as the proposed government defendants. The proposed government defendants oppose the applications on substantive and procedural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6-2(7)(b) permits the adding of a defendant if: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2"/>
        <w:gridCol w:w="715"/>
        <w:gridCol w:w="236"/>
        <w:gridCol w:w="409"/>
        <w:gridCol w:w="236"/>
        <w:gridCol w:w="7229"/>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person ought to have been joined as a party, 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Sub-rule (c) also permits adding a defendant: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if there may exist, between the person and any party to the proceeding, a question or issue relating to or connected with</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propose to briefly set out the legal tests that WDDL must satisfy.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courts have narrowly construed Rule 6-2(7)(b). As the Court of Appeal points out in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 The gist of the matter is that the plaintiff must establish either that the persons sought to be added "ought to have been joined as a party" or that their "participation in the proceeding is necessary" in order to permit the issues between the existing parties to be effectually adjudicated.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means that WDDL's application to add parties under the sub-rule can fail even though it might have added them when it first commenced the proceeding. The narrow construction requires me to focus on the fundamental limitation in the sub-rule, that is, "it is intended only to remedy defects in the 'proceeding' as it stood prior to the application to add parties": see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I will set out, WDDL has not demonstrated any defects in the existing proceeding that require remediation. WDDL did not address these issues in its affidavit and did not adequately address them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have a broader discretion under Rule 6-2(7)(c). Provided WDDL alleges material facts sufficient to give rise to a cause of action against the proposed government defendants that is not frivolous, and that the claim is related to or connected with any relief claimed in or the subject matter of the present proceeding, and further, that it would be just and convenient to determine the proposed cause of action within the present proceeding, I may grant the application. However, in considering whether to exercise my discretion, I must consider the length of the delay in bringing the application to add parties, any prejudice to the proposed government defendants and the over-riding question of what is just and convenient: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at paras. 29-33.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WDDL did not prepare a draft pleading but relied instead on the statement of facts in its Notice of Application to attempt to demonstrate that it has a cause of action. As I understand Mr. Wenstob, the agent for WDDL, the statement, taken together with the affidavit, satisfies the requirements set out in the preceding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disagree and will return to this below. Before doing so, I will describe the existing proceeding and set out the more important aspects of the legislation that is at the heart of WDDL's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existing pleadings, WDDL alleges that the District issued a building permit in 2004 for the construction of a mixed-use strata lot development and that WDDL thereafter built the development. In or about January 31 to July 8, 2008, the District issued occupancy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project was halted when the supervisor of field operations for the Homeowner Protection Office issued a compliance order to WDDL on June 25, 2008, under the </w:t>
      </w:r>
      <w:r>
        <w:rPr>
          <w:rFonts w:ascii="arial" w:eastAsia="arial" w:hAnsi="arial" w:cs="arial"/>
          <w:i/>
          <w:color w:val="000000"/>
          <w:sz w:val="20"/>
          <w:lang w:val="en-US" w:eastAsia="en-US" w:bidi="ar-SA"/>
        </w:rPr>
        <w:t>Homeowner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31</w:t>
      </w:r>
      <w:r>
        <w:rPr>
          <w:rFonts w:ascii="arial" w:eastAsia="arial" w:hAnsi="arial" w:cs="arial"/>
          <w:color w:val="000000"/>
          <w:sz w:val="20"/>
          <w:lang w:val="en-US" w:eastAsia="en-US" w:bidi="ar-SA"/>
        </w:rPr>
        <w:t>, as amended (the "HPA"). The order required the persons named to comply with the HPA, to cease carrying on business as a "residential builder" as defined in the HPA, and, finally, to ensure that the project was covered by home warranty insurance as required by the HPA.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HPA applies to new home construction, including a portion of a building intended for residential occupancy such as a strata unit (s. 1). Residential builders, other than owner builders, which we are not concerned with here, must be licensed (s. 14) and comply with the requirements set out in the HPA before selling or offering to sell a new home (s. 20.1). In addition, a person must not build a new home unless the new home is registered for coverage by home warranty insurance subject to the exceptions set out in the HPA (s. 22). The exemption of the new home or the builder, as discussed below, is one of the exceptions.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HPA has its own enforcement scheme including the power to issue the compliance order in question. Such orders are subject to a regime of administrative appeal. WDDL pursued its remedies part way through that process but eventually abandoned them. WDDL never sought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common ground that WDDL was never a licensed residential builder under the HPA. Nor did it arrange for new home warranty insurance coverage as required by the HPA. Unless WDDL, or its particular building activity, was exempt under the HPA, the compliance order was clearly valid. Some time after the project came to a halt as a result of the compliance order, WDDL defaulted on the construction financing and the lender foreclosed.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Paraphrasing the causes of action set out in the pleadings, WDDL alleges that, by issuing the building permit, the District represented that WDDL was exempt from the requirements under the HPA that a licensed residential builder construct the project and that home warranty insurance coverage be available. WDDL claims that it relied on the representations and constructed the project even though "the Plaintiff was not exempt from the requirements of the [HPA] and accordingly the Defendant ought not to have granted a Building Permit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WDDL also alleges that the District breached s. 30 of the HPA in issuing the building permit. Section 30, entitled </w:t>
      </w:r>
      <w:r>
        <w:rPr>
          <w:rFonts w:ascii="arial" w:eastAsia="arial" w:hAnsi="arial" w:cs="arial"/>
          <w:b/>
          <w:color w:val="000000"/>
          <w:sz w:val="20"/>
          <w:lang w:val="en-US" w:eastAsia="en-US" w:bidi="ar-SA"/>
        </w:rPr>
        <w:t>Building permits</w:t>
      </w:r>
      <w:r>
        <w:rPr>
          <w:rFonts w:ascii="arial" w:eastAsia="arial" w:hAnsi="arial" w:cs="arial"/>
          <w:color w:val="000000"/>
          <w:sz w:val="20"/>
          <w:lang w:val="en-US" w:eastAsia="en-US" w:bidi="ar-SA"/>
        </w:rPr>
        <w:t>, read, at the time,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(1) A municipality, regional district or treaty first nation </w:t>
            </w:r>
            <w:r>
              <w:rPr>
                <w:rFonts w:ascii="arial" w:eastAsia="arial" w:hAnsi="arial" w:cs="arial"/>
                <w:color w:val="000000"/>
                <w:sz w:val="18"/>
                <w:u w:val="single"/>
                <w:lang w:val="en-US" w:eastAsia="en-US" w:bidi="ar-SA"/>
              </w:rPr>
              <w:t>must not issue a building permit for a proposed new home unless the applicant provides evidence,</w:t>
            </w:r>
            <w:r>
              <w:rPr>
                <w:rFonts w:ascii="arial" w:eastAsia="arial" w:hAnsi="arial" w:cs="arial"/>
                <w:color w:val="000000"/>
                <w:sz w:val="18"/>
                <w:lang w:val="en-US" w:eastAsia="en-US" w:bidi="ar-SA"/>
              </w:rPr>
              <w:t xml:space="preserve"> in the prescribed form,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proposed new home</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is covered by home warranty insurance</w:t>
      </w:r>
      <w:r>
        <w:rPr>
          <w:rFonts w:ascii="arial" w:eastAsia="arial" w:hAnsi="arial" w:cs="arial"/>
          <w:color w:val="000000"/>
          <w:sz w:val="20"/>
          <w:lang w:val="en-US" w:eastAsia="en-US" w:bidi="ar-SA"/>
        </w:rPr>
        <w:t>,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will be built by an owner builder </w:t>
      </w:r>
      <w:r>
        <w:rPr>
          <w:rFonts w:ascii="arial" w:eastAsia="arial" w:hAnsi="arial" w:cs="arial"/>
          <w:color w:val="000000"/>
          <w:sz w:val="20"/>
          <w:u w:val="single"/>
          <w:lang w:val="en-US" w:eastAsia="en-US" w:bidi="ar-SA"/>
        </w:rPr>
        <w:t>or is otherwise exempted by regulation from the requirement to be covered by home warranty insurance,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proposed new home will be built</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a licensed residential builder, or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an owner builder or </w:t>
      </w:r>
      <w:r>
        <w:rPr>
          <w:rFonts w:ascii="arial" w:eastAsia="arial" w:hAnsi="arial" w:cs="arial"/>
          <w:color w:val="000000"/>
          <w:sz w:val="20"/>
          <w:u w:val="single"/>
          <w:lang w:val="en-US" w:eastAsia="en-US" w:bidi="ar-SA"/>
        </w:rPr>
        <w:t>a person who is otherwise exempted by regulation from the requirement to be licensed as a residential builder</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Neither the proposed new homes within the mixed-use project nor the builder were exempted by regulation. At the time of drafting the existing pleadings respecting its claims against the District, WDDL appeared to accept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Accordingly, the existing proceeding against the District is predicated upon an acceptance that WDDL was not exempted from the application of the HPA. Instead, the claim against the District focuses on the alleged failure by the District to make necessary inquiries to ensure compliance with the HPA before issuing a building permit. Adding the suggested claims against the proposed government defendants was not something that ought to have been done at the outset nor is the participation of the proposed government defendants as formal parties necessary to ensure that the proceeding against the District may be effectually adjudicated upon. In the result, WDDL's application under Rule 6-2(7)(b)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to the application under Rule 6-2(7)(c), WDDL now proposes a different and inconsistent cause of action against the proposed government defendants, although it is also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says, in effect, that once the District issued the building permit, the HPO no longer had statutory authority to issue the compliance order of June 25, 2008. It further says that the District, in issuing the building permit, acted as an agent of the provincial government and exempted WDDL from the licensing requirement under the HPA.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WDDL's argument is not only inconsistent with the allegations against the District in the current pleadings but also circular and incomprehensible. The District has no authority under the HPA to exempt a builder from the licensing requirement. Any exemption must be made by regulation and there is no suggestion that WDDL was ever so exempted.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it is arguable, as WDDL has alleged in the existing pleadings, that s. 30 imposes a statutory duty on the District not to issue a building permit without first satisfying itself that the applicant has met the prerequisites of the HPA, the language of the section cannot support an argument that the section constituted the District an agent of the provincial government with some vague authority to exempt builders from the application of the HPA.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not helpful on an application under Rule 6-2(7)(c) if, as is the case here, the applicant fails to draft the proposed pleadings against the parties it seeks to add as parties. In the circumstances, I have tried to take the most generous view of the potential causes of action against the proposed government defendants based on the limited statements set out in the Notice of Application and the oral submissions of Mr. Wenstob on behalf of WDDL.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Of particular significance are the following statements or, more properly, allegations set out in the Notice of Application:</w:t>
      </w:r>
      <w:r>
        <w:rPr>
          <w:rFonts w:ascii="arial" w:eastAsia="arial" w:hAnsi="arial" w:cs="arial"/>
          <w:sz w:val="20"/>
          <w:lang w:val="en-US" w:eastAsia="en-US" w:bidi="ar-SA"/>
        </w:rPr>
        <w:cr/>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25, 2008, HPO issued a Compliance Order to WDDL ordering that WDDL retroactively comply with all provisions of the [HPA] on the grounds that HPO had taken over the authority from the DISTRICT to administer Section 30 of the [HPA] and overruled the exemption authorized by the DISTRICT in June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WDDL believes that the additional Defendants are necessary for [an] efficient and fair hearing of the proceedings as WDDL anticipates factual and legal disputes pertaining to issues including, but not limited to the following:</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assumed and actual authority of the DISTRICT and the HPO by the statutes creating the [HPA].</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of the HPO to overrule the DISTRICT in the administration of Section 30 of the [HPA] and whether it was with the sanction of its principal.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and content of oral and other communications between representatives of the DISTRICT, between the DISTRICT and HPO, and between representatives of the HPO pertaining to the application of the [HPA] to the PROJECT, and the exemption of other like developments by the DISTRICT.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HPO owed a duty of care to WDDL, as a third party, in [an] internal administrative dispute within the [HPA].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These claims sound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misstatement and agency. All are inconsistent with the present pleadings against the District. As well, the claims are frivolous and bound to fail because the underlying legal interpretation of the HPA is so obviously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Court of Appeal reaffirmed earlier authority in </w:t>
      </w:r>
      <w:r>
        <w:rPr>
          <w:rFonts w:ascii="arial" w:eastAsia="arial" w:hAnsi="arial" w:cs="arial"/>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at para. 14, regarding the identical predecessor to Rule 6-2(7)(c), to the effect that the applicant must at least demonstrate an ability to plead material facts that establish a real issue between the parties, in other words, a viable cause of action. WDDL has failed in this important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Section 30 of the HPA does not create an extralegal exemption process outside the Act nor does it create an agency relationship between the HPO and the District. At most, s. 30 imposes an obligation upon the District not to issue a building permit in circumstances where the applicant fails to comply with the HPA. The extent of the inquiries that the District was required to make in the circumstances here is not related or connected to the claims that WDDL now seeks to advance against the proposed government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Apart from s. 30, the HPA does not otherwise refer to a district. The District had no statutory responsibility for enforcing the HPA. It could not, and did not, issue the compliance order of June 25, 2008. The authority designated under the HPA issued the order. As counsel for some of the proposed government defendants points out, WDDL had a right of administrative appeal against the issuing of the compliance order that it ultimately chose not to fully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would not be just and convenient to determine the suggested causes of action against the proposed government defendants in the current proceeding. To do so would distract attention from the proper focus of the current proceeding; add significantly to the time and expense associated with it; and, ultimately, the causes of action against the proposed government defendants would be struck out or otherwise fail. I decline to grant the application under Rule 6-2(7)(c).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circumstances, it is not necessary for me to consider which of the proposed government defendants would have been appropriate to add as a party if WDDL alleged a viable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result, the WDDL application to add the proposed government defendants is dismissed. The proposed government defendants are entitled to their costs relating to the application on Scale B, payable immediately upon taxation.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M.D. 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7"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Woolsey v. Dawson Creek (City), [2011] B.C.J. No. 1049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Dawson Creek,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Cullen J. (appearing via teleconference)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13,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19195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Dawson Creek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1049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751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1395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 A.C.W.S. (3d) 689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Dorothy Emily Woolsey, Plaintiff, and City of Dawson Creek,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8"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1" w:name="Keywords_43"/>
      <w:bookmarkEnd w:id="281"/>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Sufficiency — Application by the defendant City to strike out the notice of civil claim on the basis that it failed to disclose a cause of action, was not a pleading and was an abuse of process or for an order striking certain paragraphs from the notice of claim allowed in part — Paragraphs pleading evidence rather than facts were struck — Pleadings did not conform to Rules as they were mainly evidence — If amended, pleadings could raise triable issue.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2" w:name="Case Summary_37"/>
            <w:bookmarkEnd w:id="2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City to strike out the notice of civil claim on the basis that it failed to disclose a cause of action, was not a pleading and was an abuse of process or for an order striking certain paragraphs from the notice of claim. In his clam, the plaintiff complained about the City's delay in issuing a building permit to allow certain renovations to be made to the plaintiff's house. The claim was drafted by the plaintiff's son, who was not a lawyer. There were 64 paragraphs in which the son recounted what dealings and communications he had with various representatives of the City and others in connection with his attempts to renovate his mother's house and to obtain a building permit for those renovations.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3" w:name="Holdings of Court_30"/>
            <w:bookmarkEnd w:id="283"/>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Several paragraphs which constituted evidence rather than statement of facts were struck from the notice of claim. The allegations against the City were not framed as a concise statement of material facts, but rather as an extensive narrative of the son's communications and conduct. The cause of action giving rise to the plaintiff's claim was not clearly articulated. The pleadings did not conform to the Rules as they were mainly evidence rather than statements of fact and they were, in substance, not sufficiently coherent in their present form to disclose a reasonable claim or to permit the defendant or the court to adequately understand or respond to them. The pleadings, if amended, could disclose a triable issue and thus the claim should not be struck.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4" w:name="Legislation Cited_33"/>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9"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Legal Profession Act, </w:t>
      </w:r>
      <w:hyperlink r:id="rId757" w:history="1">
        <w:r>
          <w:rPr>
            <w:rFonts w:ascii="arial" w:eastAsia="arial" w:hAnsi="arial" w:cs="arial"/>
            <w:i/>
            <w:color w:val="0077CC"/>
            <w:sz w:val="20"/>
            <w:u w:val="single"/>
            <w:shd w:val="clear" w:color="auto" w:fill="FFFFFF"/>
            <w:lang w:val="en-US" w:eastAsia="en-US" w:bidi="ar-SA"/>
          </w:rPr>
          <w:t>SBC 1998, CHAPTER 9, s. 1</w:t>
        </w:r>
      </w:hyperlink>
      <w:r>
        <w:rPr>
          <w:rFonts w:ascii="arial" w:eastAsia="arial" w:hAnsi="arial" w:cs="arial"/>
          <w:color w:val="000000"/>
          <w:sz w:val="20"/>
          <w:lang w:val="en-US" w:eastAsia="en-US" w:bidi="ar-SA"/>
        </w:rPr>
        <w:t>, s. 15(1), s.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3-7, Rule 3-7(1), Rule 9-5(1)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5" w:name="Counsel_44"/>
      <w:bookmarkEnd w:id="2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0"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her own behalf: D. Woolsey.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behalf of the Plaintiff: M. Mortensen.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appearing via teleconference: S. Haakonson.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6" w:name="Judgment_44"/>
      <w:bookmarkEnd w:id="286"/>
      <w:r>
        <w:pict>
          <v:line id="_x0000_s1241"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7" w:name="A.F. CULLEN J. (orally)"/>
            <w:bookmarkEnd w:id="287"/>
            <w:r>
              <w:rPr>
                <w:rFonts w:ascii="arial" w:eastAsia="arial" w:hAnsi="arial" w:cs="arial"/>
                <w:b/>
                <w:color w:val="000000"/>
                <w:sz w:val="30"/>
                <w:lang w:val="en-US" w:eastAsia="en-US" w:bidi="ar-SA"/>
              </w:rPr>
              <w:t>A.F. CULLEN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the defendant, City of Dawson Creek, that the notice of civil claim filed by the plaintiff on November 18, 2010, be struck on the basis that the notice of civil claim:</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disclose a reasonable claim;</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not a "pleading" as required under Rule 3-7 of the Rules of Court and is in the form of evidence;</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an abuse of process and is contrary to Sections 1 and 15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alternative, the defendant seeks an order that paragraphs 4, 5, 7 to 33, 36 to 53, and 55 to 69 be struck, and further seeks an order that the action be dismissed or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thrust of the defendant's submissions in support of its application is that the notice of civil claim does not comport with Rule 3-7(1) and Rule 9-5(1) of the Supreme Court Rules relating to pleading requirements and is in breach of ss. 1 and 15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notice of civil claim was drafted not by the plaintiff herself, nor by a lawyer, but rather by Miles Mortensen, the plaintiff's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Rule 3-7(1)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pleading must not contain the evidence by which the facts alleged in it are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9-5(1)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 . . of the proceeding,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so far as applicable to this application,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"practice of law" includes . .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as counsel or advocate,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revising or settling</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petition, memorandum, notice of articles or articles under the Business Corporations Act, or an application, statement, affidavit, minute, resolution, bylaw or other document relating to the incorporation, registration, organization, reorganization, dissolution or winding up of a corporate body,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for use in a proceeding, judicial or extrajudicial,</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will, deed of settlement, trust deed, power of attorney or a document relating to a probate or letters of administration or the estate of a deceased person,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relating in any way to a proceeding under a statute of Canada or British Columbia, 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instrument relating to real or personal estate that is intended, permitted or required to be registered, recorded or filed in a registry or other public office,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doing an act or negotiating in any way for the settlement of, or settling, a claim or demand for damages,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agreeing to place at the disposal of another person the services of a lawyer,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giving legal advice,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an offer to do anything referred to in paragraphs (a) to (e),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a representation by a person that he or she is qualified or entitled to do anything referred to in paragraphs (a) to (e),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does not include: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of those acts if not performed for or in the expectation of a fee, gain or reward, direct or indirect, from the person for whom the acts are performed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Section 15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so far as relevant, reads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(1) No person, other than a practising lawyer, is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permitted to engage in the practice of law, except</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an individual party to a proceeding acting without counsel solely on his or her own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permitted in subsection (1), a person must not commence, prosecute or defend a proceeding in any court, in the person's own name or in the name of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apparent subject matter of the plaintiff's claim against the City is the City's delay in issuing a building permit to allow certain renovations to be made to the plaintiff's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first five paragraphs of the notice of claim read as follows: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structure in question was renovated Aug 14 1962.</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when the structure changed occupancy to single family dwelling.</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bathroom and kitchen with hot water was added on to at that time.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Miles Mortensen son of Dorothy Woolsey said I would be more than happy to give my expertise and labor for free to fix her home that she bought with her sister who died a few years back of Lou Gehrig's disease. My mother stayed at her sister side and looked after her until her last breath. The home they had together has a special connection for my mom they were going to fix the home up before her sister became sick.</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Miles Mortensen. Will be representing my mother's interests in this case please refer to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Thereafter what follows are an additional 64 paragraphs, all or nearly all of which recount in the first person what dealings and communications Mr. Mortensen had with various representatives of the City and others in connection with his attempts to renovate his mother's house and to obtain a building permit for those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allegations against the City are not framed as a concise statement of material facts, but rather as an extensive narrative of Mr. Mortensen's communications and conduct. Moreover, although the notice of claim seeks substantial special damages amounting to in excess of $600,000, as well as unspecified general damages and punitive damages, the cause of action giving rise to the plaintiff's claim is not clearly articulated, although it appears to be based on a breach of a statutory duty under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s. 911, and there are extensive references to case law. In total, in excess of 120 citations are provided in the body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the plaintiff asserts losses arising from:</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a Service;</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 by the defendant to the plaintiff</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that duty by the defendant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Harm in fact suffered by the plaintiff</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breach being a cause of that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It is apparent that, at least in part, the plaintiff is basing her action on some form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or in addition to a breach of the statutory duty on the part of the defendant, giving rise to her asserted damages. In addition to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the plaintiff cites the </w:t>
      </w:r>
      <w:r>
        <w:rPr>
          <w:rFonts w:ascii="arial" w:eastAsia="arial" w:hAnsi="arial" w:cs="arial"/>
          <w:i/>
          <w:color w:val="000000"/>
          <w:sz w:val="20"/>
          <w:lang w:val="en-US" w:eastAsia="en-US" w:bidi="ar-SA"/>
        </w:rPr>
        <w:t>Disciplinary Authority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98</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Buildings and Other Structures Bylaws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also appears to be claiming damages for personal injury arising from her dispute with the City and loss of earning capacity associated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main thrust of the defendant's submission with respect to the plaintiff's pleadings, insofar as Rules 3-7(1) and 9-5(1) are concerned, is that the content of the notice of claim is almost exclusively evidence and does not coherently articulate the factual or legal basis for the claim in order to permit the defendant to respond adequately to the issues or even to determine what they are and exactly what relief is being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submits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makes it virtually impossible for the defendant to file an intelligent response, so that the issues are joined and the pleadings can be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submits the pleadings are therefore an abuse of process and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Insofar as the provisions of subsections (1) and (5)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and the asserted abuse of process are concerned, it is the defendant's position that, as it appears the notice of claim was drafted in its entirety by Mr. Mortensen, and that it is his intention to prosecute the action in the plaintiff's name, he has run afoul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s. 15, and the pleadings are therefore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 relies primarily on a decision of Mr. Justice Groberman in </w:t>
      </w:r>
      <w:r>
        <w:rPr>
          <w:rFonts w:ascii="arial" w:eastAsia="arial" w:hAnsi="arial" w:cs="arial"/>
          <w:i/>
          <w:color w:val="000000"/>
          <w:sz w:val="20"/>
          <w:lang w:val="en-US" w:eastAsia="en-US" w:bidi="ar-SA"/>
        </w:rPr>
        <w:t>Law Society of British Columbia v. Bryfogle</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2006 BCSC 1092</w:t>
        </w:r>
      </w:hyperlink>
      <w:r>
        <w:rPr>
          <w:rFonts w:ascii="arial" w:eastAsia="arial" w:hAnsi="arial" w:cs="arial"/>
          <w:color w:val="000000"/>
          <w:sz w:val="20"/>
          <w:lang w:val="en-US" w:eastAsia="en-US" w:bidi="ar-SA"/>
        </w:rPr>
        <w:t>, at paragraph 44, where he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language of s. 15(5) is broad enough to prohibit a person from acting on behalf of another in commencing, prosecuting, or defending a proceeding. A person purporting to perform those acts as an agent for another is, in my view, "acting in the name of another person." I do not see that anything in s. 15(5) purports to qualify the phrase, "in the name of another person," by suggesting that it really means "in the name of another person, but for the benefit of the person who is acting." Accordingly, to the extent that Williams J.'s reasons may be seen as giving a restrictive interpretation to s. 15(5), I am in respectful disagreement and prefer the interpretation of the section given by Mr. Justice Halfyard.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 also relies on the decision of Madam Justice Dardi in </w:t>
      </w:r>
      <w:r>
        <w:rPr>
          <w:rFonts w:ascii="arial" w:eastAsia="arial" w:hAnsi="arial" w:cs="arial"/>
          <w:i/>
          <w:color w:val="000000"/>
          <w:sz w:val="20"/>
          <w:lang w:val="en-US" w:eastAsia="en-US" w:bidi="ar-SA"/>
        </w:rPr>
        <w:t>The Law Society of British Columbia v. Targosz</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2010 BCSC 969</w:t>
        </w:r>
      </w:hyperlink>
      <w:r>
        <w:rPr>
          <w:rFonts w:ascii="arial" w:eastAsia="arial" w:hAnsi="arial" w:cs="arial"/>
          <w:color w:val="000000"/>
          <w:sz w:val="20"/>
          <w:lang w:val="en-US" w:eastAsia="en-US" w:bidi="ar-SA"/>
        </w:rPr>
        <w:t xml:space="preserve">, which followed Justice Groberman in </w:t>
      </w:r>
      <w:r>
        <w:rPr>
          <w:rFonts w:ascii="arial" w:eastAsia="arial" w:hAnsi="arial" w:cs="arial"/>
          <w:i/>
          <w:color w:val="000000"/>
          <w:sz w:val="20"/>
          <w:lang w:val="en-US" w:eastAsia="en-US" w:bidi="ar-SA"/>
        </w:rPr>
        <w:t>Bryfogle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Bryfogle</w:t>
      </w:r>
      <w:r>
        <w:rPr>
          <w:rFonts w:ascii="arial" w:eastAsia="arial" w:hAnsi="arial" w:cs="arial"/>
          <w:color w:val="000000"/>
          <w:sz w:val="20"/>
          <w:lang w:val="en-US" w:eastAsia="en-US" w:bidi="ar-SA"/>
        </w:rPr>
        <w:t xml:space="preserve"> was appealed to the Court of Appeal, </w:t>
      </w:r>
      <w:hyperlink r:id="rId760" w:history="1">
        <w:r>
          <w:rPr>
            <w:rFonts w:ascii="arial" w:eastAsia="arial" w:hAnsi="arial" w:cs="arial"/>
            <w:i/>
            <w:color w:val="0077CC"/>
            <w:sz w:val="20"/>
            <w:u w:val="single"/>
            <w:shd w:val="clear" w:color="auto" w:fill="FFFFFF"/>
            <w:lang w:val="en-US" w:eastAsia="en-US" w:bidi="ar-SA"/>
          </w:rPr>
          <w:t>[2007] B.C.J. No. 2289</w:t>
        </w:r>
      </w:hyperlink>
      <w:r>
        <w:rPr>
          <w:rFonts w:ascii="arial" w:eastAsia="arial" w:hAnsi="arial" w:cs="arial"/>
          <w:color w:val="000000"/>
          <w:sz w:val="20"/>
          <w:lang w:val="en-US" w:eastAsia="en-US" w:bidi="ar-SA"/>
        </w:rPr>
        <w:t>. Justice Groberman's decision was upheld on other grounds. With respect to the scope and effect of s. 15(5), although asked to determine the issue, the court declined to do so, holding as follows at paragraph 41 of its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I note that Mr. Bryfogle invited this Court to resolve an issue concerning the interpretation of s. 15(5) and related provisions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and to resolve inconsistent decisions of the B.C. Supreme Court in that regard. In my view, the facts of this case do not require us to resolve that issue and, without the benefit of full argument, including the full legislative history of the provisions in issue, it would be unwise for this Court to embark on that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Dealing first with s. 15(1) and 15(5)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I am not satisfied that it would be appropriate to determine whether these pleadings constitute an abuse of process on that basis. There are conflicting authorities on that issue in this court. The Court of Appeal considered it unwise to determine the issue "without the benefit of full argument, including the legislative history of the provisions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this point, I do not have full argument on that issue, which in this case apparently involves a son attempting to draft pleadings for his mother to assist her in seeking a remedy for an alleged wrong at the hands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circumstances, I decline to decide whether Mr. Mortensen's involvement to date constitutes an infringement of s. 15(5)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and is hence an abuse of process. That issue may arise again if Mr. Mortensen continues to act for the plaintiff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issue of the pleadings themselves, I accept the argument of the defendant that, as they presently stand, they do not meet the standard of pleadings set forth in Rule 3-7 or Rule 9-5(1). The pleadings are in the main evidence rather than statements of fact and they are, in substance, not sufficiently coherent in their present form to disclose a reasonable claim or to permit the defendant or the court to adequately understand or respond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Sidhu v. Sidhu</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2008 BCSC 324</w:t>
        </w:r>
      </w:hyperlink>
      <w:r>
        <w:rPr>
          <w:rFonts w:ascii="arial" w:eastAsia="arial" w:hAnsi="arial" w:cs="arial"/>
          <w:color w:val="000000"/>
          <w:sz w:val="20"/>
          <w:lang w:val="en-US" w:eastAsia="en-US" w:bidi="ar-SA"/>
        </w:rPr>
        <w:t>, Madam Justice Bruce held as follows in relation to the predecessor rule to Rule 9-5(1), that is Rule 9(24)(d), as follows at paragraph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19(24)(d) has been interpreted as a codification of the court's inherent jurisdiction to prevent litigation from proceeding where it "violates such principles as judicial economy, consistency, finality and the integrity of the administration of justice":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at para. 37. Abuse of process is a flexible doctrine and the categories of abuse are not closed. In </w:t>
      </w:r>
      <w:r>
        <w:rPr>
          <w:rFonts w:ascii="arial" w:eastAsia="arial" w:hAnsi="arial" w:cs="arial"/>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(S.C.), the circumstances in which the court may exercise its discretion to strike a pleading for abuse of process are described by Baker J. at para. 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categories of abuse of process are open. Abuse of process may be found where proceedings involve a deception on the court or constitute a mere sham; where the process of the court is not being fairly or honestly used, or is employed for some ulterior or improper purpose; proceedings which are without foundation or serve no useful purpose and multiple or successive proceedings which cause or are likely to cause vexation or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a similar vein, in </w:t>
      </w:r>
      <w:r>
        <w:rPr>
          <w:rFonts w:ascii="arial" w:eastAsia="arial" w:hAnsi="arial" w:cs="arial"/>
          <w:i/>
          <w:color w:val="000000"/>
          <w:sz w:val="20"/>
          <w:lang w:val="en-US" w:eastAsia="en-US" w:bidi="ar-SA"/>
        </w:rPr>
        <w:t>Wayneroy Holdings Ltd. v. Sideen</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[2002] B.C.J. No. 2472</w:t>
        </w:r>
      </w:hyperlink>
      <w:r>
        <w:rPr>
          <w:rFonts w:ascii="arial" w:eastAsia="arial" w:hAnsi="arial" w:cs="arial"/>
          <w:color w:val="000000"/>
          <w:sz w:val="20"/>
          <w:lang w:val="en-US" w:eastAsia="en-US" w:bidi="ar-SA"/>
        </w:rPr>
        <w:t xml:space="preserve">, Romilly J. quoted from the judgment in </w:t>
      </w:r>
      <w:r>
        <w:rPr>
          <w:rFonts w:ascii="arial" w:eastAsia="arial" w:hAnsi="arial" w:cs="arial"/>
          <w:i/>
          <w:color w:val="000000"/>
          <w:sz w:val="20"/>
          <w:lang w:val="en-US" w:eastAsia="en-US" w:bidi="ar-SA"/>
        </w:rPr>
        <w:t>Citizens for Foreign Aid Reform v. Canadian Jewish Congress</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authorities provide little guidance as to what constitutes pleadings that are "unnecessary", "scandalous", "frivolous" or "embarrassing". However some principles do emerge.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Irrelevancy and embarrassment are both established when pleadings are so confusing that it is difficult to understand what is being pleaded . . . An "embarrassing" and "scandalous" pleading is one that is so irrelevant that it will involve the parties in useless expense and will prejudice the [pursuit] of the action by involving them in a dispute apart from the issues . . . An allegation which is scandalous will not be struck if it is relevant to the proceedings. It will only be struck if irrelevant as well as scandalous . . . A pleading is "unnecessary" or "vexatious" if it does not go to establishing the plaintiff's cause of action or does not advance any claim known in law . . . A pleading that is superfluous will not be struck out if it is not necessarily unnecessary or otherwise objectionable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is apparent that the test for dismissing an action under Rule 9-5 or its predecessor is not one easily met, however. In </w:t>
      </w:r>
      <w:r>
        <w:rPr>
          <w:rFonts w:ascii="arial" w:eastAsia="arial" w:hAnsi="arial" w:cs="arial"/>
          <w:i/>
          <w:color w:val="000000"/>
          <w:sz w:val="20"/>
          <w:lang w:val="en-US" w:eastAsia="en-US" w:bidi="ar-SA"/>
        </w:rPr>
        <w:t>Poirier v. Community Futures Development Corp.</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[2005] B.C.J. No. 763</w:t>
        </w:r>
      </w:hyperlink>
      <w:r>
        <w:rPr>
          <w:rFonts w:ascii="arial" w:eastAsia="arial" w:hAnsi="arial" w:cs="arial"/>
          <w:color w:val="000000"/>
          <w:sz w:val="20"/>
          <w:lang w:val="en-US" w:eastAsia="en-US" w:bidi="ar-SA"/>
        </w:rPr>
        <w:t xml:space="preserve"> (B.C.C.A.), the court addressed the principles applicable on having pleadings struck or a case dismissed at paragraphs 8 and 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principles that ought to be applied in relation to an application under Rule 19(24), particularly under Rule 19(24)(a), upon which this application principally rests, are set out in a number of decisions of the Supreme Court of Canada and perhaps the most useful thing is to quote from the judgment of Madam Justice Wilson, speaking on behalf of the unanimous Supreme Court of Canada,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where Madam Justice Wilson, in addressing Rule 19(24)(a), said this at pp. 21-22: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of the British Columbia Rules of Court is the same as the one that governs an application under R.S.C.O. 18, r. 19: assuming that the facts as stated in the statement of claim can be proved, it is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only thing that I would like to add to that summary of the principles to be applied in considering the rule is set out in a judgment of Mr. Justice Romilly in </w:t>
      </w:r>
      <w:r>
        <w:rPr>
          <w:rFonts w:ascii="arial" w:eastAsia="arial" w:hAnsi="arial" w:cs="arial"/>
          <w:i/>
          <w:color w:val="000000"/>
          <w:sz w:val="20"/>
          <w:lang w:val="en-US" w:eastAsia="en-US" w:bidi="ar-SA"/>
        </w:rPr>
        <w:t>Wayneroy Holdings Ltd. v. Sideen</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[2002] B.C.J. No. 2472</w:t>
        </w:r>
      </w:hyperlink>
      <w:r>
        <w:rPr>
          <w:rFonts w:ascii="arial" w:eastAsia="arial" w:hAnsi="arial" w:cs="arial"/>
          <w:color w:val="000000"/>
          <w:sz w:val="20"/>
          <w:lang w:val="en-US" w:eastAsia="en-US" w:bidi="ar-SA"/>
        </w:rPr>
        <w:t xml:space="preserve"> (B.C.S.C.); </w:t>
      </w:r>
      <w:hyperlink r:id="rId763" w:history="1">
        <w:r>
          <w:rPr>
            <w:rFonts w:ascii="arial" w:eastAsia="arial" w:hAnsi="arial" w:cs="arial"/>
            <w:i/>
            <w:color w:val="0077CC"/>
            <w:sz w:val="20"/>
            <w:u w:val="single"/>
            <w:shd w:val="clear" w:color="auto" w:fill="FFFFFF"/>
            <w:lang w:val="en-US" w:eastAsia="en-US" w:bidi="ar-SA"/>
          </w:rPr>
          <w:t>2002 BCSC 1510</w:t>
        </w:r>
      </w:hyperlink>
      <w:r>
        <w:rPr>
          <w:rFonts w:ascii="arial" w:eastAsia="arial" w:hAnsi="arial" w:cs="arial"/>
          <w:color w:val="000000"/>
          <w:sz w:val="20"/>
          <w:lang w:val="en-US" w:eastAsia="en-US" w:bidi="ar-SA"/>
        </w:rPr>
        <w:t xml:space="preserve">, where Mr. Justice Romilly quoted from his judgment in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(B.C.S.C.) at para. 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other words, as long as the pleadings disclose a triable issue, either as it exists, or as it may be amended, then the issue should go to trial. The mere fact that the case is weak or not likely to succeed is no ground for striking it out under the provisions of Rule 19(24):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case, as I see it, although in their present format the bulk of the pleadings in the notice of civil claim infringe the requirements of Rules 3-7 and 9-5, and impair the ability of the defendant to properly respond to them, I am satisfied (and indeed the defendant fairly concedes) that if the pleadings, as amended, could disclose a triable issue, that the plaintiff should not be "driven from the judgment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Here in her pleadings the plaintiff has advanced in the form of evidence a course of dealings that may, if properly pleaded, disclose the factual and legal basis for a triable issue. Accordingly, rather than dismiss or staying the plaintiff's claim or striking the notice of claim in its entirety, I will strike out those paragraphs which constitute evidence rather than statement of facts, consisting of paragraphs 4, 5, 9 to 19, 22 to 33, 36, and 38 to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further order that the plaintiff file an amended statement of claim no later than February 25th, 2011, which is to include a concise statement of the material facts and the legal basis for her claim, together with a complete summary of the relief which she is seeking.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further order that the defendant's obligation under the Supreme Court Rules to respond to the plaintiff's notice of claim under Rule 3-3 is suspended until such time as the plaintiff's amended statement of claim is filed and served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further order that the defendant's application to strike the notice of claim as a whole and to dismiss it is adjourned generally with liberty to reset the application in the event the plaintiff fails to comply with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going to adjourn the issue of costs until any further application by the defendant following upon the plaintiff's compliance or attempt to comply with the order which I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So far as Mr. Mortensen's application to have himself added as a plaintiff is concerned, I adjourn that application generally with liberty to the plaintiff to reset the matter for hearing once the plaintiff has complied with the terms of my order respecting filing an amended notice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Thank you, Mr. Haakonson and Mr. Mortensen, we will adjourn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HAAKONSON: With respect to the order, My Lord, I'm wondering about possibly dispensing with the need for Ms. Woolsey to sign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Yes, I think that is merited in the circumstances. If you would forward a copy of the order to the plaintiff at the time you forward it to the court for entry, then if there is any objection to it, the plaintiff can bring that on, but I am dispensing with the need for the plaintiff's signature on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HAAKONSON: Okay, and with respect to the matter generally of the amendment, are you seized of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No, I do not think it is necessary that I remain seized of it. It, I suppose, might be helpful if it came back before me, because I know something of the history of it at this point, but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MILES MORTENSEN: I would like to request that, Your Honour.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Well, I understand that, but logistically it may not be possible. I will certainly leave that to counsel and the plaintiff to work out between themselves. If the matter can come back before me, that might be preferable, but I am not going to seize myself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2"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Brooks-Martin v. Martin, [2011] B.C.J. No. 734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M50219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734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959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639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Diane Elizabeth Brooks-Martin, Plaintiff, and James Martin, MacNutt Enterprises Ltd.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jc w:val="both"/>
        <w:rPr>
          <w:rFonts w:ascii="arial" w:eastAsia="arial" w:hAnsi="arial" w:cs="arial"/>
          <w:sz w:val="20"/>
          <w:lang w:val="en-US" w:eastAsia="en-US" w:bidi="ar-SA"/>
        </w:rPr>
      </w:pPr>
      <w:bookmarkStart w:id="288" w:name="Counsel_45"/>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Millbank.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James Martin: G.G. Ridgeway,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MacNutt Enterprises Ltd.: M.P. Ragona,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9" w:name="Judgment_45"/>
      <w:bookmarkEnd w:id="289"/>
      <w:r>
        <w:pict>
          <v:line id="_x0000_s1244" style="position:absolute;z-index:251756544"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the Issue of Costs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D.A. 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After a trial on the issue of liability only, I found the defendant James Martin to be 70% at fault for the accident in which the plaintiff was injured. I dismissed the action as against the defendant MacNutt Enterprises Ltd. I found that the plaintiff was contributorily negligent to the extent that she was 30% at fault for the accident. There is no dispute that the successful defendant is entitled to its costs, but several issues relating to costs have arisen.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has applied for a "Sanderson" order, [1903] 2 K.B. 533, which, if granted, would require the defendant James Martin to pay directly to the defendant MacNutt Enterprises Ltd., its costs of this proceeding. In the alternative, the plaintiff seeks a Bullock Order, [1907] 1 K.B. 264, which would require the defendant Martin to reimburse her for paying the costs of the successful defendant. The defendant James Martin opposes the plaintiff's application, and submits that the plaintiff should be required to pay the costs of the successful defendant. The defendant MacNutt Enterprises Ltd. joins with the defendant James Martin, in opposing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James Martin has brought a formal application in support of his position that the plaintiff should pay the costs of the defendant MacNutt Enterprises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MacNutt Enterprises Ltd applies for an order that would require the plaintiff to pay its costs of the proceeding at Scale B up to its offer to settle on November 5, 2010, and at double Scale B from then until the end of the trial. The plaintiff opposes this application on two grounds. First, the plaintiff submits that the defendant James Martin should be required to pay all costs of the successful defendant. Second, the plaintiff contends that, in any event, there is no proper basis for ordering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Martin takes no position on the issue of whether double costs should be awarded to the defendant MacNutt Enterprises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application for a Sanderson Order/Bullock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court's power to make the order sought by the plaintiff is set out in Rule 14-1(18), which states:</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order to justify the exercise of discretion in his or her favour, a plaintiff must establish two elements, namely: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was reasonable for the plaintiff to have sued the successful defendant together with the unsuccessful defendant;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some conduct on the part of the unsuccessful defendant (such as asserting that the successful defendant was the culprit in the case or committing some act or acts which caused the plaintiff to bring the successful defendant into the litigation) which makes it just to require the unsuccessful defendant to pay the costs of the 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xml:space="preserve"> at paras. 32-34; </w:t>
      </w:r>
      <w:r>
        <w:rPr>
          <w:rFonts w:ascii="arial" w:eastAsia="arial" w:hAnsi="arial" w:cs="arial"/>
          <w:i/>
          <w:color w:val="000000"/>
          <w:sz w:val="20"/>
          <w:lang w:val="en-US" w:eastAsia="en-US" w:bidi="ar-SA"/>
        </w:rPr>
        <w:t>Davidson v. Tahtsa Timber Ltd.</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2010 BCCA 528</w:t>
        </w:r>
      </w:hyperlink>
      <w:r>
        <w:rPr>
          <w:rFonts w:ascii="arial" w:eastAsia="arial" w:hAnsi="arial" w:cs="arial"/>
          <w:color w:val="000000"/>
          <w:sz w:val="20"/>
          <w:lang w:val="en-US" w:eastAsia="en-US" w:bidi="ar-SA"/>
        </w:rPr>
        <w:t xml:space="preserve"> at paras. 53-54.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first element is a threshold requirement for the exercise of the court's discretion. This question is looked at mainly from the perspective of the plaintiff. But if the plaintiff has alleged independent causes of action against the two defendants and if these two causes of action are not connected, the plaintiff will not be able to meet the threshold test. See </w:t>
      </w:r>
      <w:r>
        <w:rPr>
          <w:rFonts w:ascii="arial" w:eastAsia="arial" w:hAnsi="arial" w:cs="arial"/>
          <w:i/>
          <w:color w:val="000000"/>
          <w:sz w:val="20"/>
          <w:lang w:val="en-US" w:eastAsia="en-US" w:bidi="ar-SA"/>
        </w:rPr>
        <w:t>Robertson v. North Island College Technical and Vocational Institute</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(1980), 26 B.C.L.R. 225</w:t>
        </w:r>
      </w:hyperlink>
      <w:r>
        <w:rPr>
          <w:rFonts w:ascii="arial" w:eastAsia="arial" w:hAnsi="arial" w:cs="arial"/>
          <w:color w:val="000000"/>
          <w:sz w:val="20"/>
          <w:lang w:val="en-US" w:eastAsia="en-US" w:bidi="ar-SA"/>
        </w:rPr>
        <w:t xml:space="preserve"> (C.A.) at paras. 23-24; </w:t>
      </w:r>
      <w:r>
        <w:rPr>
          <w:rFonts w:ascii="arial" w:eastAsia="arial" w:hAnsi="arial" w:cs="arial"/>
          <w:i/>
          <w:color w:val="000000"/>
          <w:sz w:val="20"/>
          <w:lang w:val="en-US" w:eastAsia="en-US" w:bidi="ar-SA"/>
        </w:rPr>
        <w:t>Davidson v. Tahtsa Timber Ltd.</w:t>
      </w:r>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Were the two causes of action interrelated?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alleged that the defendant Martin negligently drove his motorcycle in front of her motorcycle, directly into her path of travel, without warning. She alleged that she had to steer to her right and forcefully apply her brakes, in order to avoid a collision with the defendant Martin's motorcycle. It was further alleged by the plaintiff that, at the time she was taking emergency evasive action, she encountered loose material on the roadway, which caused her to lose control of her motorcycle and be injured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Martin denied liability, and alleged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her losing control of her motorcycle and her resulting injury. He admitted that he steered his motorcycle into the plaintiff's path of travel, but denies that this action caused the plaintiff to lose control. He alleged that she lost control of her motorcycle solely because she failed to keep a proper lookout and she was following too closely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 Martin alleged in the alternative that the plaintiff's loss of control of her motorcycle was caused by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combination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MacNutt Enterprises Ltd. (in depositing loose material on Interurban Road and then failing to clean it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was the position of the defendant Martin that he encountered loose material on the road surface, which was present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MacNutt Enterprises Ltd., ("the defendant MacNutt"), and that this loose material caused him to skid and temporarily lose control of his motorcycle, which required him to steer to his right, in front of the plaintiff, in order to regain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 MacNutt denied liability and alleged that the plaintiff's loss of control of her motorcycle was caused solely by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alternative pleadings included the allegation that the accident was caused by the combined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the defendant Martin. At trial, the defendant MacNutt specifically denied that it owed a duty of care to the plaintiff and denied that any loose material was present on the roadway, at the location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close of the plaintiff's case at trial, counsel for the defendant MacNutt made a no evidence motion. After argument, that application was abandoned, but it was renewed after the defendant James Martin elected to call evidence, presented evidence and closed his case. I dismissed the motion for non-suit, on the ground that there was some evidence which, if accepted, could support findings of all essential elements of the cause of action pleaded against the defendant MacNutt.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MacNutt challenged the credibility of the plaintiff and the defendant at the trial, and argued that they had fabricated their evidence to the effect that they had each lost control of their motorcycles because they had skidded on loose material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did not accept the evidence of the plaintiff and the defendant Martin, to the effect that there was loose material on the roadway which caused them to lose control of their motorcycles. I also concluded that the plaintiff had failed to prove that the defendant MacNutt owed her a duty of care, in that the loose material that was being tracked out on to Interurban Road, originated from Alan Road, which was a municipal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in my opinion, the plaintiff has met the threshold test of establishing that it was reasonable for her to sue MacNutt Enterprises Ltd. together with James Martin. The two causes of action are interrelated to a significant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Does the conduct of the defendant Martin favour the making of a Sanderson Order (or Bullock Order)</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submits that the defendant Martin "pointed the finger" at the defendant MacNutt. On behalf of the defendant Martin, it is submitted that he only "pointed the finger" at the defendant MacNutt in the alternative to his primary pleading, which was that the plaintiff was solely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true that the defendant Martin's first line of defence was that the plaintiff was solely responsible for her injury. But he admitted that he steered in front of the plaintiff's motorcycle, and sought to blame the defendant MacNutt for causing him to make this manoeuvre. The defendant Martin maintained this position throughout the trial and in final argument submitted that he encountered loose material on the roadway which caused him to steer in front of the plaintiff's motorcycle (see paragraph 11(h)) of counsel's final argument in writing). In paragraph 11(p), counsel for the defendant Martin made this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the plaintiff and the defendant James Martin indicate that their operation of their respective motorcycles was affected by material on the roadway. There is evidence from them and from another witness to indicate that there was material on the roadway on that day, and there is evidence that material on this portion of Interurban Road was a regular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these circumstances, I conclude that the defendant Martin did, to a significant extent, assert that the defendant MacNutt was "the culprit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for the plaintiff pointed out that the defendant MacNutt also sought to blame the defendant Martin for causing the plaintiff's injury. But the plaintiff joined the defendant MacNutt with her action against the defendant Martin, from the outset. Having been so joined, it seems inconceivable that the defendant MacNutt would not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Martin, in the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was further submitted on behalf of the plaintiff that the defendant Martin gave evidence on examination for discovery on January 12, 2009, to the effect that his allegedly negligent manoeuvre was caused by the presence of loose material on the roadway. I think that conduct on the part of the defendant Martin gave some support for the plaintiff's decision to continue with her action against the defendant MacNutt. But it is arguable that events in the months leading up to the trial in 2010 cast considerable doubt on the likelihood of success as against the defendant MacNutt. Even so, the position that was taken by the defendant Martin put significant pressure on the plaintiff to maintain her action against the defendant MacNutt, at least up to early October, 2010. It is important to note that, in his trial brief filed October 4, 2010, the defendant Martin set out his position as being: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motor vehicle accident which is the subject of this proceeding, and any resulting injuries and damage for which the plaintiff claims compensation, are due solely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in the operation of her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That position changed at the trial. The defendant Martin sought to blame the defendant MacNutt for his own loss of control, and also for the plaintiff's loss of control of her motorcycle. On the other hand, I think it is a reasonable inference that, if the plaintiff had discontinued her action against the defendant MacNutt before trial, the defendant Martin would not have attempted to prove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MacNutt was the cause of the plaintiff's injury. This conclusion seems to be confirmed by the defendant Martin's offer to settle made on November 10, 2010, which was for 50% of the agreed amount of damages (50% would be $500,000) and 50% of costs incurred up to the date of the offer. Presumably counsel for the defendant Martin would have known of the offer to settle made by the defendant MacNutt, on November 5th (for $1.00 plus costs to date), so that the 50% offer likely reflected counsel's assessment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has not been shown that the defendant Martin did anything to induce the plaintiff to sue the defendant MacNutt. He did file pleadings in which he alleged fault on the part of the defendant MacNutt, but this was in the alternative to his main defence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 The defendant Martin did give evidence on discovery that indicated he would seek to cast blame on the defendant MacNutt for his own actions which the plaintiff alleged were negligent. However, he then filed a trial brief which made no allegation of fault on the part of the defendant MacNutt. I infer that it was simply a judgment on the part of counsel for the plaintiff to advise the plaintiff to continue to trial against the defendant MacNutt. The plaintiff has not shown that the defendant Martin's conduct made that decision reasonable or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conclude that the plaintiff cannot rely on any conduct on the part the defendant Martin as being a sufficient reason for continuing to maintain her claim against the defendant MacNutt, through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the defendant Martin relies on the general rule in Rule 14-1(9) that "costs of a proceeding must be awarded to the successful party unless the court otherwise orders." This is generally understood to mean that the losing party (in this case, the plaintiff) pays the costs of the winning party (in this case, the defendant MacNutt). It is said that this rule should be applied here, because there are no proper grounds for the court to conclude that the costs of the defendant MacNutt "ought to be paid" by the defendant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authorities say that a trial judge's discretion on this issue continues to be very broad. See </w:t>
      </w:r>
      <w:r>
        <w:rPr>
          <w:rFonts w:ascii="arial" w:eastAsia="arial" w:hAnsi="arial" w:cs="arial"/>
          <w:i/>
          <w:color w:val="000000"/>
          <w:sz w:val="20"/>
          <w:lang w:val="en-US" w:eastAsia="en-US" w:bidi="ar-SA"/>
        </w:rPr>
        <w:t>Davidson v. Tahtsa Timber Ltd</w:t>
      </w:r>
      <w:r>
        <w:rPr>
          <w:rFonts w:ascii="arial" w:eastAsia="arial" w:hAnsi="arial" w:cs="arial"/>
          <w:color w:val="000000"/>
          <w:sz w:val="20"/>
          <w:lang w:val="en-US" w:eastAsia="en-US" w:bidi="ar-SA"/>
        </w:rPr>
        <w:t>. at para 49. Some relevant factors have been identified in the cases and, where they exist, they must be taken into account. But the existence or non-existence of a particular factor does not fetter the trial judge's discretion. In the present case, although it was suggested as a potentially relevant factor by counsel for the plaintiff, I do not consider it of significance that both defendants are separately represented by the same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all of the circumstances, I am not persuaded that the costs which the defendant MacNutt is entitled to recover from the plaintiff ought to be paid by the defendant Martin. The application of the plaintiff for a Sanderson order (or a Bullock order) is dismissed. The plaintiff will be required to pay the costs of the defendant MacNutt.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 of the defendant MacNutt for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MacNutt claims double costs for the period from November 5, 2010, onward, on grounds which include the fact that on that date, the defendant MacNutt delivered an offer to settle the plaintiff's claim for payment of one dollar plus the plaintiff's costs at Scale B up to November 5, 2010. In his letter, counsel for the defendant MacNutt set out eight reasons which were said to make the offer to settle a fair and reasonable one. By its terms, the offer expired at 4:00 p.m. on the last business day before trial. The plaintiff rejected this offer, on November 8,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shows that, as early as January 13, 2009, counsel for the defendant MacNutt had expressed the opinion that, if any liability was to arise from gravel or sand being on the road surface at the time of the accident, it originated from Alan Road, and the plaintiff should be claiming against the Municipality of Saanich. Counsel suggested on January 13, 2009, that the action against MacNutt should be dismissed by consent on the basis that defendant MacNutt would waive its right to any costs or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for the defendant MacNutt made a similar proposal by letter dated April 5, 2010, and also stated that he was intending to proceed with an application for summary trial and final judgment with respect to the plaintiff's claim against the defendant MacNutt. A similar offer was repeated by letter dated July 26, 2010, and again on November 1, 2010. All of these offers were rejected by the plaintiff. None of these offers to settle were made in accordance with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Then came the offer by the defendant MacNutt, dated November 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offer to settle dated November 5, 2010, was an "offer to settle" within the definition in Rule 9-1(1)(c). Rule 9-1(5) grants powers to the court which include the following: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Rule 9-1(6) states: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have referred to a great many case authorities, in support of their respective positions. I find it unnecessary to review these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the plaintiff did not concede that the "relationship" factor (b) favoured the defendant MacNutt, and submitted that factor (c) (the relative financial circumstances of the parties) favoured the plaintiff. I think factor (b) favours the position of the defendant MacNutt. Factor (c) may weigh in favour of the plaintiff, but she has obtained a substantial damage award, and so this factor could not, in my opinion, be decisive on this application. It seems clear that the issue is whether the offer to settle made on November 5, 2010 "was one that ought reasonably to have been accepted" by the plaintiff. If it was, then the factors favouring an award of double costs would outweigh the opposing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 offer to settle "one that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hindsight, it is obvious that the plaintiff should have discontinued its action against the defendant MacNutt, before trial. Counsel for the defendant MacNutt made a forceful submission to the effect that the case against MacNutt was hopeless from the beginning, and that counsel for the plaintiff should have realized this, long before trial (and certainly by November 5, 2010). But I am unable to say that the claim of the plaintiff was bound to fail. Counsel for the plaintiff was of the opinion that there was some prospect of success against the defendant MacNutt. The dismissal of the motion for non-suit indicates that counsel's opinion had some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One of the purposes of rule 9-1 is to promote settlement by imposing significant costs consequences on a litigant who has refused to accept an offer that ought reasonably to have been accepted. But an unsuccessful plaintiff "should not be penalized for declining an offer that did not provide a genuine incentive to settle in the circumstances." See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fact that the claim was dismissed does not establish that the plaintiff ought to have accepted the offer to settle. See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at para 24. The strength of the plaintiff's case against the defendant MacNutt, and the likelihood of a trial judge finding some liability against the defendant MacNutt, were, in my opinion, questions about which reasonable lawyers could disagree. The particulars of the plaintiff's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MacNutt appear to have been in a state of flux up until the time of trial. Even when the plaintiff began alleging that the loose material was being tracked out on to Interurban Road by the tires of trucks travelling from the MacNutt yard along Alan Road, there was some evidence suggesting that the defendant MacNutt may have accepted some responsibility for cleaning up Interurban Road at and near the intersection of Alan Road. In the face of a one dollar ($1.00) offer to settle, made on the eve of trial, counsel for the plaintiff might understandably have advised against acceptance. In my view, counsel could reasonably have concluded that the offer fell short of providing "a genuine incentive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end, I am unable to conclude that the offer to settle made by the defendant MacNutt on November 5, 2010 "was one that ought reasonably to have been accepted" by the plaintiff. In all of the circumstances that exist in this case, I am not persuaded that an award of double costs should be made against the plaintiff. The application of the defendant MacNutt Enterprises Ltd.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result, the plaintiff shall pay to the defendant MacNutt Enterprises Ltd. its costs of this proceeding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 as between the plaintiff and the defendant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directs that the plaintiff shall receive 70% of her costs of this proceeding, from the defendant Martin. But that statute does not entitle the defendant Martin to receive 30% of his costs of the proceeding, from the plaintiff, because he sustained no damage or loss. See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at paras. 29-30 and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However, the defendant Martin was successful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In my opinion, the costs entitlement of the plaintiff is defined solely by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That statute directs that the plaintiff shall recover 70% of her costs of the proceeding from the defendant Martin. It seems to me that the Rules of Court relating to costs should govern the issue of whether the defendant Martin should recover any of his costs from the plaintiff. Rule 14-1(15) reads in part:</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relate to some particular application, step or matter in or related to the proceeding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Up until July 1, 2010, the relevant sub-rule stated:</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 that relate to some particular issue or part of the proceeding or may award costs except so far as they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think that the issue of whether the plaintiff was contributorily negligent is a "matter in or related to the proceeding" under the new rule, and a "particular issue or part of the proceeding" under the previous rule. I conclude that the court has the discretion to award costs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to the defendant Martin. I am not suggesting that such costs should be awarded, only that the court has jurisdiction to entertain such an application under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No submissions were made relating to what costs, if any, should be paid by the plaintiff to the defendant Martin and I was not told whether that issue was settled. It may be that the parties have reached agreement on that issue. If so, nothing further needs to be said about it. I will leave it to counsel to advise the trial scheduling manager as to whether further submissions will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All parties will bear their own costs of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077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Burdett (Guardian ad litem of) v. Mohamed, [2010] B.C.J. No. 420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 Boyd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20-21,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M034055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420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310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90 C.P.C. (6th) 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187 A.C.W.S. (3d) 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555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Taryn Burdett, an infant by her Guardian Ad Litem Terrence Burdett, Plaintiff, and Mohamed Abdikani Mohamed, Joseph Samuel, and Christopher Brent Dubois,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jc w:val="both"/>
        <w:rPr>
          <w:rFonts w:ascii="arial" w:eastAsia="arial" w:hAnsi="arial" w:cs="arial"/>
          <w:sz w:val="20"/>
          <w:lang w:val="en-US" w:eastAsia="en-US" w:bidi="ar-SA"/>
        </w:rPr>
      </w:pPr>
      <w:bookmarkStart w:id="290" w:name="Counsel_46"/>
      <w:bookmarkEnd w:id="2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6"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Slater, Q.C., P.T.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Samuels: D.A. Cave, S.A.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ICBC: M.P. Ragona,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1" w:name="Judgment_46"/>
      <w:bookmarkEnd w:id="291"/>
      <w:r>
        <w:pict>
          <v:line id="_x0000_s1247" style="position:absolute;z-index:2517575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Ruling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2" w:name="M.E. BOYD J."/>
            <w:bookmarkEnd w:id="292"/>
            <w:r>
              <w:rPr>
                <w:rFonts w:ascii="arial" w:eastAsia="arial" w:hAnsi="arial" w:cs="arial"/>
                <w:b/>
                <w:color w:val="000000"/>
                <w:sz w:val="30"/>
                <w:lang w:val="en-US" w:eastAsia="en-US" w:bidi="ar-SA"/>
              </w:rPr>
              <w:t>M.E. 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civil jury trial concluded on December 21, 2009 when the jury awarded the plaintiff damages against the defendant Mohamed Abdikani Mohamed ("Mohammed") in an amount totalling $1,813,440 (ie. following 20% deduction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claim against the defendant Joseph Samuel ("Samuel") was dismissed. The plaintiff now applies for the following orders: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she recover 100% of her costs of the entire proceeding at Scale C, payable by the defendants Mohammed and Christopher Brent Dubois ("Dubois"), pursuant to Rule 57(9) and Section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pursuant to Rule 57(18) requiring the defendants Mohammed and Dubois to pay the costs of the successful defendant Samuel;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pursuant to Rule 37B that she is entitled to double costs from the defendants Mohamed and Dubois from November 10, 2009 to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Samuel opposes this application and cross applies for costs against the plaintiff on the ordinary scale as well as double costs following September 21, 2006, the date of Samuel's offer of settlement. In the alternative, Samuel seeks costs throughout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Third Party, Insurance Corporation of British Columbia ("ICBC"), also opposes the plaintiff's application and cross applies for the following orders: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counsel disclose to the Court (or be subject to examination under oath) as to when he first became aware the defendants' Mohammed and Dubois had third party insurance limits with ICBC of $1 million;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is not entitled to a Sanderson, [1903] 2 K.B. 533, or Bullock, [1907] 1 K.B. 264, order against the defendants Mohammed and Dubois, regarding any costs payable by the plaintiff to the defendant Samuel;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pay to ICBC all costs incurred by ICBC from March 25, 2008 onwards, or such other date as fixed by the Court;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that the plaintiff is not entitled to any costs from ICBC after March 25, 2008;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any costs payable, are payable by the plaintiff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2.0 Background: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action concerns a motor vehicle accident which occurred on December 19, 2002 when the plaintiff was riding in a vehicle owned by the defendant Dubois and driven by the defendant Mohammed, which vehicle collided with a vehicle owned and driven by the defendant Samuel. The Third Party, ICBC, insured Dubois and Mohammed up to $1 million plus court ordered interest plus costs. On impact, the plaintiff, who was riding in the rear passenger seat, was ejected from the vehicle and suffered very serious head injuries, including a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Following the accident, the defendant Mohammed was charged with dangerous driving and impaired driving. The defendants Dubois and Mohammed were deemed to be in breach of the ICBC insurance policy. Neither Dubois or Mohammed participated in any way in this action. However, as entitled to under statute, ICBC defended the action pursuant to the provisions of a Third Party Notice filed in January 2004. In its Statement of Defence ICBC took the position the plaintiff's injuries were suffered as a result of the negligent actions of the co-defendant Samuel as well as the plaintiff's own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wear a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gave rise to three separate claimants, all of whom were passengers in the vehicle driven by Mohammed and owned by Dubois: the plaintiff Taryn Burdett (subject action); Nicole Maxwell (BCSC Action No. M060929, Vancouver Registry) ("Maxwell"); and Sundeep Sahota (BCSC Action No. M105304, New Westminster Registry) ("Sahota"). In the event that neither Mohammed or Dubois had any assets of note, a finding of liability against them alone would result in the three claimants sharing pro rata the $1 million available under the Third Party liability limits, minus the $15,838.68 which had already been paid out by way of material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of March 28, 2008, ICBC alleges that plaintiff's counsel wrote to ICBC's counsel, indicating his knowledge the policy limit extended by ICBC to the defendants Dubois and Mohammed was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the Burdett action moved forward, Mr. Ragona, ICBC's counsel, became increasingly concerned about the mounting costs of the litigation and the limited insurance funds available for distribution amongst the three claimants. On July 15, 2009, facing the impending trial date of November 23, 2009, Mr. Ragona wrote to the three claimants or their counsel (at this point Mr. Sahota was self-represented), suggesting that "the claimants get together to divide among themselves the $1,000,000 third party liability offered by our client in order to resolves these matters short of trial." On July 24, 2009 ICBC's counsel followed up that letter by serving a Notice To Mediate.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Gordon, the plaintiff's counsel, responded by letter on July 27, 2009, noting that he saw no reason to settle the plaintiff's claim against Dubois unless he was also able to settle her claim against the defendant Samuel. He noted that since no settlement funds had been offered on behalf of Samuel, the plaintiff's action would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his letter of reply dated August 26, 2009, and again on submissions on this motion, Mr. Ragona complained that Mr. Gordon's letter was not a "meaningful response" to his earlier letter. As he noted in his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cannot imagine that at the end of trial, that the Jury would not find the judgment as between the defendants and the plaintiffs to be several, that is to say, both the plaintiffs, Burdett and Maxwell, to be found contributorily negligent. To respond that this matter should proceed to trial because the insurers of Samuel (who in our view is not liable) will not contribute to any form of settlement indicates to us that full consideration of this matter has not so far been undertaken by the respective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Once again he suggested that an equitable division of the proceeds of the third party policy take place as between the plaintiff, Maxwell and Sahota, and that should any of those plaintiff wish to proceed to trial they do so only on the issue of Samuels' liability. The letter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adopt the procedure, as suggested, will stop the incurring of costs for all of our respective clients which, as expressed on a number of occasions, we view as unnecessary. Indeed, we would go so far as to suggest that a continuance of these actions in the manners now framed is an abuse of the judicial proceedings and a waste of the court's time and our respective clients'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1, 2009, Mr. Cave, counsel for the defendant Samuel, wrote to the plaintiff's counsel, withdrawing Samuel's earlier Offer to Settle of September 21, 2006 (allowing the plaintiff to dismiss the action against Samuels with no costs to either party) and warning that in the event the action proceeded to trial and the action against Samuel was dismissed, he would rely on this letter in support of an application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October 14, 2009 (the day before a Mediation scheduled by ICBC and the co-defendant Samuel), Mr. Ragona once again wrote to all three claimants counsel, repeating ICBC's offer to tender the $1 million third party liability limits, minus the amount paid for property damages, plus court order interest and costs in exchange for a release against Dubois, Mohammed, and Sahota. (Regarding Sahota, a late action had recently been commenced against Sahota regarding his allegedly negligent entrustment of the vehicle to Mohammed. That action was later discontinued). He further noted that any pro rata division of the policy would be subject to ICBC's review and satisfaction that there was an equitable division of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November 10, 2009 the plaintiff's counsel forwarded a formal Offer to Settle to ICBC's and Samuel's counsel, offering to settle the action for $1.5 million plus costs and disbursements to be assessed or agreed. The offer was open for acceptance until 4:00 p.m. November 20,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noted at the outset, the action did proceed to trial before a judge and jury for four weeks in November-December 2009. The jury dismissed the action against the defendant Samuel, but awarded the sum of $2,266,800 against the defendants Mohammed and Dubois. Following the reduction of that award by 20% (to reflect the jury's finding the plaintiff was contributorily negligent) reduces the total award to $1,813,440.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3.0 Analysis: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 Is the plaintiff entitled to 100% of her costs against Mohammed and Dubois?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Applying the usual rule set out in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since the jury found the defendants Mohammed and Dubois 80% liable for this accident and the plaintiff 20% contributorily negligent, the plaintiff would ordinarily not recover more than 80% of her costs.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directs, the liability for costs of the parties to every action is in the same proportion as their respective liability to make good the damage or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However relying on the decisions in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Moore v. Dhillon</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(1993), 85 B.C.L.R. (2d) 69</w:t>
        </w:r>
      </w:hyperlink>
      <w:r>
        <w:rPr>
          <w:rFonts w:ascii="arial" w:eastAsia="arial" w:hAnsi="arial" w:cs="arial"/>
          <w:color w:val="000000"/>
          <w:sz w:val="20"/>
          <w:lang w:val="en-US" w:eastAsia="en-US" w:bidi="ar-SA"/>
        </w:rPr>
        <w:t xml:space="preserve"> (B.C.C.A.), the plaintiff submits that given the circumstances in the case at bar, the Court has the discretion to depart from the usual rule. The principle consideration will be whether an injustice will result by adhering to the usual rule: </w:t>
      </w:r>
      <w:r>
        <w:rPr>
          <w:rFonts w:ascii="arial" w:eastAsia="arial" w:hAnsi="arial" w:cs="arial"/>
          <w:i/>
          <w:color w:val="000000"/>
          <w:sz w:val="20"/>
          <w:lang w:val="en-US" w:eastAsia="en-US" w:bidi="ar-SA"/>
        </w:rPr>
        <w:t>Forsyth v. Sikorsky Corp.</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Bourelle v. Andrychuk</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(1998), 61 B.C.L.R. (3d) 191</w:t>
        </w:r>
      </w:hyperlink>
      <w:r>
        <w:rPr>
          <w:rFonts w:ascii="arial" w:eastAsia="arial" w:hAnsi="arial" w:cs="arial"/>
          <w:color w:val="000000"/>
          <w:sz w:val="20"/>
          <w:lang w:val="en-US" w:eastAsia="en-US" w:bidi="ar-SA"/>
        </w:rPr>
        <w:t xml:space="preserve"> (B.C.C.A.), the jury found the plaintiff 90% at fault and the defendant 10% at fault for the accident. The trial judge awarded the plaintiff 100% of his costs, </w:t>
      </w:r>
      <w:hyperlink r:id="rId789" w:history="1">
        <w:r>
          <w:rPr>
            <w:rFonts w:ascii="arial" w:eastAsia="arial" w:hAnsi="arial" w:cs="arial"/>
            <w:i/>
            <w:color w:val="0077CC"/>
            <w:sz w:val="20"/>
            <w:u w:val="single"/>
            <w:shd w:val="clear" w:color="auto" w:fill="FFFFFF"/>
            <w:lang w:val="en-US" w:eastAsia="en-US" w:bidi="ar-SA"/>
          </w:rPr>
          <w:t>[1996] B.C.J. No. 769</w:t>
        </w:r>
      </w:hyperlink>
      <w:r>
        <w:rPr>
          <w:rFonts w:ascii="arial" w:eastAsia="arial" w:hAnsi="arial" w:cs="arial"/>
          <w:color w:val="000000"/>
          <w:sz w:val="20"/>
          <w:lang w:val="en-US" w:eastAsia="en-US" w:bidi="ar-SA"/>
        </w:rPr>
        <w:t>. On appeal the Court of Appeal reduced the plaintiff's recovery for costs to two-thirds, since the time taken for proof of damages was about two-thirds of the trial time and approximately one-third for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at trial, </w:t>
      </w:r>
      <w:hyperlink r:id="rId790" w:history="1">
        <w:r>
          <w:rPr>
            <w:rFonts w:ascii="arial" w:eastAsia="arial" w:hAnsi="arial" w:cs="arial"/>
            <w:i/>
            <w:color w:val="0077CC"/>
            <w:sz w:val="20"/>
            <w:u w:val="single"/>
            <w:shd w:val="clear" w:color="auto" w:fill="FFFFFF"/>
            <w:lang w:val="en-US" w:eastAsia="en-US" w:bidi="ar-SA"/>
          </w:rPr>
          <w:t>[2007] B.C.J. No. 2045</w:t>
        </w:r>
      </w:hyperlink>
      <w:r>
        <w:rPr>
          <w:rFonts w:ascii="arial" w:eastAsia="arial" w:hAnsi="arial" w:cs="arial"/>
          <w:color w:val="000000"/>
          <w:sz w:val="20"/>
          <w:lang w:val="en-US" w:eastAsia="en-US" w:bidi="ar-SA"/>
        </w:rPr>
        <w:t xml:space="preserve">, the plaintiff pedestrian Moses was held 65% at fault for an accident, while the defendant motorist Kim was held 35% at fault. The plaintiff recovered damages of $218,050, which amounted to approximately one-fourth of what he sought and one-third of what he was assessed at trial. The plaintiff was awarded 90% of his taxable costs, </w:t>
      </w:r>
      <w:hyperlink r:id="rId791" w:history="1">
        <w:r>
          <w:rPr>
            <w:rFonts w:ascii="arial" w:eastAsia="arial" w:hAnsi="arial" w:cs="arial"/>
            <w:i/>
            <w:color w:val="0077CC"/>
            <w:sz w:val="20"/>
            <w:u w:val="single"/>
            <w:shd w:val="clear" w:color="auto" w:fill="FFFFFF"/>
            <w:lang w:val="en-US" w:eastAsia="en-US" w:bidi="ar-SA"/>
          </w:rPr>
          <w:t>[2007] B.C.J. No. 2693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appeal, the Court overturned this award of costs and reduced the recovery of costs to 75%. The Court of Appeal held the trial judge erred in considering the plaintiff's legal fees as well as failing to consider the defendant's success in terms of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notable that only one of day of evidence and one-half day of argument in an overall trial of nine days was devoted to the issue of liability. The lion's share of the time at trial concerned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Likewise in this case the plaintiff notes that there are a number of factors the Court can rely upon in deviating from the usual rule regarding recovery of costs:</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very serious injuries;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substantially successful in establishing her damages;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of the time at trial and most of the disbursements incurred were with respect to the issue of damages;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award, after taking in to account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was greater than the plaintiff's offer of settle and no offers of any payment of funds had been made by or on behalf of either of the defendants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While none of the parties has provided any real analysis of the time spent at trial on the issues of liability and damages, my own recollection is that both issues were hard fought and consumed substantial time. I would estimate that approximately 40%-50% of the time was spent dealing with issues of liability -- that is the dynamics of the accident (including a great deal of expert engineering evidence), the seat belt evidence and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issue. (Of that time frame, the seat belt issue consumed no more than approximately 1- 1 1/2 days of evidence). Approximately 50%-60% of the trial addressed the issue of damages. While the plaintiff recovered a substantial award, it fell far short of the $7.8 million sought, largely due to a much reduced future care costs award made by the jury. That said, the future care costs issue (including the time spent determining the admissibility of the plaintiff's expert report) took no more than approximately 2 1/2 days of the 18 days of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end result, I am satisfied that a fair and just award of costs would be to award the plaintiff 90% of her taxable costs, and 100% of her disbursements, other than the disbursements related to engineering expert fees, in which case she will recover 80% of those disbursements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 Is the plaintiff entitled to double costs against the defendants Mohammed and Dubois pursuant to Rule 37B following the date of her Offer to Settle made November 10, 2009? Or is ICBC entitled to an order for party and party costs or increased costs against the plaintiff following March 28,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seeks double costs from the defendants Mohammed and Dubois following November 10, 2009, the date she offered to settle her claims against them for $1.5 million plus costs and disbursements. This application turns on the fact that the plaintiff recovered an award substantially more than the amount she offered to accept. Applying the factors set out in Rule 37B(6), she submits she is entitled to double costs following November 10,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Third Party, ICBC's cross application for costs against the plaintiff is based on two grounds: (1) that the plaintiff's pursuit of this action following March 28, 2008 amounts to misconduct; and (2) that any costs ordered to be payable to the plaintiff must be subject to the provisions of s. 69 of the </w:t>
      </w:r>
      <w:r>
        <w:rPr>
          <w:rFonts w:ascii="arial" w:eastAsia="arial" w:hAnsi="arial" w:cs="arial"/>
          <w:i/>
          <w:color w:val="000000"/>
          <w:sz w:val="20"/>
          <w:lang w:val="en-US" w:eastAsia="en-US" w:bidi="ar-SA"/>
        </w:rPr>
        <w:t>Insurance (Vehicle) Regulations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A. The Misconduct theme and the application of Rule 37B: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First ICBC submits the plaintiff should be liable for costs following March 2008 on the basis that following that date, notwithstanding her legal counsel's knowledge her ultimate recovery would consist of no more than her proportionate share of the $1 million insurance policy limits, she nevertheless insisted on pursuing this action. While not suggesting that plaintiff's counsel's conduct was scandalous or tantamount to an abuse of process, Mr. Ragona says the plaintiff's determination to pursue her action in the face of that knowledge, at least constitutes a form of misconduct deserving of some form of reproof or rebuke.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alternative, ICBC submits that the offer it extended to allow the claimants to share the insurance funds constituted an offer within the meaning of Rule 37B, and that the reasonableness of that offer must be viewed from the perspective of the state of the litigation at the time that offer was made (</w:t>
      </w:r>
      <w:r>
        <w:rPr>
          <w:rFonts w:ascii="arial" w:eastAsia="arial" w:hAnsi="arial" w:cs="arial"/>
          <w:i/>
          <w:color w:val="000000"/>
          <w:sz w:val="20"/>
          <w:lang w:val="en-US" w:eastAsia="en-US" w:bidi="ar-SA"/>
        </w:rPr>
        <w:t>Insurance Corporation of British Columbia v. Patko,</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2009 BCSC 578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this regard, the Third Party's counsel has sought disclosure or at least the right to examine the plaintiff's counsel under oath in order to confirm the date when plaintiff's counsel was aware of the $1 million policy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reject the submission that ICBC is entitled to any information concerning the date when plaintiff's counsel was aware of the applicable insurance coverage in this case. I agree with Mr. Gordon that Rule 26(1.5) and Rule 27(22.2) render inadmissible in evidence any information concerning an applicable insurance policy unless details of that policy are "relevant to an issue in the action". While ICBC joined itself as a Third Party to this action, this does not in itself render the Third Party insurance liability policy relevant. Indeed the action at bar in no way raises any issue relating to the policy. Thus, I conclude that ICBC is not entitled to any order for disclosure nor an order to compel plaintiff's counsel to reveal what knowledge he had about the policy and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However while details of the policy itself are irrelevant, I acknowledge that this does not necessarily exclude consideration of whether there is, or the amount of, insurance in deciding the issue of costs. There are a series of conflicting decisions of our Court regarding whether the existence of insurance is or is not a relevant factor in considering a party's entitlement to double costs under Rule 37B. (The Court in </w:t>
      </w:r>
      <w:r>
        <w:rPr>
          <w:rFonts w:ascii="arial" w:eastAsia="arial" w:hAnsi="arial" w:cs="arial"/>
          <w:i/>
          <w:color w:val="000000"/>
          <w:sz w:val="20"/>
          <w:lang w:val="en-US" w:eastAsia="en-US" w:bidi="ar-SA"/>
        </w:rPr>
        <w:t>Wright v. Hohenacker</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2009 BCSC 996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Towson v. Bergman</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2009 BCSC 978</w:t>
        </w:r>
      </w:hyperlink>
      <w:r>
        <w:rPr>
          <w:rFonts w:ascii="arial" w:eastAsia="arial" w:hAnsi="arial" w:cs="arial"/>
          <w:color w:val="000000"/>
          <w:sz w:val="20"/>
          <w:lang w:val="en-US" w:eastAsia="en-US" w:bidi="ar-SA"/>
        </w:rPr>
        <w:t xml:space="preserve"> has ruled that the fact there is a well funded insurer driving the defence is not a factor to be taken into account. The Court in </w:t>
      </w:r>
      <w:r>
        <w:rPr>
          <w:rFonts w:ascii="arial" w:eastAsia="arial" w:hAnsi="arial" w:cs="arial"/>
          <w:i/>
          <w:color w:val="000000"/>
          <w:sz w:val="20"/>
          <w:lang w:val="en-US" w:eastAsia="en-US" w:bidi="ar-SA"/>
        </w:rPr>
        <w:t>Radke v. Parry,</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2008 BCSC 1397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Smith v. Tedford</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2009 BCSC 905</w:t>
        </w:r>
      </w:hyperlink>
      <w:r>
        <w:rPr>
          <w:rFonts w:ascii="arial" w:eastAsia="arial" w:hAnsi="arial" w:cs="arial"/>
          <w:color w:val="000000"/>
          <w:sz w:val="20"/>
          <w:lang w:val="en-US" w:eastAsia="en-US" w:bidi="ar-SA"/>
        </w:rPr>
        <w:t xml:space="preserve"> reached the opposite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While I now have some doubts as to the correctness of my own decision in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(at least regarding the relevance of the insurance issue under Rule 37B), in my view that is of no particular import here. All of the decisions cited are concerned with the matter of whether an insurer's conduct of the case on behalf of the defendant is relevant to the issue of costs. In particular, is the fact that a personal defendant has the advantage of having his or her defence conducted by an automobile insurer one of factors to be considered under Rule 37B(6)(c)-ie. "the relevant financial circumstances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case at bar, the Third Party ICBC has turned that factor on its head. Rather than opposing the submission that insurance is in any way relevant to the analysis, ICBC now submits that insurance is not simply one of the factors to be considered, but is the central factor driving the Court's analysis under Rule 37B.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Specifically, ICBC submits that knowing of the third party liability policy limits, the plaintiff was obliged to restrict her claim against Mohammed and Dubois to a pro rata share of the insurance (as ICBC offered), regardless of the actual value of her claim. ICBC asserts that the plaintiff should be subject to punitive costs (i.e. no entitlement to costs for any proceedings after date her counsel learned of the policy limits) for failing to restrict her claim to the value of the insurance money which may have been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entirely reject this submission for several reasons. First, I reject the notion that ICBC's suggestion the three claimants share the insurance proceeds amounted to an "offer to settle". The two letters which set out ICBC's proposal in no way meet the requirements of Rule 37B(1)(c) and therefore cannot trigger the costs options set out in Rule 37B(5).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 in my view, given the following circumstances in this case, the plaintiff cannot be criticized for not responding to ICBC's suggestion of a pro rata sharing of the insurance limits: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ICBC's "offer" asserted that all three injured plaintiffs (Burdett, Maxwell and Sahota) would have to agree to share the $1 million insurance policy while also requiring those parties to release Mohammed and Dubois from any further liability;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of Mohammed and Dubois was being demanded in circumstances in which the plaintiff had no knowledge of the whereabouts nor the financial circumstances of either Mohammed or Dubois. (Neither of those defendants chose to participate in these proceedings. Neither filed an Appearance to the action);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clear that the quantum of Burdett's claim would likely be well in excess of any pro rata share of the insurance policy proceeds;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 plaintiff's pro rata share of the $1 million policy limits could not be determined until all of the parties, including the plaintiff, reached an agreement concerning the value of their respective claims. While Maxwell's claim was settled prior to the trial here, the Sahota action remains outstanding and will apparently not proceed to trial until late 2011. As to the plaintiff's own claim, the value of that claim either had to be determined by agreement with the other claimants or her action had to proceed to trial and judgment. At no time did the Third Party suggest any valuation of the claims;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it must be noted that ICBC played a vital role in this action. While ICBC insists that it never participated in any real defence of this action, the fact remains that throughout the trial the Corporation's position (as articulated in its Statement of Defence) was that the accident had been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co-defendant Samuel as well as the plaintiff's own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 have articulated in a previous ruling at trial, ICBC's counsel originally insisted on the right to cross examine the co-defendant's expert witness until I ruled otherwise. Even at that stage, ICBC refused to resile from its pleading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Samuel. In the end, the co-defendant Samuel adduced evidence regarding the dynamics of the accident (from both Samuel and various expert witnesses), while ICBC's counsel adduced evidence regarding the quantum of damages. Thus the defence presented a united dual front to the plaintiff's action. This was not a case of the Third Party choosing to pay the insurance monies into Court or a solicitor's high interest bearing account and then taking no further steps to defend the proceedings. The Third Party was an active participant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having never received an actual offer of settlement from the Third Party, it was reasonable for the plaintiff to choose to proceed to trial in this case. She could expect that she would recover judgment against at least Mohammed and Dubois. The judgment would also likely be in excess of the policy limits. While the quantum of the judgment actually recovered would not exceed her pro rata share of the insurance funds (the calculation of which depended on settlements reached or judgments obtained by Maxwell and Sahota), she would still be left with the ability for the next ten years to pursue execution on the judgment against Mohammed and Dubois. While the Third Party apparently insists that any such judgment will be dry, there is simply no evidence one way or another to confirm that likelihood. It should also be noted that had the insurance monies been paid into court, and had the three claimants reached some agreement as to an appropriate division of the funds, the Third Party could not have enforced any requirement for a release of her claim against either Mohammed or Dubois.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Section 69 of Insurance (Vehicle) Act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the alternative ICBC has submitted that s. 69 of the </w:t>
      </w:r>
      <w:r>
        <w:rPr>
          <w:rFonts w:ascii="arial" w:eastAsia="arial" w:hAnsi="arial" w:cs="arial"/>
          <w:i/>
          <w:color w:val="000000"/>
          <w:sz w:val="20"/>
          <w:lang w:val="en-US" w:eastAsia="en-US" w:bidi="ar-SA"/>
        </w:rPr>
        <w:t>Insurance (Vehicle) Act Regulations</w:t>
      </w:r>
      <w:r>
        <w:rPr>
          <w:rFonts w:ascii="arial" w:eastAsia="arial" w:hAnsi="arial" w:cs="arial"/>
          <w:color w:val="000000"/>
          <w:sz w:val="20"/>
          <w:lang w:val="en-US" w:eastAsia="en-US" w:bidi="ar-SA"/>
        </w:rPr>
        <w:t xml:space="preserve"> applies to this case. Section 69 provides that in addition to the amount payable under the Third Party liability provisions of the policy, ICBC shall pay:</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that portion of the costs taxes against an insured in an action under this Part that (i) the amount offered by the Corporation as its total liability for indemnity to the insured under this part in an offer to settle .... bears to (ii) the aggregate of all special and general damages awarded in respect of the amount for which the claim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my view, since the action at bar is not one brought under the provisions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s. 69 is of no relevance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all of these circumstances, I find that the plaintiff is entitled to her costs on the ordinary scale against the defendants Dubois and Mohammed, as well as double costs following the date of her offer to settle made November 10, 2009. The Third Party's cross applications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 Is Samuel entitled to an order for costs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Samuel was entirely successful at trial. The jury found that Samuel was not negligent and accordingly, he was entitled to a complete dismissal of the action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this basis, Samuel seeks his costs against the plaintiff. He submits that an award of ordinary costs should be made to the date of his Offer to Settle made September 21, 2006 and that he should be entitled to double costs following that date to the conclusion of the trial. In the alternative he seeks costs throughout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An Offer to Settle was made by counsel for Samuel on September 21, 2006. The offer proposes that the claims of the plaintiff against Samuel be dismissed and that no costs be payable to either party. This offer was never accepted by the plaintiff. The plaintiff's counsel specifically declined any settlement whatsoever unless some funds were forthcoming from the defendant Samuel. Samuel's formal offer was ultimately withdrawn by letter dated September 1, 2009. The plaintiff's counsel continued to insist on Samuel's liability and demanded $500,000 on the eve of trial and $1 million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dispute that in light of the jury's verdict, the defendant Samuel is at least is entitled to his ordinary costs from the plaintiff. The issue is whether he is entitled to double costs following the date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Offer to Settle made September 2006 is what is known as a "walk away" offer. The offer did not include any offer to pay costs. In this sense the Offer offended the strict working of Rule 37 which requires that an offer to settle must be exclusive of costs. Accordingly, plaintiff's counsel submits he was entitled to conclude the offer had no legal effect and thus to ignore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agree with Samuel's counsel's submission that notwithstanding the deficiencies of the offer, since the offer remained open for acceptance as of July 2, 2008 (indeed the offer of settlement was not withdrawn until September 1, 2009), Rule 37B applies. Rule 37B provides that an "offer to settle" includes "(a) an offer to settle made and delivered before July 2, 2008 under Rule 37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that case, the issue of whether to impose any of the costs options set out in Rule 37B(5) turns on the Court's consideration of the factors set out in Rule 37B(6),that is:</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on any later date;</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 and</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will consider each of these factors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First, was the defendant Samuels' walk away offer of September 2006, one which ought reasonably to have been accepted? While conceding that the walk away offer offends the provisions of the then applicable Rule 37, Samuel's counsel submits this does not end the matter. In </w:t>
      </w:r>
      <w:r>
        <w:rPr>
          <w:rFonts w:ascii="arial" w:eastAsia="arial" w:hAnsi="arial" w:cs="arial"/>
          <w:i/>
          <w:color w:val="000000"/>
          <w:sz w:val="20"/>
          <w:lang w:val="en-US" w:eastAsia="en-US" w:bidi="ar-SA"/>
        </w:rPr>
        <w:t>Bowen Contracting Ltd. v. B.C. Log Spill Recovery Co-operative Association</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2009 BCSC 244</w:t>
        </w:r>
      </w:hyperlink>
      <w:r>
        <w:rPr>
          <w:rFonts w:ascii="arial" w:eastAsia="arial" w:hAnsi="arial" w:cs="arial"/>
          <w:color w:val="000000"/>
          <w:sz w:val="20"/>
          <w:lang w:val="en-US" w:eastAsia="en-US" w:bidi="ar-SA"/>
        </w:rPr>
        <w:t>, Wilson J. held that non-compliance with Rule 37 was simply a factor to be taken into consideration in determining whether an offer is one that "ought reasonably to have been accepted". There the offer had offended the provisions of Rule 37(31) since it was advanced on behalf of two defendants and not all four defendants in the action. While the court agreed the offer was not one that ought reasonably to have been accepted, it held that this was but one factor for consideration of the Rule and went on to consider the balance of the factors in Rule 37B(6), ultimately holding that the defendants were entitled to double costs following the date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submits that the </w:t>
      </w:r>
      <w:r>
        <w:rPr>
          <w:rFonts w:ascii="arial" w:eastAsia="arial" w:hAnsi="arial" w:cs="arial"/>
          <w:i/>
          <w:color w:val="000000"/>
          <w:sz w:val="20"/>
          <w:lang w:val="en-US" w:eastAsia="en-US" w:bidi="ar-SA"/>
        </w:rPr>
        <w:t>Bowen</w:t>
      </w:r>
      <w:r>
        <w:rPr>
          <w:rFonts w:ascii="arial" w:eastAsia="arial" w:hAnsi="arial" w:cs="arial"/>
          <w:color w:val="000000"/>
          <w:sz w:val="20"/>
          <w:lang w:val="en-US" w:eastAsia="en-US" w:bidi="ar-SA"/>
        </w:rPr>
        <w:t xml:space="preserve"> decision neither overturns nor overrules the decision of Baker J. in </w:t>
      </w:r>
      <w:r>
        <w:rPr>
          <w:rFonts w:ascii="arial" w:eastAsia="arial" w:hAnsi="arial" w:cs="arial"/>
          <w:i/>
          <w:color w:val="000000"/>
          <w:sz w:val="20"/>
          <w:lang w:val="en-US" w:eastAsia="en-US" w:bidi="ar-SA"/>
        </w:rPr>
        <w:t>Lewis v. Abel</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2008 BCSC 140</w:t>
        </w:r>
      </w:hyperlink>
      <w:r>
        <w:rPr>
          <w:rFonts w:ascii="arial" w:eastAsia="arial" w:hAnsi="arial" w:cs="arial"/>
          <w:color w:val="000000"/>
          <w:sz w:val="20"/>
          <w:lang w:val="en-US" w:eastAsia="en-US" w:bidi="ar-SA"/>
        </w:rPr>
        <w:t>, handed down approximately a year earlier on February 6, 2008. There the defendants had also made a "walk away" offer -- that is offering to allow a consent dismissal order to be entered with no costs to any party. Since Rule 37 did not allow an offer to be made exclusive of costs the defendants submitted that Rule 37A applied, thus allowing them to pursue their claim for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While Baker J. found the defence position both logical and persuasive, ultimately she decided that the weight of authority was against her and reluctantly held the defendants were not entitled to rely on Rule 37A and thus were not entitled to an award of double costs. In particular she relied on the British Columbia Court of Appeal decision in </w:t>
      </w:r>
      <w:r>
        <w:rPr>
          <w:rFonts w:ascii="arial" w:eastAsia="arial" w:hAnsi="arial" w:cs="arial"/>
          <w:i/>
          <w:color w:val="000000"/>
          <w:sz w:val="20"/>
          <w:lang w:val="en-US" w:eastAsia="en-US" w:bidi="ar-SA"/>
        </w:rPr>
        <w:t>Cao (Guardian ad litem of) v. Natt</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2004 BCSC 813</w:t>
        </w:r>
      </w:hyperlink>
      <w:r>
        <w:rPr>
          <w:rFonts w:ascii="arial" w:eastAsia="arial" w:hAnsi="arial" w:cs="arial"/>
          <w:color w:val="000000"/>
          <w:sz w:val="20"/>
          <w:lang w:val="en-US" w:eastAsia="en-US" w:bidi="ar-SA"/>
        </w:rPr>
        <w:t xml:space="preserve">, aff'd </w:t>
      </w:r>
      <w:hyperlink r:id="rId801" w:history="1">
        <w:r>
          <w:rPr>
            <w:rFonts w:ascii="arial" w:eastAsia="arial" w:hAnsi="arial" w:cs="arial"/>
            <w:i/>
            <w:color w:val="0077CC"/>
            <w:sz w:val="20"/>
            <w:u w:val="single"/>
            <w:shd w:val="clear" w:color="auto" w:fill="FFFFFF"/>
            <w:lang w:val="en-US" w:eastAsia="en-US" w:bidi="ar-SA"/>
          </w:rPr>
          <w:t>2005 BCCA 351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Coutu v. San Jose Mines Ltd.</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2005 BCSC 1451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P.G. Restaurant Ltd. v. Northern interior Regional Health Board</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2006 BCSC 1680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Kerpan v. Insurance Corp. of British Columbia</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2007 BCSC 203</w:t>
        </w:r>
      </w:hyperlink>
      <w:r>
        <w:rPr>
          <w:rFonts w:ascii="arial" w:eastAsia="arial" w:hAnsi="arial" w:cs="arial"/>
          <w:color w:val="000000"/>
          <w:sz w:val="20"/>
          <w:lang w:val="en-US" w:eastAsia="en-US" w:bidi="ar-SA"/>
        </w:rPr>
        <w:t>. She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authorities have interpreted the decision of the Court of Appeal in </w:t>
      </w:r>
      <w:r>
        <w:rPr>
          <w:rFonts w:ascii="arial" w:eastAsia="arial" w:hAnsi="arial" w:cs="arial"/>
          <w:i/>
          <w:color w:val="000000"/>
          <w:sz w:val="20"/>
          <w:lang w:val="en-US" w:eastAsia="en-US" w:bidi="ar-SA"/>
        </w:rPr>
        <w:t>Cao</w:t>
      </w:r>
      <w:r>
        <w:rPr>
          <w:rFonts w:ascii="arial" w:eastAsia="arial" w:hAnsi="arial" w:cs="arial"/>
          <w:color w:val="000000"/>
          <w:sz w:val="20"/>
          <w:lang w:val="en-US" w:eastAsia="en-US" w:bidi="ar-SA"/>
        </w:rPr>
        <w:t xml:space="preserve"> to mean that there is no possibility to escape the strictures of Rule 37 by making an offer on the condition that no costs be payable. Where an offer is made that excludes the payments of costs, it will fall outside Rule 37, but also outside Rule 37A.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While I accept that the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 xml:space="preserve"> decision properly reflected the law regarding the application of Rule 37A as at February 2008, I agree with Samuel's counsel that it is of little assistance here. At the time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 xml:space="preserve"> was decided, both Rule 37 and Rule 37A were in effect. Both those rules were repealed on June 6, 2008 and effective July 1, 2008, Rule 37B came into effect. It is clear that the overly technical nature of the old rules led to the redrafting of the rule and the creation of Rule 37B which allows a far greater degree of discretion to the Court in awarding costs. (see </w:t>
      </w:r>
      <w:r>
        <w:rPr>
          <w:rFonts w:ascii="arial" w:eastAsia="arial" w:hAnsi="arial" w:cs="arial"/>
          <w:i/>
          <w:color w:val="000000"/>
          <w:sz w:val="20"/>
          <w:lang w:val="en-US" w:eastAsia="en-US" w:bidi="ar-SA"/>
        </w:rPr>
        <w:t>Gehlen v. Rana</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2009 BCSC 1484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am satisfied that the walk away offer made by Samuel's counsel in September 2006, which remained open for acceptance until Sept 2009, constitutes an "offer to settle" within the meaning of Rule 37B(1)(a).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Bowen</w:t>
      </w:r>
      <w:r>
        <w:rPr>
          <w:rFonts w:ascii="arial" w:eastAsia="arial" w:hAnsi="arial" w:cs="arial"/>
          <w:color w:val="000000"/>
          <w:sz w:val="20"/>
          <w:lang w:val="en-US" w:eastAsia="en-US" w:bidi="ar-SA"/>
        </w:rPr>
        <w:t xml:space="preserve"> decision allows for a much more expansive view of Rule 37B. The subsequent decision in </w:t>
      </w:r>
      <w:r>
        <w:rPr>
          <w:rFonts w:ascii="arial" w:eastAsia="arial" w:hAnsi="arial" w:cs="arial"/>
          <w:i/>
          <w:color w:val="000000"/>
          <w:sz w:val="20"/>
          <w:lang w:val="en-US" w:eastAsia="en-US" w:bidi="ar-SA"/>
        </w:rPr>
        <w:t>Insurance Corporation of British Columbia v. Patko</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2009 BCSC 578</w:t>
        </w:r>
      </w:hyperlink>
      <w:r>
        <w:rPr>
          <w:rFonts w:ascii="arial" w:eastAsia="arial" w:hAnsi="arial" w:cs="arial"/>
          <w:color w:val="000000"/>
          <w:sz w:val="20"/>
          <w:lang w:val="en-US" w:eastAsia="en-US" w:bidi="ar-SA"/>
        </w:rPr>
        <w:t>, handed down April 29, 2009 offers an equally expansive application of Rule 37B.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Adopting the approach set out in those cases, I will consider the factors set out in Rule 37B(6).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Rule 37(B)(6)(a)</w:t>
      </w:r>
      <w:r>
        <w:rPr>
          <w:rFonts w:ascii="arial" w:eastAsia="arial" w:hAnsi="arial" w:cs="arial"/>
          <w:color w:val="000000"/>
          <w:sz w:val="20"/>
          <w:lang w:val="en-US" w:eastAsia="en-US" w:bidi="ar-SA"/>
        </w:rPr>
        <w:t>: First, was the walk away offer one reasonably capable of acceptance? While the Samuel offer did not offer any monetary compensation, it allowed for dismissal without any costs payable to the defendant Samuel. I am satisfied that from the outset, the plaintiff faced a significant risk that no finding of liability would be found against Samuel. The claim against Samuel turned on the theory that had Samuel been paying proper attention to the roadway, he would have seen that the oncoming Dubois vehicle was out of control, fishtailing on the road, and would have immediately, within a period of 3 seconds, applied his brakes. Had he done so he would have been able to bring his vehicle to a stop within a short distance, thus avoiding any impact with the Dubois vehicle. The plaintiff's theory, while apparently supported by the engineering expert, Robin Brown, was completely discounted by a swath of defence engineers. Indeed those reports relied on an analysis of the black box in the Samuel vehicle to prove that Samuel had actually reacted and applied his brakes and had succeeded in substantially reducing the speed of his vehicle before the collision, although not to the extent he was able to avoid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My own impression is that faced with the grim realities of the other defendants' limited insurance coverage, the plaintiff made a calculated decision to pursue a claim of very doubtful merit against Samuel, realizing that she would realize a substantial benefit even if Samuel's liability was limited to a small percentage. But for the insurance situation, I am confident that the Samuel offer would have been accepted early 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Rule 37B(6)(b)</w:t>
      </w:r>
      <w:r>
        <w:rPr>
          <w:rFonts w:ascii="arial" w:eastAsia="arial" w:hAnsi="arial" w:cs="arial"/>
          <w:color w:val="000000"/>
          <w:sz w:val="20"/>
          <w:lang w:val="en-US" w:eastAsia="en-US" w:bidi="ar-SA"/>
        </w:rPr>
        <w:t>: The second factor requires consideration of the final result. The claim against Samuel was entirely dismissed by the jury. This was the best possible result for the defendant Samuel and a complete loss for the plaintiff, at least in terms of her case against him. Had she accepted Samuel's offer of settlement, she would have avoided paying costs to Samuel at this stage, as well as not recovering her own trial and preparation expenses relating to that part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Rule 37B(6)(c)</w:t>
      </w:r>
      <w:r>
        <w:rPr>
          <w:rFonts w:ascii="arial" w:eastAsia="arial" w:hAnsi="arial" w:cs="arial"/>
          <w:color w:val="000000"/>
          <w:sz w:val="20"/>
          <w:lang w:val="en-US" w:eastAsia="en-US" w:bidi="ar-SA"/>
        </w:rPr>
        <w:t xml:space="preserve">: The third factor is a consideration of the relative financial circumstances of the parties. As I noted earlier, I have some doubt regarding my own earlier decision in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I am satisfied that the weight of the authorities excludes consideration of the fact Samuel's insurer, ICBC, conducted his defence. In order to deprive a party of costs it would ordinarily receive under the Rule, there must be some evidence of its financial circumstances. Here there was little evidence regarding the financial circumstances of either party. The evidence was that Samuel was and is a salesman at Future Shop. He lives with his family in Richmond. The plaintiff holds a couple of part-time jobs but has no substantial earnings. On the other hand she has been awarded a significant monetary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Rule 37B(6)(d)</w:t>
      </w:r>
      <w:r>
        <w:rPr>
          <w:rFonts w:ascii="arial" w:eastAsia="arial" w:hAnsi="arial" w:cs="arial"/>
          <w:color w:val="000000"/>
          <w:sz w:val="20"/>
          <w:lang w:val="en-US" w:eastAsia="en-US" w:bidi="ar-SA"/>
        </w:rPr>
        <w:t>: Rule 37B(6)(d) requires the Court to consider whatever other factor it deems appropriate. The defendant Samuel submits that the plaintiff's stubborn insistence on recovering some measure of damages from Samuel is what ultimately drove this action to trial. He points out plaintiff's counsel's earlier letter to the effect that if no settlement funds were forthcoming from Samuel, no settlement could be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As Hinkson J. noted in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the underlying purpose of the offer to settle provisions survived the repeal of Rule 37 and the implementation of Rule 37B. That purpose is to encourage conduct which reduces both the duration and the cost of litigation, while also discouraging the conduct which has the opposite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conclude that all of these factors weigh in favour of the defendant Samuel recovering double costs. I accept that initially, the offer was defective, at least in respect of the old Rule 37. However as of July 2, 2008, when Rule 37B came into effect, the offer was still outstanding and was then an offer which was reasonably capable of being accepted. Thus I find the defendant Samuel is entitled to double costs from the plaintiff as of July 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light of this decision I will not consider Samuel's alternative application for an order that Scale C costs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 Is the plaintiff entitled to a Sanderson order, requiring the defendants, Mohammed and Dubois, to pay the costs which she must pay to the successful defendant, Samuel?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Rule 57(18)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costs of one defendant against the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Towson v. Bergman</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2009 BCSC 978</w:t>
        </w:r>
      </w:hyperlink>
      <w:r>
        <w:rPr>
          <w:rFonts w:ascii="arial" w:eastAsia="arial" w:hAnsi="arial" w:cs="arial"/>
          <w:color w:val="000000"/>
          <w:sz w:val="20"/>
          <w:lang w:val="en-US" w:eastAsia="en-US" w:bidi="ar-SA"/>
        </w:rPr>
        <w:t>, Gray J. reviewed at length the law regarding Bullock orders and Sanderson orders at page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A Bullock order entitles the plaintiff to claim the amount of costs the plaintiff pays to the successful defendant as a disbursement in the assessment of costs against an unsuccessful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A Sanderson order is one in which the unsuccessful defendant is ordered to pay costs directly to the successful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In </w:t>
      </w:r>
      <w:r>
        <w:rPr>
          <w:rFonts w:ascii="arial" w:eastAsia="arial" w:hAnsi="arial" w:cs="arial"/>
          <w:i/>
          <w:color w:val="000000"/>
          <w:sz w:val="20"/>
          <w:lang w:val="en-US" w:eastAsia="en-US" w:bidi="ar-SA"/>
        </w:rPr>
        <w:t>Times Square Holdings Ltd. v. Shimizu</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2001 BCCA 667</w:t>
        </w:r>
      </w:hyperlink>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95 B.C.L.R. (3d) 234</w:t>
        </w:r>
      </w:hyperlink>
      <w:r>
        <w:rPr>
          <w:rFonts w:ascii="arial" w:eastAsia="arial" w:hAnsi="arial" w:cs="arial"/>
          <w:color w:val="000000"/>
          <w:sz w:val="20"/>
          <w:lang w:val="en-US" w:eastAsia="en-US" w:bidi="ar-SA"/>
        </w:rPr>
        <w:t>, the Court of Appeal set out the general rule for exercises of discretion granting Bullock or Sanderson orders: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leading authority in this area of costs is </w:t>
      </w:r>
      <w:r>
        <w:rPr>
          <w:rFonts w:ascii="arial" w:eastAsia="arial" w:hAnsi="arial" w:cs="arial"/>
          <w:i/>
          <w:color w:val="000000"/>
          <w:sz w:val="20"/>
          <w:lang w:val="en-US" w:eastAsia="en-US" w:bidi="ar-SA"/>
        </w:rPr>
        <w:t>Robertson v. Wing</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(1980), 26 B.C.L.R. 225</w:t>
        </w:r>
      </w:hyperlink>
      <w:r>
        <w:rPr>
          <w:rFonts w:ascii="arial" w:eastAsia="arial" w:hAnsi="arial" w:cs="arial"/>
          <w:color w:val="000000"/>
          <w:sz w:val="20"/>
          <w:lang w:val="en-US" w:eastAsia="en-US" w:bidi="ar-SA"/>
        </w:rPr>
        <w:t xml:space="preserve"> (C.A.). There, Mr. Justice Lambert, in the judgment most often quoted in later cases, decided that the only general rule applying to Sanderson and Bullock orders is that for either of them to be considered, a threshold test must first be met: it must have been reasonable for the plaintiff to have joined the successful defendant in the action. If the plaintiff can meet this threshold, it is left to the judge to exercise his or her discretion in deciding what distribution of costs would be just. This discretion may be exercised without being trammelled by a set of legal principles or burdened by precedent: see pp. 227-8.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In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89 B.C.L.R. (3d) 198</w:t>
        </w:r>
      </w:hyperlink>
      <w:r>
        <w:rPr>
          <w:rFonts w:ascii="arial" w:eastAsia="arial" w:hAnsi="arial" w:cs="arial"/>
          <w:color w:val="000000"/>
          <w:sz w:val="20"/>
          <w:lang w:val="en-US" w:eastAsia="en-US" w:bidi="ar-SA"/>
        </w:rPr>
        <w:t>, after reviewing the historical development of both Sanderson and Bullock orders, Southin J.A. stated that "reasonableness" is not measured from the perspective of counsel for the plaintiff; rather, "[t]here must be something which the unsuccessful defendant did, such as asserting the other defendant was the culprit in the case, to warrant his being made to reimburse the plaintiff for the successful defendant's costs": at para. 33. She noted further at para. 34 that such orders: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are not restricted to cases where the unsuccessful defendant in the course of the litigation has blamed the successful defendant but may extend to acts of the unsuccessful defendant which caused the successful defendant to be brought into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In deciding whether to make a Sanderson as opposed to a Bullock order, the question for the court essentially concerns apportionment of risk. As between the plaintiff and the successful defendant, who should bear the risk that the unsuccessful defendant will be unable to pay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Applying those principles, the plaintiff submits she is entitled to a Sanderson order against the defendants Mohammed and Dubois.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This raises the issue, was it reasonable for the plaintiff to have sued and continued her action against the defendant Samuel? I accept that at the outset, given the evidence of the eyewitness to the effect the Dubois vehicle (driven by Mohammed) had fishtailed back and forth across the road before its collision with the oncoming Samuel vehicle, it was reasonable for the plaintiff to have joined Samuel as a defendant to the action. However, after the receipt of the many engineering reports which overwhelmingly laid the blame on Mohammed and absolved Samuel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was it reasonable for the plaintiff to have continued her action against Samuel?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plaintiff submits she was required to maintain her claim against Samuel since ICBC had not only pleaded the plaintiff was contributorily negligent, but had also pleaded Samuel's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caused the accident. As I noted earlier, at no time did ICBC seek to amend its pleading or advise the Court it intended to resile from those pleadings. The matter was addressed directly by the Court in the course of a submission by ICBC's counsel that he be allowed to cross examine Samuel's liability expert. I ruled that in spite of the pleadings (which ICBC would not withdraw), it remained that there was no identifiable lis between the defendants, and that in the absence of any adverse interest between the defendants, I would not allow such a cross examination to occur. While it decided not to withdraw the pleading, ICBC ultimately decided not to cross examine any of Samuel's witnesses on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Mr. Ragona has acknowledged that the Third Party, ICBC, could perhaps have withdrawn its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Samuel, but he submits this was not something the Corporation could do without some exposure to risk. In his opinion the potential risks included the possible allegation by the defendants, Mohammed and Dubois (who did not appear to nor participate in the action), that the Third Party's counsel was guilty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other possibility was an allegation that their insurer, as Third Party in the action, had acted in bad faith in not fully defending their interests by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Samuel's part. He submits that while ICBC never resiled from its pleading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co-defendant Samuel, and tell the jury Samuel was not liable (or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not contributed to the accident), at least it had not adduced any evidence before the jury to support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have some difficulty with this position. At no time was the Third Party under any statutory obligation to defend either of the defendants. It was free to choose to participate in the action and do so only to the extent of addressing the quantum of damages sought by the plaintiff. The choice to extend its mandate to include a full defence on the issues of both liability and damages, was the Third Party's. In my view, the fact that ICBC never called any evidence to prove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Samuel's part is no answer to the situation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view, faced with ICBC's plea that Samuel caused or contributed to this accident, the plaintiff had no choice but to continue her claim against Samuel.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all of these circumstances, I exercise my discretion under Rule 57(18) and find that a Sanderson order is appropriate in the case at bar, thus requiring the defendants Mohammed and Dubois to pay the costs which the plaintiff would otherwise pay to the successful defendant Samuel.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 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8" style="position:absolute;z-index:2518087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Fancello v. Cupskey, [2019] B.C.J. No. 1904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30, May 1-4, 7-11,14-18, 31 and June 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M152158, M172978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1904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1724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Marisa Alicia Fancello, Plaintiff, and Kristopher Cupskey, Andrea Susan Elizabeth Cupskey and Matthew Walter Tomasevich, Defendants, and Matthew Walter Tomasevich, Third Party And Between Marisa Alicia Fancello, Plaintiff, and Alexa Maria Lyon and Jeffrey Ronald Lyon,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(318 paras.)</w:t>
      </w:r>
    </w:p>
    <w:p>
      <w:pPr>
        <w:jc w:val="both"/>
        <w:rPr>
          <w:rFonts w:ascii="arial" w:eastAsia="arial" w:hAnsi="arial" w:cs="arial"/>
          <w:sz w:val="20"/>
          <w:lang w:val="en-US" w:eastAsia="en-US" w:bidi="ar-SA"/>
        </w:rPr>
      </w:pPr>
      <w:bookmarkStart w:id="293" w:name="Counsel_47"/>
      <w:bookmarkEnd w:id="2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9"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Both Actions: R. Parsons, J. Hames.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Kristopher Cupskey, Andrea Susan Elizabeth Cupskey, Alexa Maria Lyon, and Jeffrey Ronald Lyon in Both Actions: N.S. Gill, N. Aram.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Matthew Tomasevich in Action M152158: H.A. Frost.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4" w:name="Judgment_47"/>
      <w:bookmarkEnd w:id="294"/>
      <w:r>
        <w:pict>
          <v:line id="_x0000_s1250" style="position:absolute;z-index:2517585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 -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 -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WAS THERE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AND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RESPIRATORY DIAGNOSIS (A1AD)</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Harry Hong</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Tharwat Fera</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Tom 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IMMEDIATELY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TREATMENT AND MS. FANCELLO IN THE DAYS AFTER THE FIRST ACCIDENT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Glover Medical Clinic</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Khan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Waspe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SPECIALISTS PROVIDING OPINIONS AND ABOUT TREATMENT FOR MS. FANCELLO</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Salvian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Tsai</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Mallinson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Ball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Nairn Stewart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Rathbone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Hirsch</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Babbage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Cohen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Mead-Wescott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(k) Conclusions Reached Regarding Pain and Suffering Arising From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Submissions on Behalf of Ms. Fancello</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Submissions on Behalf of the Defendants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Regarding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EARNING CAPACITY</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Peta</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Columbia</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Regarding Past Loss of Earning Capacity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Fancello Mitigate her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EARNING CAPACITY</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Assessment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Peta</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Columbia</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Regarding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 AND REHABILITATION</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Turning Point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Progressive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Regarding Future Care and Rehabilitation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PRESENT VALUE OF THE COST OF FUTURE CARE NEEDS AND REHABILITATION</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Peta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 REGARDING THE COST OF FUTURE CARE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PUNITIVE DAMAGES: ACTIONS OF MR. CUPSKEY ON MAY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PUNITIVE DAMAGES: REJECTED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5" w:name="G.D. BURNYEAT J."/>
            <w:bookmarkEnd w:id="295"/>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Action M152158, Ms. Fancello claims that a collision occurred at the intersection of 32nd Avenue and 268th Street in Langley on May 30, 2013, that a vehicle owned by Andrea Susan Elizabeth Cupskey was negligently operated by Kristopher Cupskey when it collided with a motor vehicle driven by Matthew Walter Tomasevich, that Ms. Fancello was a passenger in the vehicle driven by Mr. Tomasevich, and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Cupskey caused the damages she alleges. Ms. Fancello also claims damages from Mr. Tomasevich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the same collision. This collision is referred to as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their Amended Response to Civil Claim and in their Third Party Notice, Mr. and Ms. Cupskey deny that they were guilty of the acts or omissions as set out in the Notice of Civil Claim and claim that the collision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Tomasevich. As well, Mr. and Ms. Cupskey claim that Ms. Fancello contributed to her own damages by failing to "properly adjust and securely fasten the seatbelt which was then and there in the motor vehicle, and failing to properly adjust the headrest for her own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his Response to the Civil Claim, Mr. Tomasevich denies that he was negligent and claims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Cupskey was the sole cause of the damages alleged by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Action M172978, Ms. Fancello claims for damages arising out of a collision that occurred at 7272 - 200th Street in Langley on January 20, 2017 when a vehicle registered in the name of Jeffrey Ronald Lyon and negligently operated by Alexa Maria Lyon collided with the vehicle being driven by Ms. Fancello. This collision is referred to as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the Response to Civil Claim filed on behalf of Mr. and Ms. Lyon, they claim that the Second Accident was caused in whole or in part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Fancello and that, in any event, she caused or contributed to her own damages by failing to "properly adjust and securely fasten the seatbelt which was then and there in her motor vehicle and by failing to properly adjust the headrest for her own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Liability for the First Accident is not conceded.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find that 32nd Avenue is a through street and that there is a stop sign at 268th street. The vehicle driven by Mr. Tomasevich was travelling east on 32nd when the vehicle driven by Mr. Cupskey left the stop sign on 268th Street, headed south into the path of the vehicle driven by Mr. Tomasevich, and collided with the vehicle driven by Mr. Tomasevich. I find that the vehicle being driven by Mr. Tomasevich was travelling within the 50 km/hour speed zone on 32nd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Trial, Mr. Tomasevich testified that he saw the vehicle being driven by Mr. Cupskey just prior to the collision when the Cupskey vehicle was about 50 to 75 feet away from his vehicle, that he tapped his brakes but did not slow down much, that the vehicle of Mr. Cupskey came to a "rolling stop" at the stop sign, then left the stop sign, that Mr. Tomasevich applied his brakes hard when he saw the vehicle of Mr. Cupskey "darting out" into the intersection and crossing directly into the path of his vehicle. The vehicle of Mr. Tomasevich collided with the passenger side of the vehicle being driven by Mr. Cupskey and, as a result, the vehicle of Mr. Cupskey spun around about 180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Trial, Mr. Cupskey testified that his view of 32nd Avenue to his right was blocked by a vehicle that was parked on the north side of 32nd Avenue and that this obstructed his view of oncoming traffic. He stated that he saw two pedestrians waiting at the crosswalk, he made eye contact with them, and then waved them to proceed. He stated that he looked both ways and then proceeded to move past the stop sign. He stated that he looked at the pedestrians to thank them for letting him through the intersection and that his vehicle was then hit by the vehicle driven by Mr. Tomasevich. Mr. Cupskey testified that he was travelling at approximately five kilometres per hour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By proceeding into the intersection from the stop sign without being in a position to fully view the oncoming traffic on 32nd Avenue and while he was distracted as he looked at the pedestrians, I find that the failure to leave the stop sign when it was not safe to do so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Cupskey. Despite his obstructed view and inattention, Mr. Cupskey drove his vehicle away from the stop sign directly into the path of the vehicle driven by Mr. Tomasevich.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Pursuant to s. 186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 driver of a vehicle must stop before entering an intersection "...at the point nearest the intersecting highway from which the driver has a view of approaching traffic on the intersecting highway." Mr. Cupskey failed to do so. I find that Mr. Cupskey did not have a clear view of approaching traffic as his view was partially obstructed by the vehicle that was parked to his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Pursuant to s. 175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 driver must yield the right of way to traffic that: "...has entered the intersection on the through highway or is approaching so closely on it that it constitutes an immediate hazard...". Mr. Cupskey failed to do so. I find that the vehicle driven by Mr. Tomasevich was an "immediate hazard" and that Mr. Cupskey did not yield the right of way to the vehicle of Mr. Tomasevich.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vehicle Mr. Cupskey was in the servient position.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Legg J.A.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skillful driver should have availed himself. In such circumstance any doubt should be resolved in favour of the dominant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cannot reach the conclusion that Mr. Tomasevich had sufficient opportunity to take steps to avoid the accident in which "...a reasonably careful and skillful driver would have availed himself." Mr. Tomasevich was entitled to assume that Mr. Cupskey would not create a hazard. I find that Mr. Tomasevich tapped his brakes and then applied them fully and, other than taking those steps, I find that there was nothing that Mr. Tomasevich could do to avoid the First Accident. Mr. Tomasevich took the steps that a reasonably careful and skilled driver could take. I am satisfied that Mr. Cupskey has not established that Mr. Tomasevich had not taken reasonable steps to avoid the First Accident. I am satisfied that there is no evidence to support any liability for the First Accident on Mr. Tomasevich.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have come to the conclusion that Ms. Fancello has proven on a balance of probabilities that the First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Cupskey. I find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Cupskey was the sole cause of the First Accident. At the same time, I dismiss the Third Party Claim of Mr. Cupskey and Ms. Cupskey against Mr. Tomasevich. I also dismiss the claim of Ms. Fancello against Mr. Tomasevich as I find nothing Mr. Tomasevich did or did not do that day that caused the damages suffered by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Liability for the Second Accident was not conceded. Ms. Fancello testified she was leaving a drive-through from the Jugo Juice parking lot at 7272 - 200th Street, Langley on January 20, 2017, her vehicle was close to the curb on the right side of the street, the vehicle driven by Ms. Lyon came out of an access road and made a wide right turn and collided virtually head on with the vehicle Ms. Fancello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Trial, Ms. Fancello gave this recollection of the Second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she was looking up. Like, I mean, I remember even looking at her eyes and thinking, like, she's looking up. Like, I mean, I remember even looking at her yes and thinking, like, she's looking up. What's she doing? And no brakes or anything, she just drove straight into me. Like, I thought she was going to correct it. It seemed like she was maybe going to make a wide right-hand turn. So I just took my foot off the gas and kind of kept going a little bit, like, slowly, and she just came, yeah, right around the corner, right into me. I mean, she did take - she was trying to take her right-hand turn way too wide and just came right over into my lane and hit my driver's side, like, my wheel basically and my front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Trial, Ms. Lyon testified that she took the turn "too wide" as she exited the drive through at the Tim Hortons to make a right turn. At her January 11, 2017 Examination for Discover, Ms. Lyon was asked when she first saw the vehicle driven by Ms. Fancello and she answered: "After I hit her. I saw her and I cranked my wheel, but it was not enough, I believe." Ms. Lyon was also asked the following questions and gave the following answers at her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That your vehicle went wide into that lane and struck the other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will agree with me ...that the other vehicle's in its lane?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Can you explain why you wouldn't have seen the vehicle if you were going that slow?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was - when I saw her I cranked my wheel, like I said, I just didn't crank it enough.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Is there anything that you know of that would have caused you not to see this vehicle, like something obstructing your view, something in your vehicle? Is there anything that you can tell me that would explain why you didn't see the vehicle as you were travelling through the parking lot at walking speed scanning?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While counsel on behalf of Ms. Lyon conceded that Ms. Lyon was partially at fault for the Second Accident by making the wide turn she did, counsel submitted that Ms. Fancello shared some responsibility for the Second Accident. In her cross-examination at Trial, Ms. Fancello agreed that she was concerned about the way the Lyon vehicle was coming at her but she did not stop or sound the horn or take any other evasive action other than to take her foot off the gas pedal. It was submitted on behalf of Ms. Lyon that Ms. Fancello ought to have taken evasive action to avoid the collision such as slowing down, stopping, honking the horn or swerving closer to the sidewalk so that Ms. Fancello was partially liable for the Second Accident by failing to do so. On behalf of Ms. Lyon, it is submitted that fault should be apportioned 25-50% to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cannot find Ms. Fancello was responsible in whole or in part for the Second Accident. In the photograph in evidence, it is clear that it would not have been possible for her to "swerve closer" to the sidewalk as her vehicle was already less than about a foot away from the curb. While I accept the evidence of Ms. Lyon that the speed of her vehicle was less than 10 kilometres an hour, I am satisfied that, even at that speed, her vehicle would have struck the vehicle driven by Ms. Fancello before Ms. Fancello would have had an opportunity to honk her horn, apply her brakes or take evasive action. There was no evasive action to take. There was no time to back up and I am satisfied that either slowing down or directing her car up onto the curb would merely have resulted in the vehicle being driven by Ms. Lyon striking a different part of the vehicle being driven by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have no hesitation in coming to the conclusion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Lyon was the sole cause of the Second Accident. While I applaud the candour of Ms. Lyon at Trial indicating that she took the turn "too wide", it is difficult for me to understand why liability was not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WAS THERE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Amended Response to Civil Claim of Mr. and Ms. Cupskey and in the Response to Civil Claim of Mr. and Ms. Lyon, the "standard" seatbelt and headrest response is set out. Regarding the First Accident, the Langley Memorial Hospital records indicate that Ms. Fancello suffered injuries "despite full seatbelt". In her various reports to medical consultants when dealing with the First and Second Accidents, Ms. Fancello stated that she was wearing her seatbelt. While those sources do not determine the issue, I note that none of the medical experts expressed an opinion that the injuries suffered Ms. Fancello were caused by her not wearing her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 evidence was presented on behalf of any of the Defendants that Ms. Fancello was not wearing her seatbelt or that the headrest in the vehicle owned by Mr. Tomasevich had not been property adjusted. Counsel for the Defendants did not raise the question of the seatbelt or the headrest "defence" at Trial. As well, no submissions were made by counsel for any of the Defendants that the evidence presented at Trial supported the proposition that Ms. Fancello caused or contributed to her own losses by failing to properly adjust and securely fasten the seatbelt which was in the vehicle owned by Mr. Tomasevich or that she failed to properly adjust the headrest for her own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have no hesitation in finding that Ms. Fancello did not cause or contribute to her own injuries, losses, and damages from the First and Second Accidents as alleged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 AND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Ms. Fancello submits that there is abundant evidence to prove that she meets the test for causation of her injuries as set out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 law permitted apportionment between tortious causes and non-tortious causes, a plaintiff could recover 100 percent of his or her loss only when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injuries. Since most events are the result of a complex set of causes, there will frequently be non-tortious causes contributing to the injury. Defendants could frequently and easily identify non-tortious contributing causes, so plaintiffs would rarely receive full compensation even after proving that the defendant caused the injury. This would be contrary to established principles and the essential purpose of tort law, which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326 D.L.R. (4th) 732</w:t>
        </w:r>
      </w:hyperlink>
      <w:r>
        <w:rPr>
          <w:rFonts w:ascii="arial" w:eastAsia="arial" w:hAnsi="arial" w:cs="arial"/>
          <w:color w:val="000000"/>
          <w:sz w:val="20"/>
          <w:lang w:val="en-US" w:eastAsia="en-US" w:bidi="ar-SA"/>
        </w:rPr>
        <w:t xml:space="preserve"> (B.C.C.A.), when a plaintiff is injured in an accident and then suffers aggravation of his or her original injuries in a second accident, the tortfeasors responsible for those two accidents are jointly and severally liable for the damages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satisfied that the damages of Ms. Fancello were caused by both the First and Second Accidents. I find that the injuries and damages of Ms. Fancello are indivisible. As well, it was conceded by counsel for all Defendants that the injuries of Ms. Fancello are indivisible and the tortfeasors responsible for the First and Second Accidents are jointly and severally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I have concluded that the Defendants, Cupskey and Lyon are solely responsible for the damages caused to Ms. Fancello in the First and Second Accidents, I conclude that the damages available to Ms. Fancello against the Defendants Cupskey and Lyon are joint and severable.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Fancello was born on December 11, 1988 so she was 25-years-old at the date of the First Accident. She grew up in Langley and described her family life as "chaotic" including an alcoholic father who physically and emotionally abused her. The first time she left the family home she was 11. After the age of 13, Ms. Fancello left permanently and did not go back to the family home. Between the ages of 11 and 13, she was hospitalized after two suicide attempts. She was released to the care of her mother but did not go back to the family home. In her early years, she smoked marijuana and used cocaine, crystal meth, and ecstasy. From age 14, she states that only used marijuana. At Trial, she described alcohol as: "...not something that I really chose to have as part of my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leaving the family home permanently, she stayed with friends and their families. Ms. Fancello did not finish high school. She started to work at age 14 and worked at a telemarketing company, a garden maintenance company, a painting company, and a company selling resort time shares. At the landscaping company, she was earning about $12 per hour. At the painting company, she was earning about $16 to $17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she was 21, Ms. Fancello started to work for her friend, Steve Randhawa. At the end of 2009 for about a year when she was about 16, she and Mr. Randhawa had a romantic relationship. After that relationship ended, Ms. Fancello states that she and Mr. Randhawa have remained "very good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went to work for S.R. Caulking Ltd. ("S.R.") which is a company of Mr. Randhawa. S.R. does fire stopping and soundproofing. Ms. Fancello described the work at S.R.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Yeah. Fire stopping is basically any penetration going through any kind of wall in any building. It has to be - like, it has to be fire rated by the inspector of the job site. And so any penetration, period, whether it's plumbing, whether it's electrical, whether it's a gap in a brick wall, anything, any kind opening or gap, period, that needs to be filled. We would stuff it first, depending on what the job - that job site in particular would be, like, rated for. We would stuff it with either Roxul or a backer rod.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Regarding the physical aspects of the work, Ms. Fancello described it at Trial as including carrying two or three boxes of caulking which weigh about 40 pounds each up and down stairs, carrying a bucket of tools weighing about 25 to 30 pounds up and down stairs, carrying a 44 foot extension ladder, often working on ladders, and working eight hour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Fancello moved into the basement suite of Mr. and Ms. Randhawa at the beginning of 2011 paying $900 per month plus utilities in addition to doing the lawn and garden work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Regarding health issues, Ms. Fancello stated that she had stomach problems, headaches, anxiety, depressed feelings at times in the two or three years before the First Accident. She indicated that she had headaches "off and on" since she was younger but she would manage them by taking either aspirin or Tylenol. She indicated: "I never took a day off because of them." It never stopped me from doing anything. I did never go home from somewhere because I had a headache." She confirmed that she saw a doctor about the headaches. She described the frequency of her headaches as "a couple in a couple months" but that it was sometimes six months between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During her cross-examination at Trial, Ms. Fancello indicated that she had never had prescription drugs for headaches and only took over the counter medicine and whatever samples she was given. When it was pointed out to her that a January 16, 2012 entry in her medical records included the word "migraine", she stated: "I may have said that, yeah. It's definitely what I would call them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Regarding the November 8, 2011 notation in her medical records which noted 'severe anxiety", she admitted that she did have anxiety and trouble sleeping after she had a biopsy, had lost her best friend, and had lost her dog but she stated: "Feelings of being depressed at times. I mean, in the sense as to compared to now, I would say that they were fairly normal." "I had sleep problems and I'd definitely say I had feelings of, like, anxiety and depressed feelings, for sure." She stated that she then took a trip to Costa Rica and was relaxed and happier when she returned. Under cross-examination, she stated that she did receive counselling but none after age 14. She confirmed that, after age 14, she had no prescribed medications for anxiety 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to why a naturopath had requested a CT scan which was undertaken several months before the First Accident, Ms. Fancello stated: "I just thought that when I had seen doctors, I mean, they didn't really ever get to the bottom of kind of where my headaches had come from and different things, so I wanted to seek any kind of attention I could just to, you know, I didn't know, get different opinions, basically."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asked by her counsel at Trial about whether she had ever had a concussion, Ms. Fancello answered: "I may have" but that no doctor had never said that I had had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 many years, Ms. Fancello did not have a family doctor. Regarding her medical problems prior to the First Accident, the records of the Glover Medical Clinic indicate the following: (a) October 18, 2011: "variety of stress related Sx: headaches/irregular menses" "trial of axert for typical migraines"; (b) January 16, 2012: "migraine" "long hx muscle cont'n headaches"; and (c) February 22, 2013: "naturopath requesting CT Scan-head-endoscope-x-ray c span ongooing [sic] severe headaches generalized." "has been dealing with these for long time; more severe now past while. No auras" "leads to point of vomiting has been on various migraine meds nothing helps." "many injuries in past and 2 concussions".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that, prior to the First Accident, Ms. Fancello had an active recreational life including playing soccer, volleyball, hiking with friends, and snowboarding. I also find that she very much enjoyed driving the vehicle that was made available to her and that some of the driving that she undertook involved driving for long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RESPIRATORY DIAGNOSIS (A1AD)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Fancello has been a heavy smoker since an early age sometimes smoking three packages of cigarettes daily. Her family history is notable for the chronic lung disease "alpha-1 antitrypsin deficiency" ("A1AD"). Her father had A1AD and this necessitated a lung transplant for him when he was in his 50s. Genetic testing has indicated that Ms. Fancello carries the gene for A1AD.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If Ms. Fancello does not quit smoking and if she develops A1AD, it is obvious that her ability to work will either be curtailed or brought to an end. I am asked to take this possibility into account when dealing with the question of future income loss as well as the non-pecuniary damages of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Three specialists have provided their opinions regarding the potential effects of Ms. Fancello smoking.</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Harry Hong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Harry Hong is a specialist in sleep medicine. Dr. Harry Hong, provided January 28, 2015, May 26, 2017, August 11, 2017 and January 4, 2018 letters to Dr. Anwar Khan who became the family doctor of Ms. Fancello in February of 2013. Dr. Hong did not testify at Trial but some of his clinical records were in evidence. On the basis of the testimony of Ms. Fancello, I am satisfied that the various report letters sent by Dr. Hong to Dr. Khan accurately represent what Ms. Fancello was advising Dr. Khan during 2015 through 2018. In a January 28, 2015 report to Dr. Khan, Dr. Hong advised that "fortunately" Ms. Fancello has "normal lung function at this point in time but quite unfortunately smokes at least one or two packs per day." "She completely understands that she is an extremely high risk of developing premature COPD and requires lung transplantation if she continues to smoke. She would not be a candidate for alpha-1 replacement therapy if she continues to smoke." I can virtually guarantee her a normal lifespan from the standpoint of her lungs if she stopped smoking.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 May 26, 2017 report to Dr. Khan and Ms. Fancello, Dr. Hong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 I'm worried that she is starting to lose lung function from her ongoing smoking. I've asked her to try the Champix over the next two months at 1 mg BID and I will repeat her spirometry. She understands the consequences if her lung function continues to diminish over time faster than the naturally genuine of her lungs.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She's quite anxious. She does use medical marijuana and I've asked her to try even a low dose of marijuana by mouth instead of inhaled to see if that also decreases her lung irritation.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an August 11, 2017 letter to Dr. Khan and Ms. Fancello, Dr. Hong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Marisa returns back to the office and follow-up of her alpha-1 deficiency. She ultimately chose not to utilize the Champix. She has been able to cut down her smoking down to a half pack per day regardless.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repeat spirometry shows an FEV1 of 95% post bronchodilator.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 January 4, 2018 report to Dr. Khan and Ms. Fancello, Dr. Hong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continues to smoke -.5 to 1 pack per day which is relatively less than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pulmonary standpoint she has fortunately not had any infections at all And she has not required any puffers. She did fill her Biaxin in September.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last FEV1 was 80% predicted which is still in the normal range.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Tharwat Fera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the request of counsel for Mr. and Ms. Cupskey, Ms. Fancello was evaluated by Dr. Tharwat A. Fera, a specialist in respiratory medicine. At Trial, Dr. Fera was qualified as a specialist in internal medicine, respiratory medicine, the health effect of smoking, and dealing with A1AD. In his January 27, 2018 Opinion, Dr. Fera set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she will not qualify to receive alpha-1 antitrypsin replacement therapy or lung transplant. Both of these treatments require the patient to stop smoking altogether.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Miss. Fancello will be at risk of developing early emphysema, frequent respiratory symptoms, and early respiratory disability if she continues to smoke and she has alpha-1 antitrypsin. Therefore, as her treating respirologist Dr. Hong indicated, he will continue to work hard with her to quit smoking and hopefully this will decrease her risk of developing any respiratory symptoms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Trial, Dr. Fera expressed the opinion that, if Ms. Fancello quit smoking, her risk of developing emphysema leading to decreased life expectancy would be decreased significantly.</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Tom 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the request of counsel for Mr. and Mrs. Cupskey, Ms. Fancello was seen by Dr. Tom Elliott, a specialist in internal medicine, endocrinology and life expectancy. At Trial, Dr. Elliott was qualified as an expert to provide an opinion regarding life expectancy. In his January 29, 2018 opinion, Dr. Elliott dealt with life expectancy and described the negative factors relating to life risk as being A1AD, cigarette smoking, and chronic pain, anxiety, and depression. In these regards, he stated that: "...all of the negative factors listed above to be substantive &amp; worthy of separate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Elliott expressed the opinion that her genotype was associated with a "...marked increase of chronic lung disease. How great the increase is uncertain". Regarding the affect of A1AD and smoking, Dr. Elliott was of the opinion that the life risk of Ms. Fancello due to smoking is twice that of the average heavy smoker in view of the additional risk associated with A1AD.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dealing with "Anxiety/depression", Dr. Elliott expressed the following: "Anxiety and depressed mood are common and often occur together. When they are associated with impaired sleep, chronic pain often results. Chronic pain may itself cause mood disorder." Citing a Swedish study which examined the reduction in life expectancy in a broad range of psychiatric conditions, Dr. Elliott assigned an additional value of 0.7 to the Standardized Morality Ratio.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Despite the fact that Dr. Elliott was "not certain she has chronic pain", he nevertheless subtracted from life expectancy if she did. Regarding the affect of chronic pain on life risk, Dr. Elliott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chronic pain is associated with anxiety, depressed mood, fatigue, reduced activity and libido, excessive use of drugs and alcohol, dependent behavior, and disability out of proportion to impairment it is often termed Chronic Pain Syndrome (Pearce 2005). The combination of these factors increase mortality and reduce life expectancy, by virtue of their tendency to increase cardiovascular risk &amp; predisposition to major depression. Whether or not Ms. Fancello is considered to have a chronic pain syndrome is uncertain. There are at present no published mortality data on CPS.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After consideration of all factors, Dr. Elliott was of the opinion that the risk of Ms. Fancello dying in any one year is "... 4.3 times that of the average Canadian woman of the same age". Given her date of birth and calculating as at December 15, 2017, Dr. Elliott predicted that the reduction in life expectancy was 13.9 years when comparing her predicted age of death (71.1 years) and the life expectancy average for females her age (85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Trial, Dr. Elliott was asked if Ms. Fancello quit smoking would she have the "usual life" expectancy. I record him as stating: "If she stops smoking now, then that factor [decreased life expectancy because she is a smoker] becomes zero". Under cross-examination, Dr. Elliott confirmed that he could not find an article regarding A1AD and its effect on life expectancy but did confirm that, if she quit smoking, then the A1AD factor "becomes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past, Ms. Fancello has overcome great obstacles in her life. At Trial, she testified that she is committed to quitting smoking by age 35. If she does not quit smoking and if the First and Second Accidents had not occurred, then it is clear that her life expectancy and her ability to continue to work would have been reduced. If she does quit smoking, it is apparent that the expected life expectancy would be available to her subject only to whether Dr. Elliott is correct in his opinion that chronic pain, anxiety, depression and fatigue are negative factors when dealing with projected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IMMEDIATELY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was an extensive review of the medical records in evidence as well as extensive cross-examination of Ms. Fancello about whether she had lost consciousness immediately after the First Accident and whether she had suffered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Tomasevich stated that, immediately after the First Accident, he observed that Ms. Fancello appeared to be hurt, that she was holding her head, he asked her if she was okay but she did not respond, that her eyes were open and she was looking at him, and that she appeared to be confused. Mr. Tomasevich stated that he was with her for about 10 seconds and was trying to talk to her but she was not responding.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Tomasevich testified that he saw Mr. Cupskey starting to run and leave the scene. Mr. Tomasevich stated that he left his vehicle and followed Mr. Cupskey to a nearby house. Mr. Tomasevich testified that a woman and man at the house refused to let him in so he did not have an opportunity to speak with Mr. Cupskey there. On his way back to the scene of the First Accident, Mr. Tomasevich called the police. After he arrived back at the scene, Mr. Tomasevich stated that Mr. Cupskey and another man then arrived at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Tomasevich testified that, when he returned to the scene, he saw bystanders helping Ms. Fancello and that they were talking to her but that she was not talking to them. He stated that he did not see the bystanders remove Ms. Fancello from his vehicle. When he approached her, he stated that Ms. Fancello was sitting upright on a curb and that when he tried to talk to her, she asked him what had happened about five times, she seemed disoriented and confused, she could not recall anything, she was emotional and crying, and she said that she had "smashed her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Trial, Ms. Fancello was asked what her "next memory" after the collision was and she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next memory would be waking up pretty much - coming to - I just remember seeing a bunch of people on the sidewalk around me. I was on the ground, because I was looking up and I just remember seeing faces of all these people. I didn't know who anybody was. I was screaming in pain. All I cared about was my head really and the fact that I couldn't see Matt [Tomasevich] anywhere. And I didn't know where he went. I remember asking, like, where's Matt? Where's my friend? And they said, it's okay. He'll be back. Just calm down. And I just remember screaming in pain, my head - my head's going to explode. Like, it felt like my - I though my head was going to explode.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Fancello testified that she did not have an independent memory of getting out of the vehicle or being helped out of the vehicle. Ms. Fancello also stated that she did not recall being attended to at the scene by paramedics. She testified that she did not really remember being transported to the hospital except: "I believe at one point I did have a memory somewhat of coming to in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Trial, Mr. Cupskey stated that decided to return to his friends' house to use his phone to call for help but, on cross-examination, he did not deny that he had his cell phone with him the whole time although he did say he was disoriented and confused and forgot that he had his cell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B.C. Ambulance Service "Patient Care Report" recorded that the ambulance was enroute at 11:35 and arrived at the scene and at the side of Ms. Fancello at 12:03. It also indicates that they arrived at Langley Memorial Hospital at 12:17. There were notations that the "Pain Scale" was nine to ten and that the pupils were "Reactive". The "Chief Complaint" was described as right shoulder/neck pain. In the section dealing with "Medical/Surgical History" was the notation "migraines recent CT-2 wks ago". Under the "Notes/Comments" was: "states ++ headaches "pounding headache" while breathing." The Glasgow Coma Score was noted as being "E4V5M6" for a total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Langley Memorial Hospital records indicate the "diagnosis" being as follows: "soft tissue injury, whiplash &amp; concussion." "C/O's of right neck and shoulder pain. Goose egg to right head. Headache, no nausea. No loc. [No loss of consciousness] Hyperventilating. C-spine". The pain scale was noted as being 8 and the blood pressure as being 106/74.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Regarding what she recalls from the hospital, Ms. Fancello stated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remember screaming in pain. I remember hearing Matt's voice behind me. I think he was in a bed behind me. And he just kept trying to calm me down. I remember - I don't know who it was but people kept - there was - I was being asked so many questions and I just remember wanting to snap. I couldn't answer any questions. I remember just people kept asking - I don't even know what. I just know that they were asking me things and I just literally kept screaming, my head. My head, my head, my head. And I don't even know. I don't know what they asked me or what. I just remember people trying to talk to me and it was nothing to do with my head and that was all I cared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Under cross-examination at Trial, Ms. Fancello agreed that she must have given the answers that were contained in the hospital records that: (a) the vehicle she was in was driving at 50 kph: (b) that the seatbelt was worn; and (c) she "self-extracted". When it was put to her that she must have told the ambulance attendants how she got out of the vehicle, she answered: "I can't answer. I really have no memory of it at all. None." When it was suggested to Ms. Fancello that "...when you were asked by the emergency doctor whether you had been knocked out in the accident, whether you had lost consciousness, you said that you had not. So that this is what must have been said by you and what occurred." Ms. Fancello answered: "I don't remember, but I'll go with what's written there." While she did not recall her head hitting the dash handlebar, she stated that she was assuming that she had told the emergency physician that. Ms. Fancello confirmed that it must have been her who reported that she had had migraines in the past, that she had had a recent CT scan two weeks ago, and that she had "lung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Subsequently, most of the doctors who have treated or have provided opinions about her have proceeded on the assumption that she lost consciousness at least briefly and that she suffered a concussion as a result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TREATMENT AND MS. FANCELLO IN THE DAYS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Relying on a number of decisions, counsel for the Defendants submit that: (a) the Court should be exceedingly careful when there is little or no objective evidence of continuing injury and when complaints of pain persist for long periods extending beyond the normal or usual recovery: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at 399; (b) the function of a doctor is to take the patient's complaints at face value and offer an opinion based on them and not conduct an investigation: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77 aff'd </w:t>
      </w:r>
      <w:hyperlink r:id="rId816"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(c) care must be taken in reaching conclusions about injuries alleged to have continued long past the expected resolution: </w:t>
      </w:r>
      <w:r>
        <w:rPr>
          <w:rFonts w:ascii="arial" w:eastAsia="arial" w:hAnsi="arial" w:cs="arial"/>
          <w:i/>
          <w:color w:val="000000"/>
          <w:sz w:val="20"/>
          <w:lang w:val="en-US" w:eastAsia="en-US" w:bidi="ar-SA"/>
        </w:rPr>
        <w:t>Tai v. De Busscher</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2007 BCCA 371</w:t>
        </w:r>
      </w:hyperlink>
      <w:r>
        <w:rPr>
          <w:rFonts w:ascii="arial" w:eastAsia="arial" w:hAnsi="arial" w:cs="arial"/>
          <w:color w:val="000000"/>
          <w:sz w:val="20"/>
          <w:lang w:val="en-US" w:eastAsia="en-US" w:bidi="ar-SA"/>
        </w:rPr>
        <w:t xml:space="preserve"> at para. 41; and (d) when expert reports are founded on the subjective statements of a plaintiff which are not accepted by the Court, the expert reports may be given less weight: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(2007), 70 B.C.L.R. (4th) 247</w:t>
        </w:r>
      </w:hyperlink>
      <w:r>
        <w:rPr>
          <w:rFonts w:ascii="arial" w:eastAsia="arial" w:hAnsi="arial" w:cs="arial"/>
          <w:color w:val="000000"/>
          <w:sz w:val="20"/>
          <w:lang w:val="en-US" w:eastAsia="en-US" w:bidi="ar-SA"/>
        </w:rPr>
        <w:t xml:space="preserve"> (C.A.) at paras. 43-44. It is in that context that the Defendants submit that what occurred after the First Accident should be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After being at the hospital for five to six hours, Ms. Fancello went to stay with a friend. At Trial, she stated: "I was in so much pain I just laid there. I didn't do much. I couldn't get up and I would just go back to laying down. My migraines overtook everything at that point."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Glover Medical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a walk in patient, Ms. Fancello went to the Glover Medical Clinic on June 1, 2013 where the following notation was made in the records of the Clinic: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complaining of localized right-sided headache, neck pain left-sided and lumbar back pain." "neck examination no spinal tenderness, tender mostly left trapezius, reduce left neck rotation-10degree, remainder satisfactory." "lumbar bilateral lumbar discomfort, flexion to mid shin area, painful extension. Scalp examination, bruising right scalp, no swelling, tender. Assessment scalp contusion, neck and lumbar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Glover Medical Clinic prescribed Naproxen and Cyclobenzaprine for Ms. Fancello. That prescription was filled on June 3, 2013. The next medical appointment was on June 27,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Fancello confirmed that what was set out in these records accurately described her symptoms on June 1, 2013. At Trial under cross-examination, Ms. Fancello confirmed that she had not described the headaches that she was having as migraine headaches and she also did not indicate that she had been vomiting.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At Trial, Ms. Fancello testified that her neck was in constant pain although the level of pain would fluctuate. She stated that it was worsened by the cold, by stress, by tensing up, and by repetitive movements. She stated that many activities of daily living, especially anything that required her to reach overhead such as putting away dishes, would cause her neck and shoulder pain to flare up to the point where she would begin to cry as a result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Fancello testified that she noticed issues with balance and dizziness within a couple of weeks to a month after the First Accident and it was only then that she was finally able to get out of bed and "try to do things". Regarding the dizziness, Ms. Fancello stated that things would "go dark" or that she would see "silver stars" coming from the outside in. She stated that it would feel like she was going to pass out and she then had to stop whatever she was doing. Regarding problems with her balance, Ms. Fancello stated that she would lose her balance when walking on flat ground and her legs would "cross" but that she usually caught herself before falling although she did fall several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Fancello described the headaches that she had in the first couple of weeks as being: "I wouldn't call them headaches and I would say what I used to have was a headache and what I got now is a migraine. Like a real migraine." "The pain is so intense. I literally feel like my head is going to pop." "It just pounds and pounds and pounds to the point of I will throw up repeatedly just from the pain." "I have become a completely different person. I can't talk. I can't see. I can't do anything. I crawl back and forth - literally crawling from my bedroom to my bathroom."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Fancello testified that she first noticed memory problems within a few weeks to a month after the First Accident and stated that she did not remember what someone had said to her and she began to forget appointments that she made or that had been made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Fancello stated that she experienced numbness in her arms when clenching something tightly or after sleeping and that it would take about five minutes for the numbness to go away in the morning. She also stated that she experienced numbness in her legs but that the numbness in her arms was worse. Ms. Fancello stated that she experienced tinnitus which she described as a faint ringing in her ears that lasted 30 seconds to one minute and then faded out. She described this as common once or twice a week in the first couple of years but only once or twice a month in the last couple of months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Randhawa stated at Trial she saw Ms. Fancello soon after the First Accident when she went downstairs to check on her and found her lying on the bathroom floor. She stated that Ms. Fancello told her that she had been throwing up and that she felt a terrible pain in her head. Ms. Randhawa stated that Ms. Fancello was lying with her head in the toilet bowl and was drooling.</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Khan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Since February of 2013, Dr. Anwar Khan has been the family doctor for Ms. Fancello. Previously, she did not have a family doctor. At Trial, Dr. Khan confirmed that he kept his clinical records in the ordinary course of business, he had created the records, and he attempted to record his observations "right away". At Trial, Ms. Fancello confirmed that what was set out in the notes of Dr. Khan accurately set out what she had told Dr. Khan and what he recommended by way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June 22, 2013, Dr. Khan recorded that, after the time of the First Accident, Ms. Fancello was "getting daily headaches, frequent falls, issues with memory, pain in neck and lower back. No nausea or vomiting." Under cross-examination at Trial, Dr. Khan agreed that, at their first session, Ms. Fancello did not appear to be in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Khan ordered a MRI scan and that was undertaken on July 23, 2013. Ms. Fancello met with Dr. Khan on August 1, 2013 when the results of the MRI scan was discussed. The notes of Dr. Khan regarding this visit indicate: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Still some headaches and feels arms are numb esp in morning and than [sic] [then] improved when she gets up and shakes them. Still some pain in neck and lower back. Also sometimes legs while sitting goes to sleep. She had MRI done and also being referred to concussion clinic but could not make it and missed two appointments and now booked for another end of 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Neck good mobility, some stiffness mild diffuse tender nvi lumbar spine some stiffness on moving tender mid paraspinal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cross-examination at Trial, Dr. Khan testified he diagnosed Ms. Fancello with post concussion syndrome, he told Ms. Fancello that her post concussion syndrome would improve with time, that she should come back in the new year if she was still having problems and, in the meantime, she should give it time and continue to avoid any triggers that would make her symptoms worse. He also recommended that she try physiotherapy and a concussion support group if she wanted to. He advised Ms. Fancello that her symptoms would get better with time and she would be back to work in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next visit with Dr. Khan was on February 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During cross-examination at Trial, Ms. Fancello admitted that, between August 1, 2013 and February 7, 2014, she did not attend to physiotherapy, did not attend to counselling, and that she did not go back to see Dr. Khan. However, she confirmed that, during that time period, she was having migraines multiple times a week, that the migraines were typically accompanied by vomiting, she had "significant problems with imbalance", her neck pain was "terrible", she had numbness in her arms and legs, and that she had no improvement in those problems. She also confirmed her recreational activities had been switched from "fully active to completely absent" as she played no soccer or volleyball whatsoever, she did not go hiking with her brother, and she did not go snowboarding.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find that Ms. Fancello did go to a destination wedding in Greece in August of 2013 on a ticket paid for by Mr. Tomasevich. She also confirmed that she drove to a wedding in Salmon Arm which was a four hour drive for her. She confirmed that, at the wedding, she was wearing shoes with three inch heels during mass and during a "bit of the reception" but that she also took "sandals and flats" with her. After returning from Greece, Ms. Fancello sought no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Fancello confirmed that she had "no actual fall" during the six month period and that she had advised Dr. Khan of that fact in February. Ms. Fancello confirmed that she took "no medications for migraine headaches" between the date of the First Accident and February of 2014 and that it was not until she saw Dr. Waspe that she "started taking the nortriptyline"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Until I saw Dr. Waspe, yeah, and started taking the nortriptyline, no. Before that I wasn't intending to go and get myself on - like I said, I thought that things would get better and that I would go back to work. I wasn't planning on trying to ruin my whole - like, start taking medication and doing different things. I really just wanted to get back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It is hard to understand why Ms. Fancello would not seek further sessions with Dr. Khan during the six month period to February 7, of 2014. While at Trial, Ms. Fancello testified that her recreational activities were "completely absent", she was still in a position to travel to Greece and Salmon Arm. However, I accept her evidence that she experienced severe headaches, dizziness, and a fall while in Greece. It is also hard to understand why Ms. Fancello would not apply for disability insurance despite the fact that she was eligible to do so. In this regard, she only applied after her ability to do so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accept her evidence that she hoped that her life would "get back to normal" so that she could return to work and only reached the conclusion in January of 2014 that this would not be possible so that it was only then that she sought medical assistance from Dr. Khan. I also take into account what Dr. Khan said to Ms. Fancello as I am satisfied that what was said would have dissuaded Ms. Fancello from further appointments with Dr. Khan. I am satisfied that it would be inappropriate to hold against Ms. Fancello her stoic nature, her long history of independence, and her intense desire to return to her "regular" life including work, recreational activities, and her day-to-day existence. Ms. Fancello led a very independent life. I am satisfied that nothing turns on the fact that Ms. Fancello did not seek medical advice between August of 2013 and January or February of 2014. I also accept the explanation that she did not initially apply for disability insurance because of her desire to return to work at S.R. and I reject the suggestion made by counsel for the Defendants that she did not apply because she was not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find that the gap between treatment from Dr. Khan can be explained by her fierce independence as well as commitment to return to work even though she continued to suffer from the injuries which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Cupskey.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records of Dr. Khan and the testimony of Ms. Fancello at Trial indicate a number of ongoing problems which can be attributed to the First Accident. In reviewing her testimony and the clinical records of the medical advisors who were treating her, I am satisfied that the symptoms complained of provide a consistent pattern of headaches, neck pain, numbness in her arms and legs, and vomiting. In reviewing the notations made in the clinical records of Dr. Khan as confirmed by Ms. Fancello at Trial, headaches were noted on June 27, 2013, February 7 and 24, March 4, August 14, September 17, and December 10, 2014, on August 26, 2015, and on January 8, 2016. Dizziness is noted on February 7 and 24 and on March 4, 2014. There are notations dealing with "frequent falls" and problems with balance on June 7, 2013 and February 7 and 24, and April 21, 2014. There is a notation about "issues with memory" on June 27, 2013. There are reports of "numbness in both hands" on February 7, April 21 and 29, 2014. Regarding pain in the neck and lower back, there are notations dealing with those pains on June 27, 2013, February 24, March 4, April 21, April 29, August 14, September 17, and December 10, 2014 and August 26,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are also the following notations: (a) February 7, 2014: "not taking any meds. She don't like to see doctors much so did not follow up"; and (b) April 21, 2014: "still some headaches but improving now, walking is better, balance is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the recommendation of Dr. Khan, Ms. Fancello had physiotherapy sessions at CBIH Health on February 17, 20, and 26, March 5, 11, 19, and 25, April 1, 3, 8, 10, 15, and 17, May 22 and 27, June 2, 6, and 25, July 12, 14, 24, and 30, August 1, 5, 8, 12, 14, 15, 25, 26, and 29, September 24, October 8, 17 and 23, November 6 and 14 of 2014 as well as a number of sessions in July, August, and September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Regarding the Second Accident, Dr. Kahn made these notes which correspond with the testimony of Ms. Fancello as to the symptoms suffered after the Second Accident:</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27, 2017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neck , upper back pain worsened during these days, not able to sleep will, tense at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some topical cream from dr waspe and helps some.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physio yet.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mood is still at times irritable, anxious, 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seeing therapist and helping</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29, 2017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last mva increasing pain in neck and mid back, some days not able to move her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feels stiff.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gel prescribed by dr waspe and helps some.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increasing anxiety as well. given script for Effexor but not started yet.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seen counsellor and also recommended to start on meds.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like script as lots it form dr. waspe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still smoking and working on stop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seen dr hong and told her lung capacity is declining.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 champex and swill start on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neck, diffuse tender, pain with movements.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tender mid back, and shoulder blade area.</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Waspe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Khan referred Ms. Fancello to Dr. Kim Waspe who became the treating physiatrist for Ms. Fancello and who provided a number of reports to Dr. Khan. At Trial, Dr. Waspe was called as a witness for Ms. Fancello to provide evidence as to what treatment she had provided to Ms. Fancello and her observations of Ms. Fancello but not as an expert witness. At Trial, Ms. Fancello confirmed that what was set out in the records of Dr. Waspe and in the reports to Dr. Khan accurately represented her symptoms, the treatment for her set by Dr. Waspe, and the advice that she had provided to Dr. Waspe.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a July 14, 2014 report to Dr. Khan, the symptoms described by Ms. Fancello as recorded by Dr. Waspe were as follows: (a) Headache: she is experiencing an increase in her baseline headaches, which typically occur to the vortex and back of her head. The character is an explosive pounding. Seems to be bilateral. It is associated with visual blurring and a sense of being unable to open her eyes; (b) Sensory changes: she describes a sense of being completely numb in the arms and legs. This seems to affect the arms more than legs and she will wake up with the numbness; (c) Sleep: there is difficulty with initiation and maintenance. There appears to be some rumination. She is rather stressed about financial concerns and is not yet at work; (d) Mood: she feels that her mood is lower. She is on edge and tearful; (e) Concentration: she has difficulty recalling details. It appears that reading seems to be somewhat better than auditory provided information. She finds it hard to follow details when reading text; (f) Dizziness: there is no rotational component to this. The imbalance has improved, as she describes it, since working with physiotherapy; and (g) The tinnitus which seems to occur more during activities outdoors, which is rather unusual, than indoors in a quiet room, does sometimes come accompanied by a right potentially more than left-sided change in her hearing acuity.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her October 7, 2014 report to Dr. Khan, Dr. Waspe reported that the mood of Ms. Fancello was "quite low and very tearful today" but she is not starting to use Lumosity or Elevate cognitive applications although the applications were free and a trial of five minutes once or twice a day had the potential of working on her "mental flexibility, tentativeness and concentration...". The "dizziness" was described as being "ongoing". The following was recorded by Dr. Waspe: "She actually describes the ringing in her ears is more of the concern. Seems to be worse in a quiet environment." The recommendation was that Ms. Fancello download an application with the sound of rain or use a fan in her room. For migraine management, nortriptyline was recommended with a gradual increase from 10 mg to 50 to 75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report from Dr. Waspe to Dr. Khan noted on February 7, 2015 was that there had been some improvement in the memory and concentration of Ms. Fancello, that the "non-rotational sense of vertigo has improved" but that Ms. Fancello continued to have "episodic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reports by Dr. Waspe to Dr. Khan consistently show headaches being experienced by Ms. Fancello, suffering from tinnitus from time to time, and her deteriorating mental state. While the October 7, 2015 report indicates that an increase in nortriptyline to 75 mg was accompanied by a reduction in headache frequency as well as intensity so that Ms. Fancello only had migraines once every two or so months, the March 1, 2017 report indicate that headaches "have flared" as a result of the Second Accident and Ms. Fancello had "noted increasing migrainous headaches" and increased "stiffness in her neck and back". In her July 14, 2017 report, Dr. Waspe stated that Ms. Fancello was having migraine headaches about eight or so a month. In the October 11, 2017 report, Dr. Waspe stated that Ms. Fancello was experiencing more than "15 headache days in the category moderately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By March of 2017, Ms. Fancello was seeing a psychologist but, in her March 1, 2017 report to Dr. Khan, Dr. Waspe noted: "She has started to see a psychologist again today. When I reviewed with Marissa she was very emotional and tearful, which is not what I typically expect to see in this young woman." In the July 14, 2017 report to Dr. Khan, Dr. Waspe noted: "Marissa was quite honestly a hot mess today; frequently crying, extremely emotional and rather overwhelmed, with a sudden onset of multiple specialist appointments, both for legal avenues or otherwise...". "She seems to becoming undone, and I think this woman desperately needs to get back to her counselor, who was providing some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At Trial under cross-examination, Dr. Waspe confirmed that Ms. Fancello had not undertaken the Luminosity or Elevate apps that had been recommended. As well, Dr. Waspe confirmed Ms. Fancello did not appear to have problems with balance: "She was able to walk in tandem fashion. Tandem gait was not inhibited. So that's the drunk test where you walk one foot in front of the other. She had no difficulty doing that. So after that screen I did not spend much more time on balance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Waspe does not recall Ms. Fancello advising that she was "writhing on the floor in pain, throwing up into the toilet and requiring significant care". Dr. Waspe confirmed that Ms. Fancello had not brought up her marijuana use during any of her sessions. Dr. Waspe confirmed that Ms. Fancello had advised that she was more concerned about the ringing in her ears than of dizziness. Dr. Waspe did not recall whether Ms. Fancello had undertaken any volunteering since she had recommended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SPECIALISTS PROVIDING OPINIONS AND ABOUT TREATMENT FOR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Throughout this litigation, Ms. Fancello was examined by a number of experts at the request of her counsel and of counsel for the Defendants Cupskey and after referral to the experts by the medical advisors of Ms. Fancello.</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Salvian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Antony Salvian is a vascular surgeon who provided a November 1, 2017 opinion to counsel for Ms. Fancello. At Trial, Dr. Salvian was qualified as an expert in vascular surgery with a sub-specialty interest in the diagnosis and treatment of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his opinion, Dr. Salvian recorded that he was advised by Ms. Fancello that she had two types of headache. Severe migraines with intense pain on both sides of the head which might be triggered by neck pain or hypoglycemia fatigue or prolonged focus with her eyes and that she had frequent vomiting and nausea with these migraines. Second type of headache was in the back of her head and seemed to be related to her neck pain and, after the Second Accident, she developed pain into the left side of the neck radiating into the left shoulder and this has been much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Salvian provided the following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 that her neck and upper back pain is due to myofascial injury of the muscle and ligaments of the neck and upper back, particularly the trapezius muscles left more than right, the suboccipital muscles, left more than right, the left sided scalene muscles and left pectoralis minor muscles.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Fancello has gone on to develop a significant chronic myofascial pain syndrome, affecting mainly the muscles and ligaments of the left neck and upper back but some involvement as well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At Trial under cross-examination, Dr. Salvian confirmed that he was not a functional capacity evaluator and that he had not done an assessment of Ms. Fancello at her home or work environment. Dr. Salvian confirmed that smoking could have a deleterious effect on the vascular system and might restrict blood flow to the extremities. However, he said that the blood pressures in the hands of Ms. Fancello were "normal" so that the blood flow to her hands was not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Regarding the records of Dr. Waspe and the notation that Ms. Fancello was "quite emotional labile" [liable to change, easily altered], Dr. Salvian stated that it was not: "...uncommon, in my experience, that patients who have chronic pain and who can't work and can't exercise will often be frustrated and tearful about their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Regarding the numbness and tingling in the hands of Ms. Fancello, Dr. Salvian stated that: "...I don't believe that she has a systemic numbness and tingling problem." "but that is a common complaint of people with thoracic outlet syndrome...if you lay on your arm and in a poor position...people with thoracic outlet syndrome often do it every night or two or three times a night because of the position they get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Salvian confirmed that Ms. Fancello did not have "neurogenic thoracic outlet syndrome where there is actual relentless compression on the nerves in the neck which leads to permanent nerve damage, and the patients present with wasting and paralysis of the hand" but that she did have "post-traumatic thoracic outlet syndrome where you get intermittent compression".</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Tsai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At the request of counsel for Ms. Fancello, Dr. Vance Tsai who is a otolaryngologist provided a November 22, 2017 opinion. In his Opinion, Dr. Tsai made reference to a "Vestibular Diagnosis Assessment" undertaken by Dr. Mallinson, a neurophysiologist, who reported to Dr. Tsai in an October 25, 2017 Report. At Trial, Dr. Tsai was qualified to provide an expert opinion as an ear, nose, and throat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Regarding the report of Ms. Fancello that she lost consciousness, Dr. Tsai stated: "This is not corroborated on her initial history on the ambulance record nor in the Langley Hospital ER." However, he noted: "it can be plausible that shorter periods of amnesia may not be initially related to emergency medical personnel in the initial tumultuous aftermath of a motor vehicle collision." Association of an injury with post-traumatic dizziness is more strongly implicated when a patient volunteers complaints of dizziness within days to weeks after an injury." In this regard, he notes that Dr. Khan about four weeks after the First Accident documented "frequent falls and concussion concerns" and that MRI requisition completed seven weeks after the First Accident documented dizziness and frequent falls.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his Opinion, Dr. Tsai reached the following conclusions: Ms. Fancello had abnormal subjective visual vertical testing which suggests some potential abnormality of her inner ear balance physiology; and (b) had reasonably consistent reports of dizziness after her injury. In dealing with the dizziness being experienced by Ms. Fancello, Dr. Tsai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Fancello did not report any regular dizziness prior to this injury. She has reasonably consistent reports of dizziness after her injury. Her formal balance testing did not detect any attempts to embellish or exaggerate her balance dysfunction. In the absence of this injury, I would not have projected these reports of dizziness. Therefore, I would opine that this injury more likely than not, is causing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Tsai recommended against Ms. Fancello returning to "any occupation requiring substantial balance capabilities" and, in this regard,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Dizziness can affect concentration and higher-level processing functions. Although physically, patients may be able to work, overall work performance is likely to be affected. These concentration and processing difficulties are difficult to quantify and are likely multifactorial in etiology. They may manifest themselves as a deterioration in complex inter-personal relationships, diminishing long-term ambition and reduced confidence to take on new roles. In this context, I would expect dizziness issues to more likely than not impact the trajectory of her cumulative long-term occupational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cross-examination at Trial, Dr. Tsai was asked to consider the effect of Ms. Fancello still driving and he confirmed that usually dizziness gets better with time and that it would be "unusual" if it got worse.</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Mallinson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Arthur Mallinson is a neurophysiologist. Dr. Mallinson provided a medical/legal vestibular assessment on October 25, 2017 to Dr. Tsai. At Trial, Dr. Mallinson was qualified as an expert to provide an opinion as a neurophysiologist with special training in balance disorders. In his October 25, 2017 Report, Dr. Mallinson provided the following "SUMMARY": "This patient's story and today's assessment are both suggestive of a balance system deficit (?otolithic) and her abnormal posturography and SVV tests be in keeping with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all of the testing undertaken, Dr. Mallinson did not find that Ms. Fancello was "...tempting to portray or embellish any symptoms or signs of imbalance, even when given the opportunity to do so."</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At the request of counsel for the Defendants, Cupskey, Dr. Desmond Bell, who is an otologist provided a March 21, 2018 Opinion. At Trial, Dr. Bell was qualified as an expert to provide opinions on medical and surgical treatment of ear diseases including balance problems. In dealing with the description given to Drs. Tsai and Mallinson that Ms. Fancello had a sense of dizziness which she described as "silver sparks", Dr. Bell stated: "these symptoms, as described to both Dr. Tsai and Mallenson [sic] were atypical for a vestibular injury and do not suggest any form of injury to her vestibular system." Dr. Bell concluded that he could find no evidence to suggest that a vestibular injury occurred at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following is set out in the Opinion of Dr. Bell:</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complaints of vertigo, dizziness, hearing loss or tinnitus documented by the ambulance crew, emergency department, the walk-in clinic the day after the accident nor the family physician seeing her a month later.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typical and usual for a traumatic injury to the vestibular system to produce symptoms immediately and they are usually at their worst initially and begin to improve thereafter. This pattern is not present in this instance.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point does she complain of vertigo, the cardinal symptom for a vestibular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when the caloric tests were done she states that she "does not recognize" the symptom induced. This test induces true vertigo, the cardinal symptom of a vestibular injury, and it is not recognized by her.</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description of her dizziness is not suggestive of a vestibular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dark "sensation", "light flashing sensations" and "silver sparks" are not symptoms related to vestibular injuries. Developing "silver sparks" after bending forward and then standing up is suggestive of postural hypotension which, in turn, would fit with her physical deconditioning.</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symptoms do not improve with active vestibular rehabilitation and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Vestibular injuries usually do well with rehabilitation exercises. Her failure to respond suggests that there was no injury to start with.</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Objective physical examinations for balance disorders as well as objective laboratory tests for balance disorders are all entirely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tests which are abnormal are a subjective in nature and the pattern of abnormality is strongly suggestive of active patient participation.</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significant inconsistencies in Ms. Fancello's histories given to different physicians with regards to level of consciousness and her memory of events. She also states that the airbags deployed (not so) and tells Dr. Tsai that her dizziness is her worst symptom but tells Dr. Anthony Salvian (vascular surgeon) on November 2, 2017 that "her migraine headaches are probably her worst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significant inconsistencies in the histories that Ms. Fancello gives various physicians at different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At Trial under cross-examination, Dr. Bell confirmed that he did not have a clinical practice, that he did not see patients, that he had not treated patients since 2011, and that he was no longer required to stay current in the literature as he was not seeing patients. As to why he had not dealt with the falls that Ms. Fancello had indicated she had experienced, he described falls as being not necessarily indicative of dizziness. He also indicated that "I got conflicting reports" regarding falls that occurred. He described the falls as "just an isolated incident". On his failure to deal with the vertigo and tinnitus reported by Dr. Waspe, he indicated that it was not in his report as it was one year after the First Accident and, if there was a injury, Ms. Fancello "should have been falling right away". This statement appears to ignore the fact that Dr. Khan recorded that Ms. Fancello stated that there were "frequent falls" when she saw Dr. Khan approximately three weeks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As to why he had included what he described as "significant inconsistencies" in the histories given to different physicians, he stated that he gave "little weight" because of the inconsistencies. Regarding the "multiple reports of dizziness, Dr. Bell stated: "I have discounted as outside of my field". However, he did admit that he had not described dizziness as being outside of his field when providing his Opinion. In dealing with the reporting of Dr. Tsai that the injury of Ms. Fancello may have been a concussion, Dr. Bell stated: "no evidence of pathology so I disagree with him" and, to the question of whether he was in a better position to judge than Dr. Tsai, he answered: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As a result of the First Accident, I conclude that Ms. Fancello suffered post-traumatic dizziness, a balance system deficit, and occasional noise which can occur in one ear or another but not in both ears at the same time. Dealing with the opinion of Dr. Bell and my preference for the opinions of Drs. Tsai and Mallinson, I take into account the fact that Dr. Bell admitted that he was not up to date on the literature and that he had not treated patients for some time. I also take into account that he had not taken any history directly from Ms. Fancello. In coming to the conclusion that Ms. Fancello had not suffered a vestibular injury as she should have been falling "right away", Dr. Bell seems to have ignored the fact that Dr. Khan noted "frequent falls" as reported by Ms. Fancello approximately three weeks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am not prepared to find that the Opinion and the testimony of Dr. Bell is inadmissible as was requested by counsel for Ms. Fancello. However, I am prepared to give it very little weight and prefer the evidence in these regards provided by those who remain licensed, continue to see patients, remain up to date in their review of applicable literature, and who saw Ms. Fancello in a professional capacity. I also cannot conclude as did Dr. Bell that the falls being experienced by Ms. Fancello were "just an isolated incident" or that it would be appropriate to discount reports of dizziness.</w:t>
      </w:r>
      <w:r>
        <w:rPr>
          <w:rFonts w:ascii="arial" w:eastAsia="arial" w:hAnsi="arial" w:cs="arial"/>
          <w:sz w:val="20"/>
          <w:lang w:val="en-US" w:eastAsia="en-US" w:bidi="ar-SA"/>
        </w:rPr>
        <w:cr/>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Nairn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Nairn Stewart is licensed to practice Physical Medicine and Rehabilitation and was qualified at Trial as an expert to testify in that regard. In her February 7, 2018 opinion provided to counsel for Ms. Fancello, Dr. Nairn Stewart was of the opinion that Ms. Fancello was a "highly vulnerable individual prior" to the First Accident stating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Previous concussions would have rendered Ms. Fancello's brain more than usually susceptible to injury in the case of further trauma to her head. ... She has reported disturbance of her memory for events around the time of the accident and subsequently, although the period of time that her memory was disturbed has increased considerably in her reports over time, suggesting a psychological component. Nevertheless it is likely that Ms. Fancello sustained a concussion in the accident. Less certain is whether she sustained any lasting injury to her brain, because her significant psychological difficulties (anxiety and depression) as well as pain, medication effect and disturbed sleep are probably greatly contributing to her reported cognitive difficulties.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Nairn Stewart gave the following opinion regarding the likely prognosis for Ms. Fancello: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her ongoing pain, anxiety and depression resulting from her injuries, in my opinion it is highly unlikely that Ms. Fancello will be able to return to competitive employment in the future. She would be unable to do physically demanding work because other injuries and in sedentary work she would require a lot of flexibility to change her work tasks and position periodically throughout her workday. She would also require good ergonomics in her work station. Because of her balance problem she would be unable to do tasks at heights or around dangerous machinery. At best she would be limited to part 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Nairn Stewart made the following recommendations: (a) an active exercise program with a kinesiologist; (b) daily stretching exercises and an active exercise program three times a week on her own once the kinesiologist is no longer involved; (c) an assessment and treatment by a psychiatrist for her depression and anxiety; (d) psychological counselling once a month over the next two years; (e) weekly gentle yoga class for the stretching and muscle relaxation benefit; (f) pain management program; (g) occupational therapy intervention along the lines suggested by Ms. AbdelBarr; and (h) continuation of regular housekeeping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Under cross-examination at Trial, Dr. Nairn Stewart continued with her opinion that Ms. Fancello "...sustained an injury to the balance mechanism, inner ear, at the time of the accident..." but deferred to the expertise of Dr. Tsai in that regard. Dr. Nairn Stewart was of the opinion that Ms. Fancello had suffered a concussion and, in this regard, stated under cross-examination: "...the discharge diagnosis included concussion and she was discharged with concussion care, so obviously the physician who examined her in the emergency room concluded that she had sustained a concussion whether or not that information about her memory was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On the question of possible employment, while Dr. Nairn Stewart agreed that Ms. Fancello was not a "lost cause in terms of employment and working", but she did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statistically, the fact that she's been out of the work force for five years is a very significant negative prognostic factor, plus she still has all the ongoing pain and anxiety and depression and is so limited in non-work areas that I'm not really optimistic that she could - that she will be able to return to the work force in the future.</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Rathbone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Michael Rathbone, is a professor in the Department of Medicine (Division of Neurology) at McMaster University. At Trial, Dr. Rathbone was qualified as an expert to provide an opinion in neurology and neuroscience. At the request of counsel for Ms. Fancello, Dr. Rathbone provided a June 30, 2017 Opinion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concussion was the direct result of the motor vehicle collision. The ambulance and ER records note the patient struck the right side of her head. There was no loss of consciousness reported, as well as normal GCS scores. However, the patient reported amnesia to the actual impact and non-continuous memory of the events immediately after the accident until she was in the Emergency Department, all consistent with a concussive injury. The discharge diagnosis from the hospital was concussion. The patient developed post-concussive symptoms including headache, dizziness and balance, tinnitus, and cognitive changes. Although there was a history of remote sustained concussions prior to the accident, there were no post-concussive symptoms or problems at the time of this accident. Therefore, the concussion and post-concussion syndrome was caused by the May 30, 2013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 CT of brain that was ordered three months before the accident fir [sic "for"] more intense migraines she reported which was a normal examination. However Ms. Fancello developed new headaches, diagnosed as cervicogenic headaches, as a result of the May 30, 2013 motor vehicle accident related to her whiplash injury to the cervical spine. She did not have these headaches prior to the accident. In addition, her episodic migraines transformed to chronic migraines due to post-traumatic headaches from the concussion. Her migraines increased in severity and frequency requiring the need for increased pain medication as well as the use of a prophylactic treatment that included nortriptyline, with some success. Unfortunately, her chronic migraines were exacerbated by a motor vehicle accident in January 2017 and have not returned to the level they were prior to this new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Fancello did not have chronic neck or back pain prior to the May 30, 2013 motor vehicle accident and was able to work without restrictions in construction. The ambulance, emergency room and initial walk-in clinic and family physician records all note new onset of neck, upper back and low back pain after this accident. There was no other event that caused her pain and it was caused only by the motor vehicle accident. Ms. Fancello had another motor vehicle accident in January 2017 that exacerbated her neck and back pain intensity and it has not returned to the level it was prior to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Fancello has a history of depression and anxiety prior to the May 30, 2013 as recorded in the family physician records. However, she did not require an anti-depressant or anti-anxiety medication to control these symptoms, and she was able to work and participate in regular day to day activities normally. Ms. Fancello developed clinical features of a Major Depressive Disorder after the accident due to her chronic pain and lifestyle changes associated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Regarding the ability of Ms. Fancello to be employed by S.R., Dr. Rathbone provided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Fancello is completely disabled from returning to this type work. She is unable to stand and walk all day due to her back pain. The noise and light exposure will exacerbate her headaches. She is unable to perform the lifting and carrying demands because of her neck and back pain. She is able to work at heights and use a ladder because of her balance difficulties.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that Ms. Fancello is motivated to explore other vocational options that are less physically demanding, and work part-time. However, she will continue to have challenges. She will require upgrading of her education and she will have problems with doing the academic work with regards to her concentration, memory and information processing difficulties. If she wants to explore a more sedentary or "desk job", static positions and long periods of sitting will in fact aggravate her neck and back pain. Then there are the depressive and psychological difficulties that reduce her tolerance to stress and deal with the public. I recommend she undergo an assessment with a vocational specialist to explore these issues. However, given all her problems she continues to be at a competitive disadvantage, even if working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Under cross-examination at Trial, Dr. Rathbone confirmed that a concussion was a mild traumatic brain injury with at least a loss of full mental function often associated with "either memory loss or with unconsciousness for a short period...under 15 minutes". Dealing with a concussion, Dr. Rathbone testified that the symptoms of headache often "begin immediately", that dizziness often begins a few days later, that symptoms of "mental fogginess is often apparent much later", and that "memory loss can be much later because one affects the circuits that involve mood and if the person then becomes depressed, which is the commonest behavioural problem following concussion, then that will certainly affect the patient much more, as will pain." Dr. Rathbone was of the opinion that a loss of memory as opposed to a loss of consciousness was more common and that a loss of memory indicates "a brain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Rathbone confirmed that the ambulance crew report did not indicate a loss of memory but he indicated that this question was "not commonly asked and is frequently missed". Dr. Rathbone was not surprised that Ms. Fancello was not taking either over the counter or prescription medications for headaches eight months after the First Accident stating: "No, doesn't surprise me. A number of my patients don't. They try to avoid medications as much as they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Commenting on the fact that Ms. Fancello had provided information to the ambulance attendants, Dr. Rathbone stated that there was a difference between the ability to recount "overlearned information" and that "...they can't lay down new memories after they have had a concussion, for a little while and it is the new memories that she appeared to be having a problem with after the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Rathbone was also asked whether the worst symptoms after a concussion would be expected to be within the first several days and he disagreed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concussion damages brain systems so that the symptoms of headache often begin immediately. The symptom of, for example, dizziness often begins a few days later depending on the cause. Symptom of mental fogginess is often apparent much later because the person initially has pain and doesn't realize that they have mental fogginess.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symptom such as, oh, memory loss can be much later because one affects the circuits that involve mood. And if the person then becomes depressed, which is the commonest behavioural problem following concussion, then that will certainly affect the patient much more, as will pain. Pain from musculoskeletal injuries. So patients I see three, four years out are sent to me because they had a concussion and now are getting worst.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Rathbone agreed that recovery from a mild traumatic brain injury would usually occur within several weeks but limited that recovery period to about 80% of patients and stated that the percentage who don't show such recovery may be as high as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Regarding other information relevant to the issue of the "...nature of the injury and residuals and the need for future care...", Dr. Rathbone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Fancello requires a re-assessment by a psychologist as her ongoing depressive and anxious symptomatology is impacting her other accident related problems including her chronic pain and headaches and cognitive function. She will require cognitive behavioural therapy to address her psychological difficulties.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Botox therapy may be helpful for the chronic migraines. I recommend 100-155 units injected every three months for at least five cycles. I agree with Dr. Waspe that occipital nerve blocks may be helpful for the cervicogenic headaches but it will not be a cure and resolve these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Fancello requires housekeeping and house maintenance services as she cannot perform heavier and repetitive tasks required for her home because of her chronic pain and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Fancello needs to continue to engage in a regular exercise program to help her cope with her chronic pain and prevent physical deconditioning. An assessment by a kinesiologist experienced in dealing with patients with chronic pain is required at least twice a year to review her program and make any necessary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Regarding the fact that a CT scan of the brain had been ordered about three months prior to the First Accident, and whether the pre-First Accident history was "...at least a component of her present headache complaints", Dr. Rathbone provided this answer: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pre-existing headaches are one of the features that pre-dispose an individual to developing worse post-concussion symptoms and individuals who have got pre-existing headaches frequently find them made worse if they've have head trauma.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there is good evidence from the literature that pre-disposing practice for bad post-concussion syndrome include previous head injuries and concussions, bad upbringings such as in poor circumstances or being beaten, and having previous PTSD or depression and having previous headaches. Those are all risk factors for poor outcome following a concussion.</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Gabriel Hirsch is a medical doctor specializing in physical medicine and rehabilitation. At Trial, Dr. Hirsch was qualified as an expert as such. Dr. Hirsch provided a June 13, 2017 opinion to counsel for the Defendants Cupskey. In that Opinion, Dr. Hirsch noted a "long standing history of headaches" when referring to the medical records that were before him: October 18, 2011 (Dr. Clayton), November 8, 2011 (Dr. Goddard), and February 22, 2013 (Dr. Carthy). He also noted that Ms. Fancello was seen at Willowbrook Medical Clinic on February 23, 2013 for complaints of a sensitive stomach and intermittent vomiting, migraines/headaches, and long standing depression/anxiety. At Trial, Dr. Hirsch described Ms. Fancello as being a "good historian".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Hirsch provided the following Opinion: "On balance of all the evidence, I am not convinced that Ms. Fancello indeed sustained a concussion in the subject motor vehicle accident. In the worst case scenario, Ms. Fancello incurred a traumatic brain injury at the very mild end of the spectrum in the motor vehicle accident in question". Dr. Hirsch was of the opinion that there was no cognitive impairment, that the reported "persistent cognitive challenges" were not attributable to a possible traumatic brain injury, and that "apparently poor performance on cognitive testing" could not be explained on a possible concussion. Dr. Hirsch then continued in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Fancello had a longstanding history of anxiety, depression, and insomnia predating the subject motor vehicle accident. To what extent her chronic sleep disturbance, anxiety, and depression was negatively impacted upon by the subject motor vehicle accident would best be discussed by a psychiatrist or psychologist. Suffice to say that sleep disturbance, anxiety, and depression can modify pain perception, amplify disability, and can be associated with a perceived decline in cognitive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today's obtained history and review of the forwarded clinical records, Ms. Fancello sustained injuries to her axial skeleton with particular reference to her neck in the May 2013 motor vehicle accident. These injuries were probably limited to soft tissue structures such as muscles, tendons, and ligaments.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Fancello's reported ongoing neck and shoulder girdle symptoms and today's assessment would be in keeping with a diagnosis of myofascial pain syndrome. According to the forwarded records, Ms. Fancello's ongoing axial skeletal symptoms are primarily causally-related to the May 2013 motor vehicle accident. The reported neck and shoulder girdle pains are aggravated by activities which excessively biomechanically stress the neck and shoulder girdle region. Ongoing pain of sufficient intensity may negatively impact on Ms. Fancello's level of function for short periods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Hirsch recommended additional treatment sessions with a physiotherapist or kinesiologist "to ensure that Ms. Fancello performs appropriate exercises with proper technique". He also suggested that Ms. Fancello should consider participation in Tai Chi, yoga, or aqua exercises and might benefit from "trigger 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Hirsch also made these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described clinical course, Ms. Fancello may continue to experience neck, shoulder girdle, and back pain for another one to two years and possibly permanently on an intermittent basis. However, I would not envision that such lingering symptoms would significantly adversely affect her social, vocational, or recreational endeavours.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Fancello had a longstanding history of headaches predating the May 2013 motor vehicle accident. It appears that her pre-existing headaches were aggravated by the May 2013 motor vehicle accident. According to Dr. Waspe's clinical records, Ms. Fancello's headaches responded very favourably to pharmacologic management (nortriptyline).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Headaches and any type of musculoskeletal pain is a subjective experience, which can neither be quantified nor qualified. Based on today's assessment, I have difficulty extrapolating to what extent Ms. Fancello's reported headaches reflect her pre-existing condition versus a possible contributing effect pertaining to the May 2013 motor vehicle accident.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musculoskeletal and neurologic perspective, I would have considered a period of several months of vocational activity limitations to have been reasonable with respect to the injuries Ms. Fancello suffered in the May 2013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today's assessment, I was unable to identify a musculoskeletal or neurologic impairment that would preclude Ms. Fancello from performing tasks which are of sedentary, light, or moderate physical demands.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today's assessment, it is my opinion that Ms. Fancello is currently competitively employable in occupations which are of sedentary, light, and moderate physical demands. Notwithstanding her reported ongoing axial skeletal symptoms, I would not impose any medical limitations or restrictions on her future vocational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At Trial under cross-examination, Dr. Hirsch agreed that Ms. Fancello's prior history was episodic migraine headaches five or six times a year. Dr. Hirsch confirmed that he would probably defer to a neurologist regarding migraine headaches and confirmed that "I don't treat [them]." Dr. Hirsch remained of the opinion that he was "not convinced" that Ms. Fancello had suffered a concussion. However, when asked "so are you saying that you do think she sustained a concussion in the accident?", Dr. Hirsch replied: "I really don't know". Dr. Hirsch confirmed that there does not have to be a loss of consciousness to have a mild traumatic brain injury as set out in the "diagnostic criteria for traumatic brain injury" from the American Congress of Rehabilitation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Hirsch agreed that the record showed that the ambulance crew arrived to proximately 28 minutes after the First Accident. Dr. Hirsch was then asked the following question and gave the following answer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you've discounted her entire history of post-traumatic amnesia because you assume that half an hour after the accident she was able to give medical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didn't discount it completely.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said I cannot really define clearly whether she had a traumatic brain injury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When pressed on the issue, Dr. Hirsch stated: "I told you that I did not discount her having a traumatic brain injury". Regarding the Glasgow Coma Score being 15, he confirmed that the criteria for a concussion says that the Glasgow Coma Score would be between 13 and 15 after 30 minutes. He was also asked: "So her Glasgow Coma Score is entirely consistent with the criteria?" and he answered: "It does not rule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Hirsch confirmed that he did not have transcripts from the examination for discovery of Mr. Tomasevich which indicate that he looked at Ms. Fancello, she was holding her head and looking at him but not responding, and that when he asked her if she was alright she was not responding to him and was incoherent. Dr. Hirsch was asked whether that would be important information for him to know and he responded: "It would be". Dr. Hirsch was asked whether, if that evidence was accepted from Mr. Tomasevich, it would be "...clear evidence to meet the diagnostic criteria" and he responded "correct". He also confirmed that, when Mr. Tomasevich returned to the scene about five minutes later and sat next to Ms. Fancello and stated that she was crying and holding her head and still asking him what had happened, this would be important information for him to know as well. Dr. Hirsch was also asked whether, if he accepted the evidence that Ms. Fancello was delirious and accepted her evidence with respect to the gap in her memory, she would clearly meet the criteria and he confirmed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dealing with the statement made by him that Ms. Fancello is "currently competitively employable in occupations that are sedentary, light and moderate physical demands, Dr. Hirsch confirmed that the statement assumed that Ms. Fancello "doesn't have any concussion-related symptoms and no depression or anxiety" and that this statement only related to her "stand alone myofascial neck injury".</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Babbage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Babbage provided a medical/psychiatric opinion regarding Ms. Fancello to counsel for Ms. Fancello in a January 17, 2018 opinion. At Trial, Dr. Babbage was qualified to provide an expert opinion as a psychiatrist. Based on a clinical/semi-structured psychiatric interview, a mental status examination, a review of medical documentation, and the facts and assumptions set out his Opinion, Dr. Babbage had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Fancello meets the American Congress of Rehabilitation Medicine definition of Mild Traumatic Brain Injury (MTBI). She felt confused immediately following the impact. She had a short period of post-traumatic amnesia. She also describes neurologic symptoms of tinnitus and balance problems after the MVA of May 30, 2013. The MTBI mechanism of injury would be due to acceleration/ deceleration (whiplash of the brain). Injuries to the frontal lobes of the brain could explain Ms. Fancello's emotional dysregulation and motivation problems. Depressive symptoms can also be associated with brain injuries especially if frontal lobes are involved. Frontal lobe injuries can also cause trouble with multi-tasking, problem solving, attention and concentration. Neuropsychiatric testing may not reveal the cognitive deficits of frontal lobe injury cross-sectionally because of variable levels of motivation at different points of time. Frontal lobe injuries can cause changes in personality, which can complicate recovery and treatment from co-morbid psychiatric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MTBI along with chronic pain, depression and anxiety, can contribute to sleep problems as is the case with Ms. Fancello. Poor sleep can negatively affect energy level and pain perception further, causing demoralization and potentially worsening depressive symptoms. Most cognitive and emotional symptoms related to MTBI resolve within two years. However, it is likely that her issues with motivation, problem solving, irritability and a component of her depression which are related to the Mild Traumatic Brain Injury (MTBI), will be present long-term in chronic residual 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Fancello has neurovegetative symptoms associated with chronic pain. These include loss of energy, easy fatigability affecting her attention and concentration, sleep pattern changes, irritability and distractibility due to chronic physical pain. The changes in her physical capability have negatively affected her psychological outlook. Her chronic pain has negative impacts on psychological function such as modulating emotions and ability to cope with stressors. ... Her chronic pain and associated symptoms have likely reduced her capacity in all domains including occupational, social and cognitive function. Her loss of energy and the irritability associated with chronic pain have reduced her ability to socially interact effectively and in a consistent manner. She has not kept up her relationships with her friends. Her overall level of physical activity is significantly decreased due to her chronic pain. This has had a negative effect on her ability to cope with both her pain and others stressors. Thus the subjective experience of pain can worsen when she is reminded of her secondary losses such as these physical restrictions and occupational limitations, which have resulted from her chronic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Fancello meets the DSM-V diagnostic criteria of Somatic Symptom Disorder (SSD) with pain as the predominant focus (SSD was previously termed Pain Disorder under DSM-IV). SSD is characterized as chronic somatic and/or pain symptoms that are distressing or result in significant disruption of functioning. Ms. Fancello did have symptoms of numbness in her legs after the MVA of May 30, 2013 despite normal physical examinations and nerve conduction studies. She has headaches and balance problems, in addition to her pain that persist. To meet the criteria of Somatic Symptom Disorder (SSD) an individual must have persistent pain and/or somatic symptoms lasting at least six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Fancello does meet the DSM-V criteria for Major Depressive Disorder (MDD) since January of 2014 when her mood significantly worsened. After January of 2014 she had severe depression with low energy, insomnia, low self-esteem, poor concentration and feelings of hopelessness. Although prior to age 14, she does have a past history of significant depression and anxiety including two suicide attempts between the ages 11 and 14 with a psychiatric admission, there were significant psychosocial and substance related contributions at those times to her psychiatric illness. After moving out of the stressful home environment at age 14 and stopping heavy drug use including psychostimulants after her discharge from the psychiatric ward, she was able to eventually develop supportive relationships, build her career in construction and find stable housing. Additionally, she was able to cope with significant stressors and losses prior to the MVA of May 30, 2013. I believe had it not been for the MTBI and chronic pain following the MVA of May 30, 2013 and the resultant secondary losses related to impaired occupational, social and recreational function, Ms. Fancello likely would not have developed major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loss of her daily strenuous physical activity and social connections related to stopping work reduces her ability to cope with future stresses and impairs her psychological defence mechanisms. Therefore, her dependence on her boss for housing and financial support currently puts her in an extremely vulnerable position should these supports be withdrawn. Further, she is at risk of worsening depression and anxiety without active treatment. The loss of her psychological defense mechanisms will likely make quitting smoking more difficult increasing anxiety/demoralization secondary to the known potential negative impacts on her lungs as described to her by the respirologist. I would recommend referral to a psychiatrist to monitor and assess the effectiveness of Ms. Fancello s current antidepressant trial that she had initiated prior to this IME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Babbage recommended that Ms. Fancello try trazodone 50 mg to help with sleep, a close monitoring of her use of cannabis to make sure it does not interfere with her response to antidepressants, the tricyclic antidepressant nortriptyline unless there is an expression of suicidal ideation, exercises guided by a kinesiologist or personal trainer, treatment with a psychologist using "Cognitive Behavioural Therapy, Mindfulness and/or Interpersonal Therapy techniques" to help with stress management, and a continuation of work with an occupational therapist to help Ms. Fancello move to a more independent and less vulnerable position in her housing and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Under cross-examination, Dr. Babbage was asked whether he was of the opinion that Ms. Fancello had a cannabis usage disorder and he stated that it was not his opinion that she did. However, Dr. Babbage did agree that Ms. Fancello meets "...many of these environmental risk factors for a cannabis use disorder". The "risk factors" quoted to him included academic failure, tobacco smoking, unstable or abusive family situation, use of cannabis among immediate family members, a family history of substance use disorder and low socio economic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Babbage was of the opinion that Ms. Fancello was "still suffering from major depressive disorder and somatic symptom disorder" when he saw her after the Second Accident and that, by the time of the Second Accident, "she stopped having major depression". "It did lessen in severity, though when she was active and she was able to - she felt like she was recovering before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Regarding her travel in September of 2013 to Greece to attend a wedding, Dr. Babbage was not of the view that this was evidence that she was "functioning well" as she wasn't able to work. When it was put to Dr. Babbage that this was a period when Ms. Fancello was able to function without treatment and without seeking assistance for her pain problems so that this period would be an indicator Ms. Fancello did not meet the diagnostic criteria for SSD or somatic symptom disorder, Dr. Babbage stated if she was not in distress: "Yes, I would agree that she might not meet the criteria in that window for somatic symptom disorder."</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At the request of counsel for Ms. Fancello, Dr. Douglas Cohen prepared a psychological assessment and made recommendations regarding psychotherapy for Ms. Fancello. At Trial, Dr. Cohen was qualified as an expert psychologist with training in neuropsychology. In his February 14, 2018 Report, Dr. Cohen reached the following conclusions regarding the status of Ms. Fancello: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Fancello is at high risk for the development of persistent, chronic Major Depressive Disorder. Ms. Fancello has struggled with ongoing symptoms of depression subsequent to the 2013 MVA, and has received both antidepressant medication and psychotherapy, yet she remains highly symptomatic. Brain injury, chronic pain and fatigue leave Ms. Fancello at elevated risk of developing unremitting, severe emotional difficulties, particularly absent the provision of ongoing psychotherapy supports and appropriate medications. Mood and anxiety symptoms that have not been fully addressed in treatment and have now become chronic leave an individual at lifetime risk for persistent psychological maladjustment, in my clinical experience. I would concur with Dr. Babbage that increased symptoms of depression and anxiety absent treatment placed Mrs. Fancello at heightened risk of being able to cope with additional stressors, and in particular being able to cope with the stress of her other health conditions and her need to quit smoking.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unlikely Ms. Fancello will evidence any further gains in her recovery from any remaining brain injury sequelae. Spontaneous recovery from MTBI is typically maximal in the first year post-injury, with additional smaller but potentially meaningful gains possible in the subsequent 2-3 years after that. Given that Ms. Fancello was injured in 2013, it is therefore also likely that she has achieved maximal spontaneous recovery from her more acute TBI effects. However, a smaller degree of further improvement in her cognitive symptoms and difficulties is still possible, particularly with participation in proper psychological treatment and with comprehensive cognitive rehabilitation including providing her with some coping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Under cross-examination at Trial, Dr. Cohen did not agree that the "norm" is full recovery with no long term residual deficits where there is a single uncomplicated mild traumatic brain injury. He estimated that between 8 and 15% "do not recover well". He also was of the opinion that the brain injury "make them more vulnerable to external stressors" such as "...emotional, or physical or psychological factors and life stress factors." Dr. Cohen also stated: "Her poor recovery is evidence of the combined effect of the initial concussion, and her psychological condition afterwards and development of these psychological conditions like depression, and chronic pain and all of that."</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Mead-Wescott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a March 26, 2018 Report to counsel for the Defendants Cupskey, Dr. Mead-Wescott commented on the February 14, 2018 report of Dr. Cohen. Dr. Mead-Wescott did not meet with Ms. Fancello or complete an evaluation of her neuro-psychological status. In providing an "opinion", Dr. Mead-Wescott indicated that she could not "offer diagnostic statements" and that her comments were "...constrained to points of disagreement with the conclusions reached by Dr.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Regarding the test scores of Ms. Fancello being as low as they were, the following comment was made by Dr. Mead-Wescott: "...the absence of an obvious medical explanation for such significant deficits, raised questions about the effort put forth by the examinee." In this regard, Dr. Mead-Wescott was critical of Dr. Cohen who chose to administer only a single stand-alone performance validity test stating that it was "typically recommended that forensic examiners choose at least two stand-alone performance validity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Mead-Wescott was also of the belief that there was concern that the chronic use of marijuana could have meaningfully impacted some of her cognitive test scores. Regarding the previous use of drugs by Ms. Fancello, Dr. Mead-Wescott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an expert on the potential impact of polysubstance abuse on the pre-adolescent and adolescent brain. However, it is worth considering the possibility that Ms. Fancello's relatively brief, but intense, exposure to a multitude of hard drugs at a very young age might have had an adverse long-term impact on some aspects of her cognitive functioning. Such putative deficits may or may not have been evidence in her ability to adequately manager her daily activities and her vocational responsibilities in her teenage and early adult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Dr. Mead-Wescott was of the opinion that the diagnosis by Dr. Cohen of a "Major Depressive Disorder, of moderate severity, with features of anxious distress" "appears reasonable". However, Dr. Mead-Wescott disagreed with the conclusion of Dr. Cohen that this condition is attributable to the First Accident stating that: "...this conceptualization fails to adequately account for the fact that Ms. Fancello was </w:t>
      </w:r>
      <w:r>
        <w:rPr>
          <w:rFonts w:ascii="arial" w:eastAsia="arial" w:hAnsi="arial" w:cs="arial"/>
          <w:color w:val="000000"/>
          <w:sz w:val="20"/>
          <w:u w:val="single"/>
          <w:lang w:val="en-US" w:eastAsia="en-US" w:bidi="ar-SA"/>
        </w:rPr>
        <w:t>already</w:t>
      </w:r>
      <w:r>
        <w:rPr>
          <w:rFonts w:ascii="arial" w:eastAsia="arial" w:hAnsi="arial" w:cs="arial"/>
          <w:color w:val="000000"/>
          <w:sz w:val="20"/>
          <w:lang w:val="en-US" w:eastAsia="en-US" w:bidi="ar-SA"/>
        </w:rPr>
        <w:t xml:space="preserve"> experiencing chronic depression and anxiety prior to her May 2003 MVA and was highly likely to continue to have such issues, even absent any of the injury/related factors cited by Dr. Cohen..." In this regard, Dr. Mead-Wescott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reasonable to suppose that the physical injury she sustained...may have precipitated increased symptoms of depression and anxiety, or triggered a new bout of symptoms, but it is not reasonable to suggest that, absent those NEAs, she would not have struggled with these emotional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Regarding the future, Dr. Mead-Wescott agreed with Dr. Cohen that the evaluation "...bode poorly for Ms. Fancello's ability to safely return to her former occupational duties, at least in her present condition" but that: "...I am more optimistic that ongoing treatment of her emotional condition and her chronic pain will lead to cognitive improvement sufficient to consider, at a minimum, vocational retraining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Although Dr. Mead-Wescott stated that she could not offer "diagnostic statements" and that her comments had to be "constrained to points of disagreement with the conclusions reached by Dr. Cohen", it is clear that Dr. Mead-Wescott ignores that limitation when she comes to the double negative conclusion that it is "not reasonable to suggest that...she would not have struggled with these emotional issues". However, that is not the question before me. Rather, the question is whether I can come to the conclusion that, but for the Accidents, Ms. Fancello would have suffered from a Major Depressive Disorder of moderate severity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Mead-Wescott comes to the conclusion that Ms. Fancello was already experiencing "chronic depression and anxiety". I find no basis for this statement. Rather, it is clear that Ms. Fancello had worked through significant stressors, was not being treated for depression, was not experiencing chronic depression, and has been described by Drs. Cohen, Tsai, Mallinson, and Hirsch as either not embellishing or as a good historian.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Mead-Wescott provides no assistance in drawing the difference between diagnostic statements and the conclusions she reaches. Dr. Mead-Wescott attempts to cast doubts on the opinion of Dr. Cohen by suggesting that the chronic use of marijuana may have had an adverse long term impact on some of the aspects of the cognitive functioning of Ms. Fancello and that this possibility was "worth considering". This statement is made despite the fact that Dr. Mead-Wescott admitted that she was not an expert on the potential impact of poly substance abuse on the pre-adolescent and adolescent brain. Despite the view of Dr. Mead-Wescott that questions should be raised about the effort put forward by Ms. Fancello during the testing undertaken by Dr. Cohen, I can find no support for the proposition that Ms. Fancello was not giving straightforward and complete if the answers to the questions that were raised by Drs. Cohen and Babbage.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have no hesitation in accepting the opinions of Drs. Cohen and Babbage rather than what is set out in the March 26, 2018 opinion of Dr. Mead-Wescott. First, Dr. Mead-Wescott did not meet with or administer tests to Ms. Fancello. Second, she did not make her own independent evaluation of the neuropsychological status of Ms. Fancello. Third, she strays far beyond "points of disagreement" and offers "diagnostic statements". Fourth, despite admitting that she is not an expert in polysubstance abuse on pre-adolescent and adolescent brains, Dr. Mead-Wescott nevertheless expresses an opinion without being asked to do so. Fifth, Dr. Mead-Westcott expresses the opinion about the test scores obtained by Ms. Fancello and provides her "opinion" regarding the suspect "level of impairment suggested by her scores". I found the report of Dr. Mead-Wescott to be singularly unhelpful in assessing the psychological and psychiatric status of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Both Dr. Cohen and Dr. Mead-Wescott come to the conclusion that the Major Depressive Disorder of moderate severity was an appropriate diagnosis. I have no hesitation in coming to the conclusion that I should prefer the opinions of Drs. Babbage and Cohen over the views of Dr. Mead-Wescott. Dr. Mead-Wescott indicated that she would not offer diagnostic statements but then did so. Drs. Cohen and Babbage saw Ms. Fancello and tested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 Conclusions Reached Regarding Pain and Suffering Arising From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Fancello has provided various explanations to various medical consultants about the time immediately after the First Accident. I am satisfied that any inconsistencies relate to her reliance on what others told her and the fact that she has no independent recollection of getting out of the vehicle driven by Mr. Tomasevich or of the time immediately after the First Accident. I also take into account the fact that the ambulance did not arrive for about 28 minutes after the collision occurred so that there is no evidence available from the ambulance attendants regarding the state of Ms. Fancello immediately after and for 30 minutes after the collision so that I am satisfied that nothing turns on the fact that there is no indication in the ambulance records about a possible concussion and about whether Ms. Fancello had any recollection of what happened immediately after impact. In this regard, there was no evidence available from those who assisted Ms. Fancello at the scene before the ambulance attendants arrived. Accordingly, how Ms. Fancello exited the vehicle and whether she suffered a concussion cannot be verified from those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coming to the conclusion that Ms. Fancello had temporary memory loss and a concussion as a result of the First Accident, I take into account the testimony of Mr. Tomasevich regarding his observation of Ms. Fancello immediately after the collision and later when he came back to the scene. I also take into account the diagnosis of the doctor who treated her at Langley Memorial that she had suffered a concussion. I do not take into account this diagnosis for the truth of the statement made. However, I take into account that this diagnosis was relied upon by various medical advisors who examined Ms. Fancello and who came to the conclusion based on the medical records that Ms. Fancello did suffer a concussion. While Dr. Hirsch was of the view that Ms. Fancello had not suffered a concussion, he did indicate that she may have suffered a mild traumatic brain injury and, in cross-examination, he stated that he really did not know whether she had suffered a concussion. I find that Ms. Fancello had memory loss and a concussion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Cupskey.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have no hesitation in arriving at the conclusion that Ms. Fancello has shown on a balance of probabilities that she suffered a Mild Traumatic Brain Injury in the First Accident, that she meets the DSM-V diagnostic criteria of Somatic Syndrome Disorder with pain as the predominant focus and that she meets the DSM-V criteria for Major Depressive Disorder. I find that Ms. Fancello was able to cope with significant stressors prior to the First Accident but that, as a result of the First and Second Accidents, Mild Traumatic Brain Injury and chronic pain have resulted and secondary losses relating to impaired occupational, social and recreational functions have developed. I adopt the opinion of Dr. Cohen that the brain injury and chronic pain of Ms. Fancello has left her at an: "... elevated risk of developing unremitting, severe emotional difficulties, particularly the provision of ongoing psychotherapy supports and appropriate medications". I adopt the opinion of Dr. Salvian that Ms. Fancello has developed "significant chronic pain syndrome" as well as "post-traumatic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find that Ms. Fancello has proven on a balance of probabilities that she will not recover from the major depressive disorder diagnosed by Dr. Cohen and I reject the opinion of Dr. Mead-Westcott that, despite the fact that she is of the view that his diagnosis "appears reasonable", that Ms. Fancello can recover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also find that Ms. Fancello has proven on a balance of probabilities that, in the words of Dr. Nairn Stewart, it is "highly unlikely" that she will be in a position to work again because of her "ongoing pain and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Regarding the physical injuries suffered by Ms. Fancello as a result of the First and Second Accidents, I find that headaches with frequent vomiting, numbness in her legs and arms, and soft tissue injury to her neck resulted from the Accidents as did neurological symptoms of tinnitus and balance problems. I am satisfied that Ms. Fancello has shown on a balance of probabilities that she suffered soft tissue injuries in both the First and Second Accidents so that ongoing pain worsened by cold weather, stress, tensing up, and repetitive movements have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Despite the fact that Ms. Fancello like hundreds of thousands if not millions had headaches which could be treated by over the counter medicine, I am satisfied that the headaches she now has are much more severe and are occurring much more frequently. I find that Ms. Fancello has proven on a balance of probabilities that the types of headaches that she previously had, only predisposed her to having the type of headaches that she now has and that the type of headaches that she now has were not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It is in that context that I must now deal with the question of the damages that should be awarded to Ms. Fancello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other than Mr. Tomasevich arising out of the First and Second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When assessing non-pecuniary damages, Justice Kirkpatrick on behalf of the Court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set out an "inexhaustive list of common factors" to be considered when assessing non-pecuniary damages: (a) age of the plaintiff; (b) nature of the injury; (c) severity and duration of pain; (d) disability; (e) emotional suffering; and (f) loss or impairment of life; (g) impairment of family, marital and social relationships; (h) impairment of physical and mental abilities; (i) loss of lifestyle; and (j) 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820"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at para. 46.</w:t>
      </w:r>
      <w:r>
        <w:rPr>
          <w:rFonts w:ascii="arial" w:eastAsia="arial" w:hAnsi="arial" w:cs="arial"/>
          <w:sz w:val="20"/>
          <w:lang w:val="en-US" w:eastAsia="en-US" w:bidi="ar-SA"/>
        </w:rPr>
        <w:cr/>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Submissions on Behalf of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On behalf of Ms. Fancello, it is submitted that the injuries suffered in the First Accident and the Second Accident have a devastating impact on her life. She has lost the ability to fully partake in all of the recreational activities she once enjoyed, has lost the ability to work and support herself, has not had a romantic relationship since the First Accident as her ability to socialize is limited, and has a sense of helplessness and dependency weighing heavily on her which exacerbates her psychological injuries and her sense of well-being. It is submitted that her loss of ability to fend for herself and to support herself financially has been devastating on her as she has been a person, "through fierce independence" "carved out a life from childhood most people would not have faired nearly as well as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Submitting that the evidence has proven Ms. Fancello suffered a mild traumatic brain injury with long term post-concussion syndrome, along with major depression, chronic pain from soft tissue injuries, and a somatic syndrome disorder, counsel for Ms. Fancello submits that a non-pecuniary damage award of between $200,000 and $250,000 is warranted. In this regard, reliance is placed on the following decisions:</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Gabor v. Boilard</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2015 BCSC 1724</w:t>
        </w:r>
      </w:hyperlink>
      <w:r>
        <w:rPr>
          <w:rFonts w:ascii="arial" w:eastAsia="arial" w:hAnsi="arial" w:cs="arial"/>
          <w:color w:val="000000"/>
          <w:sz w:val="20"/>
          <w:lang w:val="en-US" w:eastAsia="en-US" w:bidi="ar-SA"/>
        </w:rPr>
        <w:t xml:space="preserve"> where Justice Ballance found that the 29-year-old plaintiff had suffered a mild traumatic brain injury, soft tissue injuries to her neck, back, hip, wrist, and knee, and a whiplash associated disorder with intense headaches as well as an adjustment disorder which included symptoms of depression, anxiety, driving and passenger anxiety, nightmares, reduced ability to cope with stress, being easily overwhelmed, fatigue, and possible denial of her cognitive deficits ($200,000);</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Cheng v. Goyal</w:t>
      </w:r>
      <w:r>
        <w:rPr>
          <w:rFonts w:ascii="arial" w:eastAsia="arial" w:hAnsi="arial" w:cs="arial"/>
          <w:color w:val="000000"/>
          <w:sz w:val="20"/>
          <w:lang w:val="en-US" w:eastAsia="en-US" w:bidi="ar-SA"/>
        </w:rPr>
        <w:t>, 2018 BCSC 366 where Justice Winteringham dealt with a 27-year-old plaintiff who suffered a mild traumatic brain injury with long term consequences including psychological and emotional difficulties emanating from the accident including mood and behavioural difficulties ($225,000);</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Wallman v. Doe</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2014 BCSC 79</w:t>
        </w:r>
      </w:hyperlink>
      <w:r>
        <w:rPr>
          <w:rFonts w:ascii="arial" w:eastAsia="arial" w:hAnsi="arial" w:cs="arial"/>
          <w:color w:val="000000"/>
          <w:sz w:val="20"/>
          <w:lang w:val="en-US" w:eastAsia="en-US" w:bidi="ar-SA"/>
        </w:rPr>
        <w:t xml:space="preserve"> where Justice G.C. Weatherill found that the injuries included a mild traumatic brain injury, post-concussion syndrome, depression and migraines, and a significant impairment in the every day life of the 53-year-old physician plaintiff including cognitive challenges that would affect the life of the plaintiff, a loss of overall confidence, struggle to make decisions and initiate activities, being inattentive, displaying poor judgment, and being withdrawn socially ($210,000);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Walman, supra</w:t>
      </w:r>
      <w:r>
        <w:rPr>
          <w:rFonts w:ascii="arial" w:eastAsia="arial" w:hAnsi="arial" w:cs="arial"/>
          <w:color w:val="000000"/>
          <w:sz w:val="20"/>
          <w:lang w:val="en-US" w:eastAsia="en-US" w:bidi="ar-SA"/>
        </w:rPr>
        <w:t>, the plaintiff relied on a number of cases which Ms. Fancello submits are informative in the assessment of her non-pecuniary damages. These decisions, with inflation calculated based on the on line inflation calculator of the Bank of Canada, included the following:</w:t>
      </w:r>
      <w:r>
        <w:rPr>
          <w:rFonts w:ascii="arial" w:eastAsia="arial" w:hAnsi="arial" w:cs="arial"/>
          <w:sz w:val="20"/>
          <w:lang w:val="en-US" w:eastAsia="en-US" w:bidi="ar-SA"/>
        </w:rPr>
        <w:cr/>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Roussin v. Bouzenad</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2005 BCSC 1719</w:t>
        </w:r>
      </w:hyperlink>
      <w:r>
        <w:rPr>
          <w:rFonts w:ascii="arial" w:eastAsia="arial" w:hAnsi="arial" w:cs="arial"/>
          <w:color w:val="000000"/>
          <w:sz w:val="20"/>
          <w:lang w:val="en-US" w:eastAsia="en-US" w:bidi="ar-SA"/>
        </w:rPr>
        <w:t>. The plaintiff suffered a mild traumatic brain injury with significant effects including loss of executive function, dizziness and vertigo, tinnitus, and headaches ($200,000) ($250,000 with inflation);</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Lines v. Gordon et al. and ICBC</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 The plaintiff sustained mild traumatic brain injury which resulted in severe headaches, fatigue, visual difficulties, sexual dysfunction, depression, and problems with higher cognitive function and capacities such as memory, concentration, decision making, and organization ability ($225,000) ($274,000 with inflation);</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Sirna v. Smolinski</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 The plaintiff sustained a traumatic brain injury resulting in permanent functional deficits, relating to attention and memory, impaired sense of smell and additional fatigue, reactive depression, and a sense of the loss of the person that she was and could have been before the accident ($200,000) ($238,888 with inflation);</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Dikey v. Samieian</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2008 BCSC 604</w:t>
        </w:r>
      </w:hyperlink>
      <w:r>
        <w:rPr>
          <w:rFonts w:ascii="arial" w:eastAsia="arial" w:hAnsi="arial" w:cs="arial"/>
          <w:color w:val="000000"/>
          <w:sz w:val="20"/>
          <w:lang w:val="en-US" w:eastAsia="en-US" w:bidi="ar-SA"/>
        </w:rPr>
        <w:t xml:space="preserve">. The plaintiff suffered a traumatic brain injury which produced continuing cognitive problems including limitations with memory, planning, attention, organizing, awareness, concentration, decision making, judgment, reasoning, language, mental flexibility, abstract thinking, and calculations. Because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plaintiff was unlikely to work and lost the self-esteem, enjoyment and income that would have been available to him ($215,000) ($255,500 with inflation);</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The plaintiff sustained a mild traumatic brain injury with tinnitus, personality changes, and cognitive deficits as well as chronic pain, headaches, and depression ($200,000) ($234,889 with inflation);</w:t>
      </w:r>
    </w:p>
    <w:p>
      <w:pPr>
        <w:numPr>
          <w:numId w:val="5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Burdett v. Eidse</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2011 BCCA 191</w:t>
        </w:r>
      </w:hyperlink>
      <w:r>
        <w:rPr>
          <w:rFonts w:ascii="arial" w:eastAsia="arial" w:hAnsi="arial" w:cs="arial"/>
          <w:color w:val="000000"/>
          <w:sz w:val="20"/>
          <w:lang w:val="en-US" w:eastAsia="en-US" w:bidi="ar-SA"/>
        </w:rPr>
        <w:t>. The plaintiff suffered a mild traumatic brain injury which caused severe cognitive impairments including an inability to focus, sleep, concentrate or multi-task and that this results in the plaintiff experiencing frustration, emotional liability, and a lack of interest in the activities that formerly gave him pleasure. Subsequently, the Court of Appeal did not interfere with the assessment of non-pecuniary damages ($200,000) ($222,500 with inflation).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Submissions on Behalf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On the other hand, the Defendants submit that an appropriate range for non-pecuniary damages is between $60,000 and $90,000. In submitting that this is an appropriate range for non-pecuniary damages, the Defendants rely upon the following decisions:</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Siddal v. Bencherif</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2016 BCSC 1662</w:t>
        </w:r>
      </w:hyperlink>
      <w:r>
        <w:rPr>
          <w:rFonts w:ascii="arial" w:eastAsia="arial" w:hAnsi="arial" w:cs="arial"/>
          <w:color w:val="000000"/>
          <w:sz w:val="20"/>
          <w:lang w:val="en-US" w:eastAsia="en-US" w:bidi="ar-SA"/>
        </w:rPr>
        <w:t>, where Justice G.C. Weatherill dealt with a plaintiff who had a pre-existing history of anxiety, depression, self-harm, and headaches since her teenage years where she grew up in a dysfunctional home and had a traumatic upbringing as her father was an abusive alcoholic. Injuries to her neck, back, shoulders, and hip, regular headaches, driving anxiety, panic attacks, nightmares, chronic pain, anxiety, and depression were claimed. There was a finding that the plaintiff was a quintessential thin skull plaintiff and that she would have experienced psychological issues regardless of the accident so that the pre-accident psychological symptoms and other life stressors were responsible for her condition ($60,000);</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Belos v. Michaels</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2017 BCSC 1217</w:t>
        </w:r>
      </w:hyperlink>
      <w:r>
        <w:rPr>
          <w:rFonts w:ascii="arial" w:eastAsia="arial" w:hAnsi="arial" w:cs="arial"/>
          <w:color w:val="000000"/>
          <w:sz w:val="20"/>
          <w:lang w:val="en-US" w:eastAsia="en-US" w:bidi="ar-SA"/>
        </w:rPr>
        <w:t>, where Justice Hyslop found somatic symptom disorder, sleep disruption, loss of fitness, loss of energy, and resulting interference with the recreational and family life and a finding that the condition of the plaintiff was chronic without a definitive curative treatment, which exposed him to a lifelong risk of recurrence of his symptoms. There was also a finding that the plaintiff had a pre-existing personality and other stressors that likely played a mild to moderate role in the onset of the symatic symptom disorder but were not the major cause of it ($75,000);</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Barta v. DaSilva</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2014 BCSC 2113</w:t>
        </w:r>
      </w:hyperlink>
      <w:r>
        <w:rPr>
          <w:rFonts w:ascii="arial" w:eastAsia="arial" w:hAnsi="arial" w:cs="arial"/>
          <w:color w:val="000000"/>
          <w:sz w:val="20"/>
          <w:lang w:val="en-US" w:eastAsia="en-US" w:bidi="ar-SA"/>
        </w:rPr>
        <w:t>, where Justice Affleck dealt with a claim for soft tissue injuries, concussion, post-concussion syndrome, headaches, dizziness, sleep disturbance, anxiety, stress, and cognitive problems impairing the past and future earning capacity of the plaintiff. There was a finding that the plaintiff had suffered only a mild concussion and that his current conditions were attributable to his psychological predisposition, other stressful events in his life such as an assault, involvement in other litigation and unrelated financial loss. The expert evidence was that the immediate and initial symptoms did not support true post-concussion syndrome and that the reports of behavioural and cognitive symptoms which developed much later were consistent with emotional and psychological dysfunction, sleep disturbance, pain, and anxiety ($75,000);</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Carreon-Rivera v. Zhang</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2014 BCSC 709</w:t>
        </w:r>
      </w:hyperlink>
      <w:r>
        <w:rPr>
          <w:rFonts w:ascii="arial" w:eastAsia="arial" w:hAnsi="arial" w:cs="arial"/>
          <w:color w:val="000000"/>
          <w:sz w:val="20"/>
          <w:lang w:val="en-US" w:eastAsia="en-US" w:bidi="ar-SA"/>
        </w:rPr>
        <w:t>, where Justice Ross found that the 50 year old plaintiff had suffered soft tissue injuries to her back, right shoulder, and neck, aggravation of previously asymptomatic cervical spondylosis, recurrent headaches, chronic pain, somatic symptom disorder with predominant pain, and a major depression disorder which resulted in the plaintiff withdrawing from family and social life and diminished capacity at work because of lack of energy. There was a finding that there was an aggravation of previously asymptomatic cervical spondylosis. The Court accepted the evidence of a psychiatrist that the prognosis for the plaintiff was still an open question as she had not had the opportunity to undergo a complete course of treatment for depression and pain management so there was a finding that it was inappropriate to conclude that the condition of the plaintiff would not have any further improvement ($80,000 - subject to a 10% reduction for failure to mitigate);</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Koltai v. Wang</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2015 BCSC 1346</w:t>
        </w:r>
      </w:hyperlink>
      <w:r>
        <w:rPr>
          <w:rFonts w:ascii="arial" w:eastAsia="arial" w:hAnsi="arial" w:cs="arial"/>
          <w:color w:val="000000"/>
          <w:sz w:val="20"/>
          <w:lang w:val="en-US" w:eastAsia="en-US" w:bidi="ar-SA"/>
        </w:rPr>
        <w:t xml:space="preserve"> affirmed </w:t>
      </w:r>
      <w:hyperlink r:id="rId833" w:history="1">
        <w:r>
          <w:rPr>
            <w:rFonts w:ascii="arial" w:eastAsia="arial" w:hAnsi="arial" w:cs="arial"/>
            <w:i/>
            <w:color w:val="0077CC"/>
            <w:sz w:val="20"/>
            <w:u w:val="single"/>
            <w:shd w:val="clear" w:color="auto" w:fill="FFFFFF"/>
            <w:lang w:val="en-US" w:eastAsia="en-US" w:bidi="ar-SA"/>
          </w:rPr>
          <w:t>2017 BCCA 152</w:t>
        </w:r>
      </w:hyperlink>
      <w:r>
        <w:rPr>
          <w:rFonts w:ascii="arial" w:eastAsia="arial" w:hAnsi="arial" w:cs="arial"/>
          <w:color w:val="000000"/>
          <w:sz w:val="20"/>
          <w:lang w:val="en-US" w:eastAsia="en-US" w:bidi="ar-SA"/>
        </w:rPr>
        <w:t>, where Justice Armstrong dealt with a claim for soft tissue injuries to the neck, back, shoulders, arms, and right leg of the plaintiff, a concussion, headaches, tinnitus, dizziness, memory problems, cognitive problems, anxiety, and nightmares, but a finding that the creditability of the plaintiff was significantly challenged so that there was evidence regarding his injuries was not reliable. There was a finding that the plaintiff did not sustain tinnitus as this was inconsistent with six month delay in reporting it and that it was unlikely based on the evidence that the plaintiff suffered a brain injury even though he did not know whether he lost consciousness and although his wife spoke about him being knocked out. ($85,000);</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Gleizer v. Insurance Corporation of British Columbia</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2014 BCSC 1037</w:t>
        </w:r>
      </w:hyperlink>
      <w:r>
        <w:rPr>
          <w:rFonts w:ascii="arial" w:eastAsia="arial" w:hAnsi="arial" w:cs="arial"/>
          <w:color w:val="000000"/>
          <w:sz w:val="20"/>
          <w:lang w:val="en-US" w:eastAsia="en-US" w:bidi="ar-SA"/>
        </w:rPr>
        <w:t>, where Justice Harris (as he then was) dealt with a claim for soft tissue injuries to his neck and back, sprain or strain to right shoulder, right ankle and right hip, traumatic brain injury, post-concussion syndrome, chronic pain, cognitive disorder, post-traumatic headaches, sleep disturbance, depression, anxiety, and erectile dysfunction and a finding that the physical and cognitive symptoms had diminished gradually over time but that the plaintiff did have residual pain and continuing depression and anxiety five and a half years after the accident ($90,000).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Conclusions Regarding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 am satisfied that the cases relied upon by Ms. Fancello should be preferred. First, they deal with younger plaintiffs. Second, the injuries claimed more closely approximate the injuries that I find were suffered by Ms. Fancello. In particular, I am satisfied that the decisions in </w:t>
      </w:r>
      <w:r>
        <w:rPr>
          <w:rFonts w:ascii="arial" w:eastAsia="arial" w:hAnsi="arial" w:cs="arial"/>
          <w:i/>
          <w:color w:val="000000"/>
          <w:sz w:val="20"/>
          <w:lang w:val="en-US" w:eastAsia="en-US" w:bidi="ar-SA"/>
        </w:rPr>
        <w:t>Gabor, 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Cheng, supra</w:t>
      </w:r>
      <w:r>
        <w:rPr>
          <w:rFonts w:ascii="arial" w:eastAsia="arial" w:hAnsi="arial" w:cs="arial"/>
          <w:color w:val="000000"/>
          <w:sz w:val="20"/>
          <w:lang w:val="en-US" w:eastAsia="en-US" w:bidi="ar-SA"/>
        </w:rPr>
        <w:t>, most closely approximate the injuries suffered by Ms. Fancello and her age at the time the injuries were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 am satisfied that the decisions relied upon by the Defendants are of limited applicability. In </w:t>
      </w:r>
      <w:r>
        <w:rPr>
          <w:rFonts w:ascii="arial" w:eastAsia="arial" w:hAnsi="arial" w:cs="arial"/>
          <w:i/>
          <w:color w:val="000000"/>
          <w:sz w:val="20"/>
          <w:lang w:val="en-US" w:eastAsia="en-US" w:bidi="ar-SA"/>
        </w:rPr>
        <w:t>Siddall, supra</w:t>
      </w:r>
      <w:r>
        <w:rPr>
          <w:rFonts w:ascii="arial" w:eastAsia="arial" w:hAnsi="arial" w:cs="arial"/>
          <w:color w:val="000000"/>
          <w:sz w:val="20"/>
          <w:lang w:val="en-US" w:eastAsia="en-US" w:bidi="ar-SA"/>
        </w:rPr>
        <w:t xml:space="preserve">, there was a finding that psychological issues being experienced would have been experienced regardless of the accident. I can not find that the pre-existing history of psychological issues as well as the presence of historical life stressors would have been experienced by Ms. Fancello regardless of the First and Second Accidents. In </w:t>
      </w:r>
      <w:r>
        <w:rPr>
          <w:rFonts w:ascii="arial" w:eastAsia="arial" w:hAnsi="arial" w:cs="arial"/>
          <w:i/>
          <w:color w:val="000000"/>
          <w:sz w:val="20"/>
          <w:lang w:val="en-US" w:eastAsia="en-US" w:bidi="ar-SA"/>
        </w:rPr>
        <w:t>Belos, supra</w:t>
      </w:r>
      <w:r>
        <w:rPr>
          <w:rFonts w:ascii="arial" w:eastAsia="arial" w:hAnsi="arial" w:cs="arial"/>
          <w:color w:val="000000"/>
          <w:sz w:val="20"/>
          <w:lang w:val="en-US" w:eastAsia="en-US" w:bidi="ar-SA"/>
        </w:rPr>
        <w:t xml:space="preserve">, the Court found that the plaintiff had suffered from the conditions complained of for six and a half years prior to the accident and that his condition was already chronic. Here, I can make no such finding. Although Ms. Fancello had complained about headaches previously, it is clear to me that the frequency and the severity of the headaches that she experienced as a result of the First and Second Accidents were caused by those Accidents and would not have occurred but for those Accidents. In </w:t>
      </w:r>
      <w:r>
        <w:rPr>
          <w:rFonts w:ascii="arial" w:eastAsia="arial" w:hAnsi="arial" w:cs="arial"/>
          <w:i/>
          <w:color w:val="000000"/>
          <w:sz w:val="20"/>
          <w:lang w:val="en-US" w:eastAsia="en-US" w:bidi="ar-SA"/>
        </w:rPr>
        <w:t>Barta, supra</w:t>
      </w:r>
      <w:r>
        <w:rPr>
          <w:rFonts w:ascii="arial" w:eastAsia="arial" w:hAnsi="arial" w:cs="arial"/>
          <w:color w:val="000000"/>
          <w:sz w:val="20"/>
          <w:lang w:val="en-US" w:eastAsia="en-US" w:bidi="ar-SA"/>
        </w:rPr>
        <w:t>, the Court accepted the expert evidence that the immediate and initial symptoms did not support true post-concussion syndrome. As well, there was a finding that the conditions of the plaintiff were attributable to other factors and not to the injuries suffered in the accident. I can make no such findings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Carreon-Rivera, supra</w:t>
      </w:r>
      <w:r>
        <w:rPr>
          <w:rFonts w:ascii="arial" w:eastAsia="arial" w:hAnsi="arial" w:cs="arial"/>
          <w:color w:val="000000"/>
          <w:sz w:val="20"/>
          <w:lang w:val="en-US" w:eastAsia="en-US" w:bidi="ar-SA"/>
        </w:rPr>
        <w:t>, the Court found that the prognosis of the plaintiff was still open to question as she had not had the opportunity to undergo a complete course of treatment for depression and pain management and that it would be inappropriate to conclude that the condition of the plaintiff would not have any further improvement so that her condition was likely "... to continue largely unchanged." Here, I cannot conclude that it is premature to conclude that the health and functions of Ms. Fancello will remain unchanged. Rather, I conclude that it is highly unlikely that there will be a substantial improvement even with the steps and treatment that have been recommended. Additionally, Ross J. was dealing with a 50-year-old plaintiff and the appropriate damages flowing from an accident whereas I must assess the damages available to Ms. Fancello who was 25 at the time of the First Accident and 29 at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Koltai, supra</w:t>
      </w:r>
      <w:r>
        <w:rPr>
          <w:rFonts w:ascii="arial" w:eastAsia="arial" w:hAnsi="arial" w:cs="arial"/>
          <w:color w:val="000000"/>
          <w:sz w:val="20"/>
          <w:lang w:val="en-US" w:eastAsia="en-US" w:bidi="ar-SA"/>
        </w:rPr>
        <w:t xml:space="preserve">, the Court found that the creditability of the plaintiff was significantly challenged and that his evidence regarding his injuries was not reliable. There was also a finding that the chronic headaches were not as severe as alleged and a finding that the plaintiff did not suffer from tinnitus. Here, I find Ms. Fancello to be a credible and straightforward witness and I cannot make the finding that she was not an honest historian or a malingerer. Finally, in </w:t>
      </w:r>
      <w:r>
        <w:rPr>
          <w:rFonts w:ascii="arial" w:eastAsia="arial" w:hAnsi="arial" w:cs="arial"/>
          <w:i/>
          <w:color w:val="000000"/>
          <w:sz w:val="20"/>
          <w:lang w:val="en-US" w:eastAsia="en-US" w:bidi="ar-SA"/>
        </w:rPr>
        <w:t>Gleizer, supra</w:t>
      </w:r>
      <w:r>
        <w:rPr>
          <w:rFonts w:ascii="arial" w:eastAsia="arial" w:hAnsi="arial" w:cs="arial"/>
          <w:color w:val="000000"/>
          <w:sz w:val="20"/>
          <w:lang w:val="en-US" w:eastAsia="en-US" w:bidi="ar-SA"/>
        </w:rPr>
        <w:t>, there was a finding that the physical and cognitive symptoms of the plaintiff had diminished gradually over time whereas I can make no similar finding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dealing with the appropriate award for non-pecuniary damages, I take into account the uncertainty about whether Ms. Fancello will quite smoking and, if she does not, the effect that will have on her ability to live for the number of years projected for women of a similar age. Between August of 2017 and January of 2018, the lung function of Ms. Fancello was diminishing. Her continued use of marijuana has been discouraged because of the genetic A1AD that runs in her family. While I find that her smoking of cigarettes has reduced, it has not ceased so that her longevity is not certain. I also take into account that some reduced longevity may be caused by the pain and suffering and the depression which are caused by the First and Second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Taking into account the factors set out in the Stapley,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am satisfied that an award for non-pecuniary damages should be set at $175,000 (inclusive of inflation). Ms. Fancello is young and will have to live with the consequences of the First and Second Accidents for the remainder of her life. The nature of her injuries has resulted in continuing pain and suffering. It is clear that her ability to work again in her chosen field does not exist. In fact, I find that she will not work again in any occupation which requires physical exertion. I find that her ability to function in every day life has been significantly impaired and that the mild traumatic brain and the soft tissue injuries that she suffered has produced long term consequences. I find that Ms. Fancello has lost the ability to partake in the recreational activities she once enjoyed and has lost her ability to work and support herself. Through independence, Ms. Fancello had led a life with success. Given her background, it is remarkable and admirable that she has fared as well as she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THERE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Defendants submit that, if Ms. Fancello had followed the reasonable recommendation to attend a concussion support group, she may well have found benefit and that she may have avoided the subsequent feeling of helplessness and the psychological decompensation. Under cross-examination at Trial, Ms. Fancello agreed that Dr. Khan had suggested that she attend a concussion support group and she confirmed that she did not: "I didn't feel that it would help. It wasn't medical - it wasn't any kind of medical attention. To my understanding it was like a support group. This is the furthest thing from my mind at that time. I just wanted my pain to be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Waspe made some early recommendations for Ms. Fancello to use online apps to assist her concentration and mentation. Ms. Fancello confirmed at Trial that she did not use the on line Apps (Elevate and Luminosity) recommended as she did not have an iPad to use at the time and she could not justify asking Mr. Randhawa to give her $1,000 so that she could purchase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Waspe also recommended that Ms. Fancello pursue volunteerism. The Defendants submit that this type of activity would be therapeutic for her varied psychological and somatic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Defendants also submit that the prescription medication intake of Ms. Fancello has been minimal and, while both Dr. Waspe and Dr. Khan prescribed antidepressants, Ms. Fancello chose not to fill the prescriptions and take antidepressants until December of 2017 or January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An injured party is required to take reasonable steps to mitigate their losses and damages. The onus is on the Defendants to show that Ms. Fancello failed to mitigate her damages by proving that Ms. Fancello could have avoided all or a portion of her loss. Where the allegation is that a plaintiff has not pursued a course of recommended medical treatment, Justice Low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made this statement on behalf of the Court so that a defendant must prove two things: "...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at para. 57". See also the decision of Justice Dillon in </w:t>
      </w:r>
      <w:r>
        <w:rPr>
          <w:rFonts w:ascii="arial" w:eastAsia="arial" w:hAnsi="arial" w:cs="arial"/>
          <w:i/>
          <w:color w:val="000000"/>
          <w:sz w:val="20"/>
          <w:lang w:val="en-US" w:eastAsia="en-US" w:bidi="ar-SA"/>
        </w:rPr>
        <w:t>Ranjbar v. Islamic Republic of Iran Shipping Lines</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2014 BCSC 1983</w:t>
        </w:r>
      </w:hyperlink>
      <w:r>
        <w:rPr>
          <w:rFonts w:ascii="arial" w:eastAsia="arial" w:hAnsi="arial" w:cs="arial"/>
          <w:color w:val="000000"/>
          <w:sz w:val="20"/>
          <w:lang w:val="en-US" w:eastAsia="en-US" w:bidi="ar-SA"/>
        </w:rPr>
        <w:t xml:space="preserve"> at para. 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Counsel for the Defendants submits that any award for non-pecuniary damages should be subject to a 15% reduction for the failure of Ms. Fancello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find that the Defendants have not met the burden of proving a failure to mitigate. The Defendants have not provided any evidence to support the proposition that attendance at a concussion support group and/or the use of online Apps would have reduced or eliminated the damages being suffered by Ms. Fancello as a result of the First and Second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As well, I take into account that Ms. Fancello was without income so that the purchase of an iPad was out of the question. Like the evidence that was available to the Court in </w:t>
      </w:r>
      <w:r>
        <w:rPr>
          <w:rFonts w:ascii="arial" w:eastAsia="arial" w:hAnsi="arial" w:cs="arial"/>
          <w:i/>
          <w:color w:val="000000"/>
          <w:sz w:val="20"/>
          <w:lang w:val="en-US" w:eastAsia="en-US" w:bidi="ar-SA"/>
        </w:rPr>
        <w:t>Qiao v. Buckley</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2008 BCSC 1782</w:t>
        </w:r>
      </w:hyperlink>
      <w:r>
        <w:rPr>
          <w:rFonts w:ascii="arial" w:eastAsia="arial" w:hAnsi="arial" w:cs="arial"/>
          <w:color w:val="000000"/>
          <w:sz w:val="20"/>
          <w:lang w:val="en-US" w:eastAsia="en-US" w:bidi="ar-SA"/>
        </w:rPr>
        <w:t xml:space="preserve">, I am satisfied that Ms. Fancello was precluded from using an iPad because the cost of an iPad was not available to her. I am satisfied that it is appropriate to consider the ability of Ms. Fancello to afford an iPad when assessing whether she acted reasonably in eschewing the recommended treatment: </w:t>
      </w:r>
      <w:r>
        <w:rPr>
          <w:rFonts w:ascii="arial" w:eastAsia="arial" w:hAnsi="arial" w:cs="arial"/>
          <w:i/>
          <w:color w:val="000000"/>
          <w:sz w:val="20"/>
          <w:lang w:val="en-US" w:eastAsia="en-US" w:bidi="ar-SA"/>
        </w:rPr>
        <w:t>MacKay v. Kirkpatrick</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[1997] B.C.J. No. 283</w:t>
        </w:r>
      </w:hyperlink>
      <w:r>
        <w:rPr>
          <w:rFonts w:ascii="arial" w:eastAsia="arial" w:hAnsi="arial" w:cs="arial"/>
          <w:color w:val="000000"/>
          <w:sz w:val="20"/>
          <w:lang w:val="en-US" w:eastAsia="en-US" w:bidi="ar-SA"/>
        </w:rPr>
        <w:t xml:space="preserve"> at para. 10 (S.C.); </w:t>
      </w:r>
      <w:r>
        <w:rPr>
          <w:rFonts w:ascii="arial" w:eastAsia="arial" w:hAnsi="arial" w:cs="arial"/>
          <w:i/>
          <w:color w:val="000000"/>
          <w:sz w:val="20"/>
          <w:lang w:val="en-US" w:eastAsia="en-US" w:bidi="ar-SA"/>
        </w:rPr>
        <w:t>O'Rourke v. Claire</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(1997) 32 B.C.L.R. (3d) 104</w:t>
        </w:r>
      </w:hyperlink>
      <w:r>
        <w:rPr>
          <w:rFonts w:ascii="arial" w:eastAsia="arial" w:hAnsi="arial" w:cs="arial"/>
          <w:color w:val="000000"/>
          <w:sz w:val="20"/>
          <w:lang w:val="en-US" w:eastAsia="en-US" w:bidi="ar-SA"/>
        </w:rPr>
        <w:t xml:space="preserve"> (S.C.) at para. 42; </w:t>
      </w:r>
      <w:r>
        <w:rPr>
          <w:rFonts w:ascii="arial" w:eastAsia="arial" w:hAnsi="arial" w:cs="arial"/>
          <w:i/>
          <w:color w:val="000000"/>
          <w:sz w:val="20"/>
          <w:lang w:val="en-US" w:eastAsia="en-US" w:bidi="ar-SA"/>
        </w:rPr>
        <w:t>Robbie v. King</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2003 BCSC 1553</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209-210; </w:t>
      </w:r>
      <w:r>
        <w:rPr>
          <w:rFonts w:ascii="arial" w:eastAsia="arial" w:hAnsi="arial" w:cs="arial"/>
          <w:i/>
          <w:color w:val="000000"/>
          <w:sz w:val="20"/>
          <w:lang w:val="en-US" w:eastAsia="en-US" w:bidi="ar-SA"/>
        </w:rPr>
        <w:t>Morgan v. Scott</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2012 BCSC 1237</w:t>
        </w:r>
      </w:hyperlink>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Brown v. Raffan</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2013 BCSC 114</w:t>
        </w:r>
      </w:hyperlink>
      <w:r>
        <w:rPr>
          <w:rFonts w:ascii="arial" w:eastAsia="arial" w:hAnsi="arial" w:cs="arial"/>
          <w:color w:val="000000"/>
          <w:sz w:val="20"/>
          <w:lang w:val="en-US" w:eastAsia="en-US" w:bidi="ar-SA"/>
        </w:rPr>
        <w:t xml:space="preserve"> at paras. 119-125; </w:t>
      </w:r>
      <w:r>
        <w:rPr>
          <w:rFonts w:ascii="arial" w:eastAsia="arial" w:hAnsi="arial" w:cs="arial"/>
          <w:i/>
          <w:color w:val="000000"/>
          <w:sz w:val="20"/>
          <w:lang w:val="en-US" w:eastAsia="en-US" w:bidi="ar-SA"/>
        </w:rPr>
        <w:t>Polovnikoff v. Banks</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2009 BCSC 750</w:t>
        </w:r>
      </w:hyperlink>
      <w:r>
        <w:rPr>
          <w:rFonts w:ascii="arial" w:eastAsia="arial" w:hAnsi="arial" w:cs="arial"/>
          <w:color w:val="000000"/>
          <w:sz w:val="20"/>
          <w:lang w:val="en-US" w:eastAsia="en-US" w:bidi="ar-SA"/>
        </w:rPr>
        <w:t xml:space="preserve"> at paras. 469-470; and </w:t>
      </w:r>
      <w:r>
        <w:rPr>
          <w:rFonts w:ascii="arial" w:eastAsia="arial" w:hAnsi="arial" w:cs="arial"/>
          <w:i/>
          <w:color w:val="000000"/>
          <w:sz w:val="20"/>
          <w:lang w:val="en-US" w:eastAsia="en-US" w:bidi="ar-SA"/>
        </w:rPr>
        <w:t>Renaerts v. Renaerts</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2015 BCSC 1028</w:t>
        </w:r>
      </w:hyperlink>
      <w:r>
        <w:rPr>
          <w:rFonts w:ascii="arial" w:eastAsia="arial" w:hAnsi="arial" w:cs="arial"/>
          <w:color w:val="000000"/>
          <w:sz w:val="20"/>
          <w:lang w:val="en-US" w:eastAsia="en-US" w:bidi="ar-SA"/>
        </w:rPr>
        <w:t xml:space="preserve"> at para. 247.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Robbie, supra</w:t>
      </w:r>
      <w:r>
        <w:rPr>
          <w:rFonts w:ascii="arial" w:eastAsia="arial" w:hAnsi="arial" w:cs="arial"/>
          <w:color w:val="000000"/>
          <w:sz w:val="20"/>
          <w:lang w:val="en-US" w:eastAsia="en-US" w:bidi="ar-SA"/>
        </w:rPr>
        <w:t>, Justice Ballance stated the following principle which I adopt: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to mitigate must be considered in the context of what is realistic and reasonable and respective of a particular individual and does not carry with it an obligation to seek out and borrow funds of another in order to engage in a particular therapeutic regime.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There is no evidence to support the proposition that the psychological problems of Ms. Fancello would have been lessened if antidepressants had been available to her as soon the use of antidepressants was recommended by Drs. Waspe and Khan.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Accordingly, I am satisfied that the Defendants have not proven that Ms. Fancello acted unreasonably or that her damages would have been reduced had she acted as they suggest.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From 2008 through to the First Accident, Ms. Fancello was employed by Steve Randhawa through his company S.R. Her income tax returns for the tax years 2008 through 2016 indicate the following:</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1" type="#_x0000_t75" style="width:432.06pt;height:186.03pt">
            <v:imagedata r:id="rId846"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Randhawa testified that Ms. Fancello was earning $23 per hour prior to the First Accident, that winter times were slower, but that business had started to increase after the Olympics so that he can now keep his employees and independent contractors busy throughout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Dividing the 2012 earnings of Ms. Fancello by the $23 per hour. Ms. Fancello worked approximately 1,373 hours or about 28.6 hours per week assuming 48 weeks worked each year. Ms. Fancello earned $14,423 in 2013 which works out to 627 hours at $23 per hour or approximately 32 hours per week up to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Fancello submits that the trend of increased hours per week supports her evidence and the evidence of Mr. Randhawa that business was picking up and that, absent the First Accident, she would have continued working more and more hours per week until she reached the level of working full-time and earning the $35 per hour that present employees of S.R. are being paid (at the date of the Trial). Ms. Fancello submits that, if she worked forty hours per week, 48 weeks per year, and earned $35 per hour, she would earn $67,200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Fancello also testified that she intended to work as an independent contractor by 2017. In this regard, Mr. Randhawa testified that he had workers who were earning in the neighbourhood of $100,000 per year as independent contractors and that Ms. Fancello was a better worker than these independent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Counsel for Ms. Fancello submits that the past loss of earning capacity totaling $303,000 (gross) be assessed as follows: (a) 2013 - $20,000 (for the remainder of the year); (b) 2014 - $40,000; (c) 2015 - $55,000; (d) 2016 - $70,000; (e) 2017 - $85,000; and (f) 2018 - $33,000 (being 1/3 of $100,000 up to April 30, 2018). Counsel for Ms. Fancello submits that a gross award of $300,000 for past capacity loss is appropriate. It is also submitted that I should make an award for past capacity loss on a gross basis and leave it to the parties to agree on the effect of taxes on that award with leave to make written submissions if the parties are not in a position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Consultants for the parties were retained in order to provide estimates of past loss of earning capacity.</w:t>
      </w:r>
      <w:r>
        <w:rPr>
          <w:rFonts w:ascii="arial" w:eastAsia="arial" w:hAnsi="arial" w:cs="arial"/>
          <w:sz w:val="20"/>
          <w:lang w:val="en-US" w:eastAsia="en-US" w:bidi="ar-SA"/>
        </w:rPr>
        <w:cr/>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Peta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Peta Consultants Ltd. ("PETA") was retained by counsel for Ms. Fancello to prepare an estimate of past loss of earning capacity. Because of the nature of her work and the fact that most workers in the industry are male, "male-based labour-market contingencies" were used in their calculations. The estimates of loss calculated by PETA were based on the following assumptions: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absence of the accidents and subject to the contingencies described, below, Ms. Fancello would have continued working with SR Caulking, or a similar employer, earning $22.00 per hour ($42,240 per year), from the first accident date to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Based on $22 per hour, 40 hours per week, 48 weeks per year and yearly income of $42,240 but prior to any Court ordered interest, the past loss of income capacity was calculated by PETA as being $174,421.</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Szekely of Columbia Pacific Consulting ("Columbia") was retained by counsel for the Defendants, Cupskey and Lyon, to comment on the PETA opinion. Columbia was of the view that the projected annual earnings of $42,240 did not accord with the taxable income for Ms. Fancello for the three years prior to the First Accident. Columbia was of the view that the average earnings of $36,783 would be a more realistic estimate of what would be available between the date of the First Accident and the date of the Trial. Taking that into account, Columbia was of the view that the past loss of earning capacity should be assessed at $147,589. The projection of yearly income for the years 2014 to the date of Trial was based on the assumption that the annual earnings of Ms. Fancello would have been in keeping with "...her historical average for 2010 to 2012, after adjusting for subsequent wage growth as measured by changes in British Columbia average weekly earnings."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Conclusion Regarding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A claim for what is often described as "past loss of income" is a claim for loss of earning capacity - a claim for the loss of the value of the work that Ms. Fancello would have performed but was unable to perform because of her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(2005) 39 B.C.L.R. (4th) 185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On behalf of the Court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(2004), 33 B.C.L.R. (4th) 76</w:t>
        </w:r>
      </w:hyperlink>
      <w:r>
        <w:rPr>
          <w:rFonts w:ascii="arial" w:eastAsia="arial" w:hAnsi="arial" w:cs="arial"/>
          <w:color w:val="000000"/>
          <w:sz w:val="20"/>
          <w:lang w:val="en-US" w:eastAsia="en-US" w:bidi="ar-SA"/>
        </w:rPr>
        <w:t xml:space="preserve"> (C.A.), Justice Rowles made this statement regarding past hypothetical events: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a number of decisions of this Court which accord with what was said by the Supreme Court of Canada concerning proof of future and hypothetical events. One of those cases is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[1990] 5 W.W.R. 365</w:t>
        </w:r>
      </w:hyperlink>
      <w:r>
        <w:rPr>
          <w:rFonts w:ascii="arial" w:eastAsia="arial" w:hAnsi="arial" w:cs="arial"/>
          <w:color w:val="000000"/>
          <w:sz w:val="20"/>
          <w:lang w:val="en-US" w:eastAsia="en-US" w:bidi="ar-SA"/>
        </w:rPr>
        <w:t xml:space="preserve">. In that case, Hutcheon J.A., for the majority, after making reference to a number of authorities including </w:t>
      </w:r>
      <w:r>
        <w:rPr>
          <w:rFonts w:ascii="arial" w:eastAsia="arial" w:hAnsi="arial" w:cs="arial"/>
          <w:i/>
          <w:color w:val="000000"/>
          <w:sz w:val="20"/>
          <w:lang w:val="en-US" w:eastAsia="en-US" w:bidi="ar-SA"/>
        </w:rPr>
        <w:t>Mallett v. McMonagle</w:t>
      </w:r>
      <w:r>
        <w:rPr>
          <w:rFonts w:ascii="arial" w:eastAsia="arial" w:hAnsi="arial" w:cs="arial"/>
          <w:color w:val="000000"/>
          <w:sz w:val="20"/>
          <w:lang w:val="en-US" w:eastAsia="en-US" w:bidi="ar-SA"/>
        </w:rPr>
        <w:t xml:space="preserve">,[[1970] A.C. 166];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w:t>
      </w:r>
      <w:hyperlink r:id="rId836"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Schrump v. Koot</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(1977), 18 O.R. (2d) 337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Kovats v. Ogilvie</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[1971] 1 W.W.R. 561</w:t>
        </w:r>
      </w:hyperlink>
      <w:r>
        <w:rPr>
          <w:rFonts w:ascii="arial" w:eastAsia="arial" w:hAnsi="arial" w:cs="arial"/>
          <w:color w:val="000000"/>
          <w:sz w:val="20"/>
          <w:lang w:val="en-US" w:eastAsia="en-US" w:bidi="ar-SA"/>
        </w:rPr>
        <w:t xml:space="preserve">, referred with approval to Smith and Bouck, </w:t>
      </w:r>
      <w:r>
        <w:rPr>
          <w:rFonts w:ascii="arial" w:eastAsia="arial" w:hAnsi="arial" w:cs="arial"/>
          <w:i/>
          <w:color w:val="000000"/>
          <w:sz w:val="20"/>
          <w:lang w:val="en-US" w:eastAsia="en-US" w:bidi="ar-SA"/>
        </w:rPr>
        <w:t>Civil Jury Instructions</w:t>
      </w:r>
      <w:r>
        <w:rPr>
          <w:rFonts w:ascii="arial" w:eastAsia="arial" w:hAnsi="arial" w:cs="arial"/>
          <w:color w:val="000000"/>
          <w:sz w:val="20"/>
          <w:lang w:val="en-US" w:eastAsia="en-US" w:bidi="ar-SA"/>
        </w:rPr>
        <w:t xml:space="preserve"> (1989) on the instructions to be given to a jury about the different standards of proof. The instruction, which is set out below, was said to be modelled on what was said by Lord Diplock in </w:t>
      </w:r>
      <w:r>
        <w:rPr>
          <w:rFonts w:ascii="arial" w:eastAsia="arial" w:hAnsi="arial" w:cs="arial"/>
          <w:i/>
          <w:color w:val="000000"/>
          <w:sz w:val="20"/>
          <w:lang w:val="en-US" w:eastAsia="en-US" w:bidi="ar-SA"/>
        </w:rPr>
        <w:t>Mallett v. McMonagle, supra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COMPARISON WITH STANDARD OF PROOF FOR ACTUAL EVENTS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deciding what actually happened in the past, you must weigh the evidence and reach conclusions on a balance of probabilities. Anything more probable than not you should treat as certain. When you are asked to determine (what might happen in the future/what would have happened in the past but for the (injury/ loss), you must use a different method of proof. First you must decide if the event (is/ was) a real possibility, you must then determine the actual likelihood of its occurring (at 138).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instruction accurately reflects the distinction made in the case authorities between proof of actual events and proof of future or hypothetical events.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28-29)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am satisfied that Ms. Fancello has proven on a balance of probabilities that she would have continued to be employed by S.R. or a similar employer but for the First Accident. Mr. Randhawa described Ms. Fancello as his best employee and that full-time work would have been available for her. On the balance of probabilities, I find that Ms. Fancello has proven that her injuries from the First and Second Accidents had a devastating effect on her earning capacity. I am satisfied that Ms. Fancello has proven on a balance of probabilities that her annual income should be calculated on the basis of 40 hours per week and 48 weeks per year. While I take into account the possibility that this amount of work would not be available to Ms. Fancello, I balance that off against the probability that her hourly wages would have increased above $22 or $23 per hour and would have approached the $35 per hour that is presently being paid by S.R. to comparable employees. I also balance that off against the possibility that Ms. Fancello might have become an independent contractor rather an employee and would have received income in excess of what would have been available to her if she had been an employee only. I am also satisfied that it is appropriate to have used "male-based labour market contingencies" as I am satisfied that her employment was in a male dominated labour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While Mr. Randhawa testified that comparable employees were now earning $35 per hour, the increases between paying $22 or $23 in 2013 and paying $35 at the time of the time of the Trial were not in evidence. While I find that Ms. Fancello has proven on a balance of probabilities that her loss of earning capacity is $174,421, I am satisfied that Ms. Fancello has not proven on a balance of probabilities that her past loss of earning capacities should be assessed at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Accordingly, prior to any Court ordered interest, I assess the past loss of earning capacity of Ms. Fancello as being $174,421. Ms. Fancello is only entitled to recover the net amount of his damages as per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Gordon v. Lines</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152-186. Accordingly, this is an assessment on a gross basis and does not reflect the effect of taxes. The parties are at liberty to make written submissions no later than October 18, 2019 if they are not in a position to agree on the effect that taxes will have on the award that I have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Did Ms. Fancello Mitigate her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Defendants submit that there has been a failure by Ms. Fancello to take reasonable steps to mitigate her losses relating to past loss of earning capacity as she did not made reasonable efforts to return to the work place. In this regard, the Defendants submit that Ms. Fancello should have taken steps to see whether she could work for Ms. Randhawa at her day spa or for a friend who was like a "big brother" to her. While Dr. Waspe recommended that Ms. Fancello become involved in volunteering so as to provide her with some "structure" to help her identify potential fields in which she could seek employment, Ms. Fancello made no such effort. The Defendants also submit that her efforts to return to work for S.R. were "very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onus is on the Defendants to show that Ms. Fancello failed to mitigate her damages as she acted unreasonably in not pursuing the possibilities available to her so that her past loss of earning capacity would have been reduced if she had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find that what Ms. Fancello did or did not do was reasonable in the circumstances. First, I agree with the conclusion reached by Carlin Vocational Services Inc. ("Carlin") that Ms. Fancello was not "competitively employable regardless of the nature or type of employment". Second, I am satisfied that her physical and psychological status is such that it is highly unlikely that she could have found a "passionate employer willing to make a accommodations for her". Third, Ms. Fancello did take reasonable steps to attempt to return to S.R. who I would describe as a compassionate employer but found that her limitations were such that a return to employment at S.R. was unrealistic. While the possibility of a desk position at S.R. was explored, I am satisfied that a desk position was not available at S.R. and, in any event, would not be available to Ms. Fancello at another employer because of her physical limitations and her lack of training and education. Fourth, volunteering would not have produced actual funds so as to reduce her 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find that the Defendants have not shown on a balance of probabilities that Ms. Fancello failed to take reasonable steps to mitigate her losses by returning 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LOSS OF EARNING CAPACITY</w:t>
      </w:r>
      <w:r>
        <w:rPr>
          <w:rFonts w:ascii="arial" w:eastAsia="arial" w:hAnsi="arial" w:cs="arial"/>
          <w:sz w:val="20"/>
          <w:lang w:val="en-US" w:eastAsia="en-US" w:bidi="ar-SA"/>
        </w:rPr>
        <w:cr/>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Vocational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At the request of counsel for Ms. Fancello, Carlin provided a February 5, 2018 vocational assessment. In the assessment, Ms. Fancello described her work as a "Commercial Caulker" with responsibilities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caulking electrical and plumbing penetrations through concrete in commercial buildings. She was required to carry ladders, a caulking gun, X-Acto knives, heaters and boxes of caulking (often up to 50 boxes of caulking per day). She typically performed her job while standing on a ladder wearing a safety vest and harness and carrying her caulking gun, tips, a heater and extra caulk. The height in which she worked varied depending on the building but could be 20-40 feet off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following assessments of the employability of Ms. Fancello in various occupations were made by Carlin:</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more probably than not the physical demands associated with work as a Commercial Caulker exceed Ms. Fancello's physical ability level. Working on a ladder using a caulking gun with associated tools and equipment would be poorly tolerated given her myofascial neck and upper back pain, arm pain, numbness and tingling and difficulties with dizziness and balance;</w:t>
      </w:r>
    </w:p>
    <w:p>
      <w:pPr>
        <w:numPr>
          <w:numId w:val="6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possibility of being a House Painter or as a Landscape Labourer. both of those occupations routinely involve lifting and carrying equipment weighing 20 kg or possibly more. ... She will not in a position to perform such physically demanding activities;</w:t>
      </w:r>
    </w:p>
    <w:p>
      <w:pPr>
        <w:numPr>
          <w:numId w:val="7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Ms. Fancello is not competitive for clerical and related occupations, business and finance positions, or ones in education or healthcare as she lacks the necessary education and skills. ...;</w:t>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Regarding occupations such as Retail Sales Clerk, Cashier, Fast Food Attendant, Security Guard, and Server, it is likely that Ms. Fancello would be a very unreliable employee as "... taking unscheduled absences, leaving work early and not meeting productivity standards is a formula for early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Based on the description of Ms. Fancello of the work that she undertook at S.R., Carlin used the "Firestopper Insulator" and "Construction Labourer" as the two job titles from the National Occupational Classification that best met the physical demands associated with the pre-accident occupation of Ms. Fancello. Carlin then reached the following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final analysis, I am of the opinion that more likely than not Ms. Fancello is not competitively employable regardless of the nature or type of employment. She may be able to work to a limited degree but will need a compassionate employer willing to make accommodations for scheduling times and hours of work and modifications for how job demands are accomplished given her chronic pain and cognitive difficulties with memory, concentration and processing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Carlin concluded that: "While she is not competitively employable in my opinion, she should still be given the opportunity for performing volunteer activities or developing limited opportunities for earning sporadic income." The recommendation of Carlin was that Ms. Fancello have additional counselling to explore possible options beyond her current view of the world of work and that, as part of that vocational counselling, up to $5,000 be made available to help Ms. Fancello acquire new skills at either a vocational or a vocational level, with his amount being approximately equal to one year of study at a community college. Carlin also recommended that, as part of the vocational counselling, the monies be put aside helping Ms. Fancello to acquire new computer skills, photography, graphic art, counselling or whatever arises out of the vocational counselling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At Trial, Mr. Carlin was cross-examined about his February 5, 2018 assessment. Despite extensive cross-examination, I am satisfied that the Carlin opinion is an accurate assessment of the employability of Ms. Fancello. I find that Ms. Fancello is "not competitively employable regardless of the nature or type of employment".</w:t>
      </w:r>
      <w:r>
        <w:rPr>
          <w:rFonts w:ascii="arial" w:eastAsia="arial" w:hAnsi="arial" w:cs="arial"/>
          <w:sz w:val="20"/>
          <w:lang w:val="en-US" w:eastAsia="en-US" w:bidi="ar-SA"/>
        </w:rPr>
        <w:cr/>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Peta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their February 13, 2018 opinion, PETA assumed that Ms. Fancello would have continued working with S.R. or a similar employer in the future earning either (i) $22 per hour ($42,240 per year); (ii) $30 per hour ($57,600 per year); or (iii) $35 per hour ($67,200 per year). They also assumed that her annual income would be calculated based on 40 hours per week and 48 weeks per year. A lump sum present value of future income was based on the assumption that the nominal rate of return on investment exceeds average wage inflation by 1.5% per year. The negative contingencies were based on broad statistical averages applicable to British Columbia individuals of the age and level of education of Ms. Fancello and used the derivation of the Economic Multipliers described as being similar to those derived pertaining to British Columbia males with less than a high school graduation. Male based labour market contingencies were used in their calculations. Also incorporated was a minimum non-participation contingency based on the incidents and duration of prolonged disability amongst Canadian females as published by the Canadian Life and Health Insurance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PETA calculated the future loss of earning capacity of Ms. Fancello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900"/>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Future Without Accident Income</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Assuming employment with SR Caulking, or a similar</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employer to retirement no later than age 65 years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Assuming earning $42,400/year ($22/hour)</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$929,299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Assuming earning $57,600/year ($30/hour)</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$1,265,849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Assuming earning $67,200/year ($35/hour)</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$1,467,471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Future Income Loss Multipliers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retirement no later than age 65 years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Actuarial</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$27,164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Economic</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$20,600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7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commenting on the February 13, 2018 opinion of PETA, Columbia reached the conclusions that the labour market data for males overstate the average labour market attachment of females, that the projections used by PETA do not allow for any chance of absences from the labour force by Ms. Fancello during the ages of 30s or 40s including the possibility of starting a family in her mid to late 30s, and that the annual earnings of $42,240, $57,600, and $67,200 do not take into account the taxable income of Ms. Fancello for the three years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Columbia was of the opinion that average earnings of $36,743 in 2018 was more realistic so that the annual future earnings loss would be either $676,860 (based on the income scenario of PETA of $43,556), or $486,216, based on the $31,288 average earnings for British Columbia females in unskilled occupations requiring up to medium strength.</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It is submitted on behalf of Ms. Fancello that $1,500,000 to $2,000,000 is a "fair assessment of her without accident earning potential considering all factors and the relevant labour market contingencies". Counsel further submits that, given the low level of education of Ms. Fancello and her issues with memory, concentration, and pain, it is unlikely she will be able to retrain to any significant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If earnings are assumed at $35 per hour and applying a 24.2% deduction for labour market contingencies, counsel for Ms. Fancello submits that the potential as set out in the PETA Report, the result to age 65 is $1,467,471. In summary, counsel for Ms. Fancello submits an award of $1,250,000 in future capacity loss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While submitting that it is highly unlikely that Ms. Fancello will be able to earn income so as to possibly offset her anticipated future loss of earning capacity, counsel for Ms. Fancello nevertheless made submissions in that regard. In dealing with a possible offset of potential future income against future loss of earning capacity and assuming that Ms. Fancello could find an accommodating employer and earn $15 per hour ($10,000 per year) which would equate to 666 hours per year or 14 hours per week and applying the labour market contingencies, the potential offset would be $155,400 applying a multiplier (10 x $15,540) or $206,000 applying a multiplier (10 x $20,600).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Defendants submit that, with appropriate treatment for her psychological conditions, Ms. Fancello should be able to return to productivity within the next several years and that, even at a minimum wage, Ms. Fancello should be able to mitigate her losses by generating income at $15 per hour and a yearly total of $30,000 for 2,000 hours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Counsel for the Defendants also submits that it is speculative to assume that Ms. Fancello would have gone on to earn $100,000 per year as a subcontractor to S.R. The Defendants submit that damages ought to be assessed on a "capital asset" approach rather than through the "earnings approach" and that a loss of capacity award of $150,000 is appropriate representing roughly five years of the pre-First Accident earnings of Ms. Fancello.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Conclusions Regarding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An award for future loss of earning capacity is based on the recognition that a plaintiff's capacity to earn income is an asset which has been taken away: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What is being compensated is not a loss of projected future earnings but the loss or impairment of earning capacity as a capital asset. However, projections from past earnings may be a useful factor to consider in valuing the loss but past earnings are not the only factor to consider: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My task is to assess the loss on a judgmental basis taking into consideration all of the relevant factors arising from the evidence.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Justice Finch (as he then was) stated that the factors might include the following:</w:t>
      </w:r>
      <w:r>
        <w:rPr>
          <w:rFonts w:ascii="arial" w:eastAsia="arial" w:hAnsi="arial" w:cs="arial"/>
          <w:sz w:val="20"/>
          <w:lang w:val="en-US" w:eastAsia="en-US" w:bidi="ar-SA"/>
        </w:rPr>
        <w:cr/>
      </w:r>
    </w:p>
    <w:p>
      <w:pPr>
        <w:numPr>
          <w:numId w:val="7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7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7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7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The standard of proof to be applied when evaluating hypothetical events that may effect an award is simple probability and not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Ms. Fancello must prove that there is a real and substantial possibility of a future event leading to a loss of earning capacity and, if that burden of proof is discharged, she may prove the quantification of that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Funk</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Golaiy</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The former approach will be more useful when the loss is more easily measurable, as it was in Steenblok.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Insurance Corp. of British Columbia</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 Justice Garson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supra</w:t>
      </w:r>
      <w:r>
        <w:rPr>
          <w:rFonts w:ascii="arial" w:eastAsia="arial" w:hAnsi="arial" w:cs="arial"/>
          <w:color w:val="000000"/>
          <w:sz w:val="20"/>
          <w:lang w:val="en-US" w:eastAsia="en-US" w:bidi="ar-SA"/>
        </w:rPr>
        <w:t>, Justice Garson dealt with the type of cases that lend themselves to either the "real possibility approach" or the "capital asset" approach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cases, </w:t>
      </w:r>
      <w:r>
        <w:rPr>
          <w:rFonts w:ascii="arial" w:eastAsia="arial" w:hAnsi="arial" w:cs="arial"/>
          <w:i/>
          <w:color w:val="000000"/>
          <w:sz w:val="20"/>
          <w:lang w:val="en-US" w:eastAsia="en-US" w:bidi="ar-SA"/>
        </w:rPr>
        <w:t>Steenblok, Brown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illustrate the two (both correct) approaches to the assessment of future loss of earning capacity. One is what was later called by Finch J.A. in Pallos the 'real possibility' approach. Such an approach may be appropriate where a demonstrated pecuniary loss is quantifiable in a measurable way; however, even where the loss is assessable in a measurable way (as it was in Steenblok), it remains a loss of capacity that is being compensated. The other approach is more appropriate where the loss, though proven, is not measurable in a pecuniary way. An obvious example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approach is a young person whose career path is uncertain.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Fremlin</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2014 BCCA 253</w:t>
        </w:r>
      </w:hyperlink>
      <w:r>
        <w:rPr>
          <w:rFonts w:ascii="arial" w:eastAsia="arial" w:hAnsi="arial" w:cs="arial"/>
          <w:color w:val="000000"/>
          <w:sz w:val="20"/>
          <w:lang w:val="en-US" w:eastAsia="en-US" w:bidi="ar-SA"/>
        </w:rPr>
        <w:t>, Justice Willcock, on behalf of the Court, stated that the "generally accepted approach to assessment of claims for loss of income earning capacity" can be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first, to set the parameters of the claim by referring to statistical evidence with respect to the class of individuals to which the plaintiff belongs, and then to adjust the resulting preliminary measure of damages to take into account contingencies that are particular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It is clear that using "female" statistics in determining earnings for female plaintiffs is not appropriate: </w:t>
      </w:r>
      <w:r>
        <w:rPr>
          <w:rFonts w:ascii="arial" w:eastAsia="arial" w:hAnsi="arial" w:cs="arial"/>
          <w:i/>
          <w:color w:val="000000"/>
          <w:sz w:val="20"/>
          <w:lang w:val="en-US" w:eastAsia="en-US" w:bidi="ar-SA"/>
        </w:rPr>
        <w:t>Terracciano (Guardian ad litem of) v. Etherridge</w:t>
      </w:r>
      <w:r>
        <w:rPr>
          <w:rFonts w:ascii="arial" w:eastAsia="arial" w:hAnsi="arial" w:cs="arial"/>
          <w:color w:val="000000"/>
          <w:sz w:val="20"/>
          <w:lang w:val="en-US" w:eastAsia="en-US" w:bidi="ar-SA"/>
        </w:rPr>
        <w:t xml:space="preserve">, [1997] W.W.R. 185 (B.C.S.C.); </w:t>
      </w:r>
      <w:r>
        <w:rPr>
          <w:rFonts w:ascii="arial" w:eastAsia="arial" w:hAnsi="arial" w:cs="arial"/>
          <w:i/>
          <w:color w:val="000000"/>
          <w:sz w:val="20"/>
          <w:lang w:val="en-US" w:eastAsia="en-US" w:bidi="ar-SA"/>
        </w:rPr>
        <w:t>Soligo v. Turner</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2001 BCSC 205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J.D. v. Chandra</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2014 BCSC 466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Crimeni v. Chandra</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2015 BCCA 131</w:t>
        </w:r>
      </w:hyperlink>
      <w:r>
        <w:rPr>
          <w:rFonts w:ascii="arial" w:eastAsia="arial" w:hAnsi="arial" w:cs="arial"/>
          <w:color w:val="000000"/>
          <w:sz w:val="20"/>
          <w:lang w:val="en-US" w:eastAsia="en-US" w:bidi="ar-SA"/>
        </w:rPr>
        <w:t>. In any event, I am satisfied that it would not be appropriate to use "female statistics" here as Ms. Fancello was employed in an occupation which is predominately male. I am satisfied that making deductions based on historical female labour market participation rates would result in a measurement and an adjustment reduction that is not supported by the evidence or by case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Contingencies may serve to increase or decrease damages that may be appropriate. In canvassing the law surrounding contingencies and the decision of the Supreme Court of Canada in </w:t>
      </w:r>
      <w:r>
        <w:rPr>
          <w:rFonts w:ascii="arial" w:eastAsia="arial" w:hAnsi="arial" w:cs="arial"/>
          <w:i/>
          <w:color w:val="000000"/>
          <w:sz w:val="20"/>
          <w:lang w:val="en-US" w:eastAsia="en-US" w:bidi="ar-SA"/>
        </w:rPr>
        <w:t>Andrews, supra</w:t>
      </w:r>
      <w:r>
        <w:rPr>
          <w:rFonts w:ascii="arial" w:eastAsia="arial" w:hAnsi="arial" w:cs="arial"/>
          <w:color w:val="000000"/>
          <w:sz w:val="20"/>
          <w:lang w:val="en-US" w:eastAsia="en-US" w:bidi="ar-SA"/>
        </w:rPr>
        <w:t xml:space="preserve">, Justice Doherty for the Court in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(O.N.C.A.) stated there can be two categories of contingencies: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cases, and those which have applied them, tell me that contingencies can be placed into two categories: general contingencies which as a matter of human experience are likely to be the common future of all of us, e.g., promotions or sickness; and "specific" contingencies, which are peculiar to a particular plaintiff, e.g., a particularly marketable skill or a poor work record. The former type of contingency is not readily susceptible to evidentiary proof and may be considered in the absence of such evidence. However, where a trial judge directs his or her mind to the existence of these general contingencies, the trial judge must remember that everyone's life has "ups" as well as "downs". A trial judge may, not must, adjust an award for future pecuniary loss to give effect to general contingencies, but where the adjustment is premised only on general contingencies, it should be modest.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plaintiff or defendant relies on a specific contingency, positive or negative, that party must be able to point to evidence which supports an allowance for that contingency. The evidence will not prove that the potential contingency will happen or that it would have happened had the tortious event not occurred, but the evidence must be capable of supporting the conclusion that the occurrence of the contingency is a realistic as opposed to a speculative possibility: </w:t>
      </w:r>
      <w:r>
        <w:rPr>
          <w:rFonts w:ascii="arial" w:eastAsia="arial" w:hAnsi="arial" w:cs="arial"/>
          <w:i/>
          <w:color w:val="000000"/>
          <w:sz w:val="20"/>
          <w:lang w:val="en-US" w:eastAsia="en-US" w:bidi="ar-SA"/>
        </w:rPr>
        <w:t>Schrump v. Koot, supra</w:t>
      </w:r>
      <w:r>
        <w:rPr>
          <w:rFonts w:ascii="arial" w:eastAsia="arial" w:hAnsi="arial" w:cs="arial"/>
          <w:color w:val="000000"/>
          <w:sz w:val="20"/>
          <w:lang w:val="en-US" w:eastAsia="en-US" w:bidi="ar-SA"/>
        </w:rPr>
        <w:t>, at p. 559.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46-47]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Meghji v. British Columbia (Ministry of Transportation and Highways)</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2014 BCCA 105</w:t>
        </w:r>
      </w:hyperlink>
      <w:r>
        <w:rPr>
          <w:rFonts w:ascii="arial" w:eastAsia="arial" w:hAnsi="arial" w:cs="arial"/>
          <w:color w:val="000000"/>
          <w:sz w:val="20"/>
          <w:lang w:val="en-US" w:eastAsia="en-US" w:bidi="ar-SA"/>
        </w:rPr>
        <w:t>, Justices Smith and Willcock stated on behalf of the Court that the labour market contingency had to be taken into account: "Having determined her realistic general income earning capacity, the trial judge ought to have made allowance for standard labor market contingencies, including layoffs, unemployment between jobs, disability, and part-time work." (at para.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Positive contingencies should also be taken into account: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where Justice Harris, on behalf of the Court, made this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on my review of the record, there is reason to conclude that Ms. Schenker would likely have outperformed these average statistics. Her intelligence is above average, but more importantly she has proven herself to be very hardworking, determined, and capable of pushing through pain. I think it reasonable to conclude she would likely have materially outperformed the average and accordingly, I would adjust her without-accident income upwardly by 10%. This results in a present value of future income of approximately $922,000.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calculating the future loss of earning capacity for Ms. Fancello, I am satisfied that the "real possibility" approach should be used. First, the income available to Ms. Fancello was set as a result of her career choice. Second, the wages that are available to a caulker are readily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dealing with the future loss of earning capacity of Ms. Fancello, I take into account a number of contingencies. Ms. Fancello has shown great strength in the past to overcome a most difficult family situation. I have no hesitation in coming to the conclusion that Ms. Fancello would have continued to excel in her work as caulker and that she would have continued to work until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am satisfied that it is not appropriate to accept the recommendation of Columbia that it is important to take into account the pre-First Accident earnings of Ms. Fancello in determining future income loss. First, her income was increasing rather than staying at the levels used in their calculations. Second, the evidence before me was that comparable workers were presently making $35 per hour and that 40 hours a week and 48 weeks a year of available work was present for workers at S.R. I also take into account the possibility that Ms. Fancello would have become an independent contractor who would have earned considerably more than a worker with S.R. or a comparable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contingencies which may have served to decrease her damages include the possibility that Ms. Fancello would have taken time off work to raise a family so that her income would have been reduced in whole or in part as a result. In this regard, Ms. Fancello testified that she had always wanted to have a family and that it was always her intention to take time off work in order to have two children. I also take into account that Ms. Fancello may not have quit smoking and this failure might have led to diminished capacity and/or an inability to work. Regarding her smoking, Ms. Fancello has reduced her smoking from two or three packages a day to a half or one package of cigarettes a day but she has been unsuccessful to date in quitting smoking despite all of the warnings she has received. Various medical advisors have been clear with Ms. Fancello regarding the dangers she faces if she continues to smoke but, despite that advice, she has relied upon her own willpower rather than programs or medications such as Champex and has not, as yet, stopped smoking. Ms. Fancello also continues to use marijuana despite the advice that its use may well also bring on catastrophic complications as a result of her A1AD genetic make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Ms. Fancello chose a career that has appealed to her and in which she performed very well what has been required of her. Her career path was settled and the potential income that could be earned from it was settled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Although I am satisfied that it is likely that 40 hours per week and 48 weeks per year would have been available to Ms. Fancello, I am also satisfied that it is appropriate to treat as realistic that any increase in wages of $35 per hour might well be set off against work availability of less than 40 hours per week and 48 weeks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am also satisfied that Ms. Fancello has proven that it is a real and substantial possibility that she is less capable overall from earning income from all types of employment, is less marketable or attractive as an employee to a potential employer and that she has lost the ability to take advantage of all job opportunities that might otherwise have been opened to her either at S.R. or with a comparable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Taking into account the standard labour market contingencies such as layoffs, unemployment, disability, and the availability of only part-time work, and the positive and negative contingencies noted above, I am satisfied that an award of $750,000 in future capacity loss is appropriate and I assess that amount as her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Regarding the possibility of Ms. Fancello earning some employment income in the future so as to offset the amount earned against the $750,000 awarded, I am satisfied that Ms. Fancello has shown that there is no real and substantial possibility that such income will be available. First, I accept the opinion that Ms. Fancello was not capable of earning funds from employment. Second, I am satisfied that her lack of education to date is not conducive to retraining. Third, I find that her physical and emotional state as a result of the First and Second Accidents is such that she is not "marketable or attractive" as an employee to potential employers and that she has lost all ability to take advantage of any job opportunities that might otherwise have been available to her. Accordingly, I make no deduction for the offsets suggested by her counsel or by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 reviewing the reports of the experts regarding the cost of future care and rehabilitation, it appears that those who provided reports have disagreements relating to frequency and duration of what has been recommended by the medical and other advisors for Ms. Fancello and relating to certain items recommended for Ms. Fancello.</w:t>
      </w:r>
      <w:r>
        <w:rPr>
          <w:rFonts w:ascii="arial" w:eastAsia="arial" w:hAnsi="arial" w:cs="arial"/>
          <w:sz w:val="20"/>
          <w:lang w:val="en-US" w:eastAsia="en-US" w:bidi="ar-SA"/>
        </w:rPr>
        <w:cr/>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Turning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At the request of counsel for Ms. Fancello, Ms. Tracy Witty of Turning Point Rehabilitation Consulting Inc. ("Turning Point") prepared a February 14, 2018 Cost of Future Care Report. At Trial, Ms. Witty was qualified to provide an expert opinion as an occupational therapist and life care provider planner.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After reviewing the list of recommendations that had been made by the various medical and other consultants, the following recommendations were made by Turning Point:</w:t>
      </w:r>
      <w:r>
        <w:rPr>
          <w:rFonts w:ascii="arial" w:eastAsia="arial" w:hAnsi="arial" w:cs="arial"/>
          <w:sz w:val="20"/>
          <w:lang w:val="en-US" w:eastAsia="en-US" w:bidi="ar-SA"/>
        </w:rPr>
        <w:cr/>
      </w:r>
    </w:p>
    <w:p>
      <w:pPr>
        <w:numPr>
          <w:numId w:val="8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 for case management purposes continuing for an average of four hours per month, on an ongoing basis;</w:t>
      </w:r>
    </w:p>
    <w:p>
      <w:pPr>
        <w:numPr>
          <w:numId w:val="8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course of Pilates and yoga instruction to determine if Ms. Fancello finds the therapeutic exercise helpful in managing her health condition with Pilates and/or yoga on a weekly basis;</w:t>
      </w:r>
    </w:p>
    <w:p>
      <w:pPr>
        <w:numPr>
          <w:numId w:val="8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Long term attendance with a psychologist with bi-weekly sessions for six months followed by monthly sessions for up to two years with a provision for long term support on at least two to six sessions per year to maintain her psychological functioning and prevent psychological decline including suicidal ideation;</w:t>
      </w:r>
    </w:p>
    <w:p>
      <w:pPr>
        <w:numPr>
          <w:numId w:val="8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rehabilitation to determine if able to work in any capacity and, if her condition stabilizes to the point she is able to consider participation and have occasional or vocational activity, a vocational assessment and counselling with a provision for 20 to 30 hours of vocational assistance throughout her life;</w:t>
      </w:r>
    </w:p>
    <w:p>
      <w:pPr>
        <w:numPr>
          <w:numId w:val="8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continuation with her usual medical care comfort measures and therapeutic exercise program at the pace outlined by Dr. Waspe with the following recommended: (i) Pain Management Program; (ii) physiatry with injection therapy; (iii) repeat nerve conduction studies, imagining of thoracic outlet; (iv) Botox trial and, if effective, every three months indefinitely; (v) if Botox does not provide relief, continue regular IMS; (vi) an independent program with an extended course of kinesiology prior to transitioning into an independent program: provision for twice per week for the six months prior to tapering over the following six months within an additional 18 sessions recommended for a total of 66 sessions in the first year; (vii) access to a pool or gym to participate in therapeutic exercises; (viii) massage therapy, chiropractic or physiotherapy in the short term with up to 12 sessions of massage therapy and 48 sessions of IMS with a physiotherapist; and (x) the medications as recommended by Drs. Stewart and Waspe including venlafaxine, diclofenac cream, nortriptyline, levocarnitor supplement, and neurovascular support with co-enzyme Q10, magnesium citrate, roboflavian and butterbur prophylaxis;</w:t>
      </w:r>
    </w:p>
    <w:p>
      <w:pPr>
        <w:numPr>
          <w:numId w:val="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Regular assistance for home making for an equivalence of seven hours per week representing three hours per week for assistance with cleaning and four hours per week for home making assistance to perform linen changes, laundry, grocery shopping, and advance meal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Ms. Fancello has children, that she receive additional assistance with home making for an additional five hours per week as well as six hours per week for her childcare in order that Ms. Fancello can access regular therapies and participation in exercise programs during the initial year of the child;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Vigorous smoking cessation program which would typically be funded by B.C. Medical Services Plan; and</w:t>
      </w:r>
    </w:p>
    <w:p>
      <w:pPr>
        <w:numPr>
          <w:numId w:val="8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heading "Potential Complications/ Considerations", Turning Point set out an estimated $2,678 to $4,042 for "Bronchodilator Therapy" and $89,942 for the procedure, and $11,424 to $21,144 for the followup for a "Lung transplant".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At Trial under cross-examination, Ms. Witty advised that she did not engage every testing in functional analysis because "Individuals with major depressive disorder have a hard time actually giving full effort due to the disability." Ms. Witty expressed the opinion that "my observation of her home and the tasks that she said she couldn't do were consistent with the medical opinions I reviewed and her performance in the home". Ms. Witty confirmed that she did not include the purchase of cleaning equipment as these would be ordinary purchases whether or not there had been an accident. She confirmed that occupational therapy was recommended for the lifetime of Ms. Fancello as "I just don't know when she would be able to reduce that level of support, based on the information I have at this time." It is a similar observation relating to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Turning Point then set out a detailed costing of what was recommended as well as which advisor made the recommendation. The total future care costs were summarized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9"/>
        <w:gridCol w:w="1255"/>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Botox Injection Fee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Botox Medication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Trazadone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Venlafaxine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Diclofenac Cream</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Nortriptyline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Smoking Cessation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Vocational Counselling/Education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Vocational Assessment and Counselling</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Retraining Skills Course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Projected Therapeutic Modalities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OT Services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Counselling</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 Therapy</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and IMS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Feldenkrais Physiotherapy</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Home Support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Homemaking</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Handyman Services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Lawn and Garden Care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Health Maintenance and Leisure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Kinesiology</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Yoga and Pilates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Pool Pass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$881,800</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Turning Point summary of the costing was set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52" type="#_x0000_t75" style="width:432.06pt;height:155.27pt">
            <v:imagedata r:id="rId861" o:title=""/>
          </v:shape>
        </w:pict>
      </w:r>
      <w:r>
        <w:rPr>
          <w:rFonts w:ascii="arial" w:eastAsia="arial" w:hAnsi="arial" w:cs="arial"/>
          <w:sz w:val="20"/>
          <w:lang w:val="en-US" w:eastAsia="en-US" w:bidi="ar-SA"/>
        </w:rPr>
        <w:t xml:space="preserve">  </w:t>
      </w:r>
    </w:p>
    <w:p>
      <w:pPr>
        <w:numPr>
          <w:numId w:val="8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In response to the Turning Point Report, Tania L.M. Percy of Progressive Rehab Orion Health ("Progressive"), prepared a March 27, 2018 "Cost of Future Care Responding Report". Regarding her Report, Ms. Percy stated "I have not had the opportunity to evaluate Ms. Fancello and base my opinions on a detailed review of the CFC Report, the medical reports, records and documents submitted for review...". Ms. Percy then set out the following "Discussion and Opinion" regarding the Turning Point Report:</w:t>
      </w:r>
      <w:r>
        <w:rPr>
          <w:rFonts w:ascii="arial" w:eastAsia="arial" w:hAnsi="arial" w:cs="arial"/>
          <w:sz w:val="20"/>
          <w:lang w:val="en-US" w:eastAsia="en-US" w:bidi="ar-SA"/>
        </w:rPr>
        <w:cr/>
      </w:r>
    </w:p>
    <w:p>
      <w:pPr>
        <w:numPr>
          <w:numId w:val="8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an evaluation or opinion regarding physical effort in conducting her investigation, Ms. Percy could not conclude that Ms. Fancello "...demonstrated performance represented her maximum or full tolerances." "..., Ms. Witty does not provide any opinion or analysis of Ms. Fancello's reliability of self-report regarding her pain or disability. She completes an assessment of her objective pain complaints and gathers subjective ratings of pain and disability on questionnaire but does not confirm whether Ms. Fancello's self-reports are consistent with, and supported by, her functional presentation."</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more thorough evaluation of home management was required..." "...Ms. Witty is required to rely on Ms. Fancello's self-reports, the reliability of which have not been established."</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Witty does not fully consider the range of expected outcomes and therefore the range of costs or service that would apply. In essence, it is my opinion that Ms. Witty provided recommendations...but did not address service recommendations...to reflect expected outcomes with further intervention."</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Ms. Fancello by Ms. Witty occurred on September 12, 2017 but her report was not made until February 14, 2018 and there was no indication that Ms. Witty had any follow up with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Regarding what was recommended by Ms. Witty and Turning Point, Ms. Percy did not agree with funding for a Nicotine Replacement Therapy or medications for smoking cessation as she was of the opinion that "... there is no cost for smoking cessation programs in B.C.". Regarding any cost relating to treatments and procedures relating to the smoking of Ms. Fancello, Ms. Percy did not agree that private costs should be incurred as Ms. Fancello would "... have had potential risks as a result of smoking before the MVA that may have led to the need for these treatments/procedures in any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Ms. Percy had a number of disagreements regarding what had been recommended by Turning Point. Those disagreements regarding frequency and duration and her alternate amounts were set out as follows: (a) the Vocational Counselling Support Plan ($2,400); (b) the occupational therapy program annual budget ($1,854 - $3,538); (c) future needs for an occupational therapy program ($1,854 on average every five years); (d) psychology recommendations ($4,660 - $5,400 in the initial period and $2,400 - $3,000 three times to account for episodic future needs); (e) massage therapy ($0 - $1,140 per annum); (f) botox ($3,120 for two years followed by $1,690 per year thereafter); (f) kinesiology (24 to 48 sessions with a $1,344 - $4,320 budget); (g) homemaking support (two hours per week to bi-weekly with a budget of $1,404 - $3,068 plus GST); (h) child support care (an average of four hours of child care per week in the first year (at $13 - $15 per hour); (i) pilates and yoga (introduction to mat pilates of $260 and three months of yoga or tai chi of $90 - $120); (j) medication and supplements ($376.63 - $424.50 yearly); (k) occupational therapy (12 to 24 hours per year for two years with an annual budget of $1,854 - $3,538); and (l) psychological sessions ($4,600 - $5,400 initially and then $2,400 - $3,000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As Ms. Percy was of the view that Ms. Witty did not fully assess the housekeeping capacity of Ms. Fancello, a budget of only $2,808 to $3,068 plus GST was recommended by Ms. Percy. If Ms. Fancello has children, Ms. Percy was of the view that, if Ms. Fancello makes modest gains in terms of her headaches and associated physical capacity, she would recommend an average of four hours per week at a rate of $13 to $15 per hour or a budget of $4,056 to $4,680 one or two times for child care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Ms. Percy was of the view that there was uncertainty as to whether there would be a need for home maintenance and lawn and garden care and accordingly, she was of the opinion that no amount should be awarded for that potential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Under cross-examination at Trial, Ms. Percy confirmed that she excluded from her recommendations anything that had not been recommended by a doctor or other expert but that she included matters that should be added even if they were not previously recommended.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Conclusions Regarding Future Care and Rehabilitation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The purpose of an award for cost of future care was summarized in this statement by Justice Bennett in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award for costs of future care is to restore, as best as possible with a monetary award, the injured person to the position he would have been in had the accident not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award is "based on what is reasonably necessary on the medical evidence to promote the mental and physical health of the plaintiff": (Milina v. Bartsch </w:t>
      </w:r>
      <w:hyperlink r:id="rId86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and adopted in Aberdeen v. Zanatta, </w:t>
      </w:r>
      <w:hyperlink r:id="rId864"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29 and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Justice McLachlin (as she then was), stated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what has frequently been cited as the cost of future care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must be medical justification or vindication of the award for cost of future care. [at para. 193]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heading of cost of future care...is an objective one based on medical evidence. [at para. 198]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award for costs of care should reflect what the evidence establishes is reasonably necessary to preserved the plaintiff's health. [at para. 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standard of proof to establish a claim for future cost of care is the same as for any future pecuniary loss--"simple probability". All that has to be established is a real and substantial "risk" of pecuniary loss. It is not necessary for the plaintiff to prove on a balance of probabilities that a future pecuniary loss will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.(1996), </w:t>
      </w:r>
      <w:hyperlink r:id="rId865" w:history="1">
        <w:r>
          <w:rPr>
            <w:rFonts w:ascii="arial" w:eastAsia="arial" w:hAnsi="arial" w:cs="arial"/>
            <w:i/>
            <w:color w:val="0077CC"/>
            <w:sz w:val="20"/>
            <w:u w:val="single"/>
            <w:shd w:val="clear" w:color="auto" w:fill="FFFFFF"/>
            <w:lang w:val="en-US" w:eastAsia="en-US" w:bidi="ar-SA"/>
          </w:rPr>
          <w:t>133 D.L.R. (4th) 377</w:t>
        </w:r>
      </w:hyperlink>
      <w:r>
        <w:rPr>
          <w:rFonts w:ascii="arial" w:eastAsia="arial" w:hAnsi="arial" w:cs="arial"/>
          <w:color w:val="000000"/>
          <w:sz w:val="20"/>
          <w:lang w:val="en-US" w:eastAsia="en-US" w:bidi="ar-SA"/>
        </w:rPr>
        <w:t xml:space="preserve"> (B.C.S.C.), the future cost of care assessment had been provided by a rehabilitation expert with a background in nursing. The defence argued that what was required was that a medical doctor provide the evidence. Justice Levine (as she then was) rejected the argument,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she enunciated does not, in my view, require that the evidence of the specific care that is required by the plaintiff be provided by a medical doctor.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McLachlin J. accepted the evidence of a rehabilitation expert as to the type of care that should be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analysis of how to "best compensate the plaintiff" requires an appreciation of the nature of the deficits caused by the injuries so that the cost of replacing what has been lost can be properly translated into an award of damages for future cost of care. The first step in the assessment of damages for cost of future care is to determine what abilities or functions have been affected or lost. The second step is to quantify the cost of replacing what has been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Although an award for cost of future care is capable of more precise calculation than a capital loss relating to earning capacity, it is still largely a matter of assessment based on a real and substantial possibility of loss and the interventions and treatment that may be deemed appropriate as at the date of Trial may inevitably change over time with some treatments likely to be interrupted or discontinued at various times but additional needs perhaps arising in the future: </w:t>
      </w:r>
      <w:r>
        <w:rPr>
          <w:rFonts w:ascii="arial" w:eastAsia="arial" w:hAnsi="arial" w:cs="arial"/>
          <w:i/>
          <w:color w:val="000000"/>
          <w:sz w:val="20"/>
          <w:lang w:val="en-US" w:eastAsia="en-US" w:bidi="ar-SA"/>
        </w:rPr>
        <w:t>Cekhon v. Gill</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2019 BCSC 811</w:t>
        </w:r>
      </w:hyperlink>
      <w:r>
        <w:rPr>
          <w:rFonts w:ascii="arial" w:eastAsia="arial" w:hAnsi="arial" w:cs="arial"/>
          <w:color w:val="000000"/>
          <w:sz w:val="20"/>
          <w:lang w:val="en-US" w:eastAsia="en-US" w:bidi="ar-SA"/>
        </w:rPr>
        <w:t xml:space="preserve">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Counsel for the Defendants submit that, where injuries are non-catastrophic, the cost of future care should be limited to the cost of extra assistance and facilities a plaintiff will reasonably require as opposed to a total lifestyle approach: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867"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which cited with approval the decision in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xml:space="preserve"> where Justice Johnston made this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Claims for damages for cost of future care have grown exponentially following the decisions of the Supreme Court of Canada in the trilogy of decisions usually cited under Andrews v. Grand &amp; Toy, Alberta Ltd., </w:t>
      </w:r>
      <w:hyperlink r:id="rId85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[1978] 1 W.W.R. 577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such claims are no longer confined to catastrophic injury cases, it is useful from time to time to remind oneself that damages for future care grew out of catastrophic injuries and were intended to ensure, so far as possible, that a catastrophically injured plaintiff could live as complete and independent a life as was reasonably attainable through an award of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worth mentioning because the passage of time has led to claims for items such as, in this case, the present value of the future cost of a long-handed duster, long-handed scrubber, and replacement heads for the scrubber, in cases where injuries are nowhere near catastrophic in nature or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109-111]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Counsel for the Defendants submit that Ms. Fancello has not suffered catastrophic injuries and that she retains a considerable level of function as evidenced by her presentation in Court, in the surveillance video entered into evidence, and her own description of the activities she undertook regularly after the First and Second Accidents, (such as driving, running errands, socializing and traveling). Counsel for the Defendants submits that there is not a real and substantial possibility that Ms. Fancello will require or avail herself of all of the recommended future care items for the recommended durations.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 find that the activity restrictions relating to mobility, homemaking, work, interpersonal relationships, and leisure activities is as set out in what Ms. Fancello reported to Turning Point as set out in the February 14, 2018 Cost of Future Care Report: (a) "Difficulty with static postures or repetitive movements"; (b) "Showering or head movements with hair styling trigger dizziness"; (c) "Cautious getting in/out of deep soaker tub due to sense of imbalance"; (d) "Wall cleaning, mopping, sweeping, vacuuming and folding laundry worsen symptoms and her landlord has been hiring help"; (e) "Restricted in performing heavier lifting or carrying of groceries or storage bins due to pain"; (f) "Unable to participate in home maintenance tasks requiring sustained overhead arm posture or heavier lifting e.g. installation of light fixture, small repairs or moving of household items, e.g. rugs or storage bins"; and (g) "Ms. Fancello had not made an attempt to return to work as a fire stopper and sound proofer. She noted that she has only performed physical labour-type jobs and that she has little experience of office work and a Grade 11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 am satisfied that I should prefer the opinion of Ms. Witty who had the opportunity of observing Ms. Fancello and who called upon her experience and expertise to set out what I am satisfied is a real and substantial possibility of the assistance Ms. Fancello will require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Subject to two exceptions, I am satisfied that the support she recommends should be adopted with the frequency recommended. The first exception involves a program to assist Ms. Fancello in quitting smoking. Based on her reluctance to adopt a program and/or prescription assistance and based on there being no cost for smoking cessation programs in British Columbia, I cannot find that there is a reasonable and substantial possibility that a smoking cessation program will be required in the future. In this regard, I am also satisfied that any expense that Ms. Fancello would incur in this regard would have been incurred whether or not the two Accidents had occurred. Regarding the provisions for lawn and garden care, I am also unable to find that there is a reasonable and substantial possibility of that care being needed in the future. First, the present arrangement with Mr. and Ms. Randhawa is perhaps unique and not likely to be required in the future. Second, it would only be available if a similar unique rental situation arose. Third, it assumes that any housing eventually owned by Ms. Fancello will carry with it the need for lawn and garden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Regarding the comments of Ms. Percy that there was an absence of opinion regarding the physical effort shown by Ms. Fancello during the investigation of Turning Point, I am satisfied that this alleged deficiency is without merit. First, as a professional, I am satisfied that Ms. Witty would have commented on performance deficiencies if she had observed them. Second, none of the other specialists who have examined Ms. Fancello have noted that she was anything other than a good historian who was diligent in putting forward her full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PRESENT VALUE OF THE COST OF FUTURE CARE NEEDS AND REHABILITATION</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Peta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In a February 15, 2018 report, for counsel for Ms. Fancello, Darren Benning of PETA set out a "lump sum present value" based on the Report of Turning Point Report with only a contingency respecting "premature death" taken into account and with survival rates computed from "2012-2014 Life Tables for BC Females, published by Statistics Canada". Pursuant to the </w:t>
      </w:r>
      <w:r>
        <w:rPr>
          <w:rFonts w:ascii="arial" w:eastAsia="arial" w:hAnsi="arial" w:cs="arial"/>
          <w:i/>
          <w:color w:val="000000"/>
          <w:sz w:val="20"/>
          <w:lang w:val="en-US" w:eastAsia="en-US" w:bidi="ar-SA"/>
        </w:rPr>
        <w:t>Law &amp;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PETA employed 2% per annum representing the difference between the rate of return on investment and average price inflation using those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Using those assumptions, the result was a cumulative lifetime multiplier of $33,243. The calculations of PETA assumed a "normal life expectancy". For the purposes of the Report, the annual cost for home support was reduced by 20% per year after Ms. Fancello reached the age of 75 years. PETA also assumed that Ms. Fancello would require Homemaking and Childcare Support at ages 35 and 37 following the birth of two children. PETA also assumed Ms. Fancello would start incurring the costs relating to Home Maintenance and Lawn Garden Care in the second future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lump sum present value of future cost of care expenses for Ms. Fancello was estimated by PETA as $1,053,590 excluding costs associated with the potential complications/considerations described by Turning Point and $1,153,466 including costs associated with potential complications/considerations described by Turning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At Trial under cross-examination, Mr. Benning of PETA confirmed that his calculations did not account for an early death but that the various tables in his report could be used to calculate the cost of care if an early death occurred.</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In a March 21, 2018 opinion from Columbia to counsel for the Defendants Cupskey, Mark Szekely of Columbia, commented on the February 15, 2018 PETA Report. Rather than assuming that Ms. Fancello would face mortality rates equal to the average for British Columbia females of her age, Mr. Szekely assumed that Ms. Fancello would face mortality risk of 4.3 times the average for British Columbia females so that his calculations assumed life expectancy to 71.1 years. Columbia calculated that, for $1,000 of annual ongoing costs from the Trial date to the end of life would have a present value of $27,668 rather than $33,243.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At Trial, Mr. Szekely was qualified as an expert to provide an opinion as an economist. Regarding the cost of future care, Mr. Szekely assumed the costs that were set out in the Progressive Report. Under cross-examination at Trial, Mr. Szekely confirmed that his tables were fairly similar to what had been used by Mr. Benning except that they had been adjusted by him to deal with the mortality figures that had been provided by Dr. Elliott. He also confirmed that he had used an economic multiplier applicable for females with high school diplomas even though he recognized that Ms. Fancello had not been a high school graduate. He confirmed that, if the mortality factors used by Dr. Elliott were in place, there would be a 16.8% difference between his lifetime multiplier and the lifetime multiplier used in the PETA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REGARDING THE COST OF FUTURE CARE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present value of Ms. Percy's recommendations using Mr. Szekely's multiplier produces a total care expense of $302,958. Counsel for Ms. Fancello submits this should be the absolute minimum amount for future care that should be awarded. However, counsel submits that the formulation of the future care claim is reasonable and the claim of Ms. Fancello should be for the amounts set out in the Report of Ms. Witty.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Recognizing the contingencies and uncertainties involved in the assessment of future care needs over the projected life of Ms. Fancello, counsel for Ms. Fancello submits that an award of $881,800 is an appropriate assessment of the future care and rehabilitation costs of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Defendants rely on the Progressive Reports to submit that the costs of the recommendations made by Drs. Babbage, Cohen, Rathbone, Salvian, and Stewart using the multiplier of Mr. Szekely is $302,950 or is $140,879 based on the opinions of Drs. Hirsch and Babbage and using the multiplier recommended by Mr. Szekely. In these regards, the Defendants submit that I should approach the subjective reports relied upon by the various medical advisors with caution. Counsel for the Defendants concludes with this submission: "In light of all the facts in this case and the negative and positive contingencies that may apply, the defendants submit that an appropriate award for future cost of care expenses is on a lump sum basis: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In calculating the current value of the future care costs, I have started by removing the estimated cost of Smoking Secession ($1,000) and the cost of Lawn and Garden Care ($29,000). I have also taken into account the life expectancy of Ms. Fancello if she does not quit smoking so that her life expectancy is reduced because of the genetic A1AD so that her cost of care expenses caused by the two Accidents are diminished or come to an end. I also take into account the desire of Ms. Fancello to have two children and the effect that will have on the cost of support services. Taking into account, the reduced cost per year and the reduced non-recurring costs as set out in the Turning Point Report, I assess the current value of the future cost of care at $650,000.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Ms. Fancello advances an "in trust" claim relating to Mr. and Ms. Randhawa. They gave evidence about the significant assistance that they have provided to Ms. Fancello over the past 5 years. I find that they regularly cooked for her, did her laundry and grocery shopping, took over responsibility for the yard care that was her responsibility as a renter of their basement suite, have not charged Ms. Fancello the rent they were previously charging, and have provided Ms. Fancello with living expenses. Ms. Randhawa would cook large meals in batches and make a portion available to Ms. Fancello. Ms. Randhawa would do the laundry of Ms. Fancello when she was doing her own laundry. Ms. Randhawa did some cleaning of the basement suite occupied by Ms. Fancello and would pay the bills of Ms. Fancello as part of her own paperwork responsibilities. Mr. or Ms. Randhawa would buy Ms. Fancello groceries when they purchased their own groceries when and make groceries available for her for free. Ms. Randhawa came to the assistance of Ms. Fancello when she was experiencing severe headaches. Ms. Fancello has use of a vehicle owned by the Randhawas.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Randhawas have done all of this out of kindness. They have treated her like family and not as a tenant. It must be remembered that Ms. Fancello and the Randhawas are not related. Prior to the First Accident, Ms. Fancello was employed by the company of Mr. Randhawa. Prior to when Mr. and Ms. Randhawa married, Ms. Fancello was a girlfriend of Mr. Randhawa for a short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The Defendants rely on the decision in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at para. 29 citing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(C.A.) in support of the principles that the Court should take into account before making such awards in order to avoid unleashing "a flood of excessive claims". In </w:t>
      </w:r>
      <w:r>
        <w:rPr>
          <w:rFonts w:ascii="arial" w:eastAsia="arial" w:hAnsi="arial" w:cs="arial"/>
          <w:i/>
          <w:color w:val="000000"/>
          <w:sz w:val="20"/>
          <w:lang w:val="en-US" w:eastAsia="en-US" w:bidi="ar-SA"/>
        </w:rPr>
        <w:t>Dykeman, supra</w:t>
      </w:r>
      <w:r>
        <w:rPr>
          <w:rFonts w:ascii="arial" w:eastAsia="arial" w:hAnsi="arial" w:cs="arial"/>
          <w:color w:val="000000"/>
          <w:sz w:val="20"/>
          <w:lang w:val="en-US" w:eastAsia="en-US" w:bidi="ar-SA"/>
        </w:rPr>
        <w:t>, Justice Newberry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claims for gratuitous services must be carefully scrutinized, both with respect to the nature of the services - were they simply part of the usual "give and take" between family members, or did they go "above and beyond" that level? - and with respect to causation - were the services necessitated by the plaintiff's injuries or would they have been provided in any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What is provided to Ms. Fancello by Mr. and Ms. Randhawa cannot be described as being within the rubric of the natural give and take between family members or between good friends. I find that the services and assistance provided to Ms. Fancello were necessitated by the injuries suffered by Ms. Fancello in the First and Second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Although there is evidence that Mr. Randhawa provided some financial assistance to Ms. Fancello before the First Accident, it is clear that the ability of Ms. Fancello to live independently in the basement suite of the home of the Randhawas can only be accomplished if gratuitous support is available. In this regard, Mr. Randhawa testified that he could not force Ms. Fancello to live on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 find that Ms. Fancello has been significantly disabled by the First and Second Accidents such that, from time to time and consistently, gratuitous services and support from the Randhawas have been required. I also find that they have gratuitously provided funds to Ms. Fancello in addition to providing her with free rent for the basement suite she occupies, that Mr. Randhawa purchased a new cell phone for Ms. Fancello because her cell phone broke, and that he pays for her phone plan. I also find that Mr. Randhawa pays the Visa account of Ms. Fancello directly. I find that Mr. and Ms. Randhawa both spend several hours a week with Ms. Fancello and that Mr. Randhawa spends a further one or two days on average each week each year to do the yard work that ordinarily Ms. Fancello should be doing. I find that Mr. and Ms. Randhawa have spent on average four hours a week providing services and assistance for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O'Connell (Litigation Guardian of) v. Yung</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$150,000 was awarded for providing six hours per day of assistance. The Court of Appeal upheld that award. Counsel for Ms. Fancello claims $100,000 in trust for the Randhawas whereas the Defendants submit that any award should be no more than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assess the in trust claim at $75,000. I am satisfied that this sum represents the services and assistance provided for Ms. Fancello which I find to be directly related to the injuries caused by the First and Second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Ms. Fancello claims $12,427.81 in special damages made up as follows: (a) Physiotherapy - $1,668.80; (b) Kinesiology - $1,127.62; (c) Occupational therapy - $4,082.05; (d) Psychologist - $820; (e) Prescriptions including vitamins - $1,360.72; (f) Miscellaneous expenses - $1,086.02; and (g) Mileage (to including physiotherapy, rehabilitation sessions, and psychology sessions) - $2,282.60.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Defendants take issue with the sum for physiotherapy being claimed and want a deduction pursuant to s. 83 of the Insurance Vehicle Act before the conclusion of the Trial. Commonly, those deductions are made posttrial. In this regard, they also note that the amount claimed by Ms. Fancello is $58.50 for each physiotherapy session whereas the actual user fee paid by her for each of these appointments was $35. Ms. Fancello concedes there will be a $188.80 deduction at some point. I agree with the position of Ms. Fancello that this deduction need not be made at this point. When the deduction is taken, the amount of $468.80 should be reduced by $188.80 so that only $280 is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Defendants also take issue with the $207 cost because Ms. Fancello cancelled a kinesiology visit without notice. Ms. Fancello submits that she should be reimbursed for this cost. I am satisfied that missing appointments is a feature of her injury due to memory problems and oversleeping when she takes medication for headaches. In this regard, Ms. Fancello testified about setting multiple alarms on her phone because she was missing appointments. I am satisfied that the Defendants are not entitled to this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Defendants also take issue with the adequacy of the accounts and the payment of some of the accounts presented to her. In dealing with the Turning Point amounts, the Defendants note that statements seem "incorrect" as "Multiplying the times by the hourly rates set out in the statements produces different results..." While I have not attempted to ascertain the difference, I am satisfied that this submission by the Defendants is meritorious. If the parties cannot agree as to the appropriate correction so that the special damages of Ms. Fancello should be reduced accordingly, the parties will be at liberty to make written submissions to me to be received no later than October 18,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Defendants also take issue with the amounts paid to various pharmacies indicating that the cost of medications was partially paid by insurance and that Ms. Fancello should only be reimbursed for the amounts that were paid by her. I am satisfied that this is correct. Accordingly, the amount for various pharmacies claimed of $1,249.22 is reduced to $436.74.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Defendants take issue with the cost of a stay at a hotel room after the January 13, 2018 Examination for Discovery of Ms. Fancello. Ms. Fancello testified that she needed to stay at a hotel in Vancouver overnight as she did not have her medication with her and could not drive. I am satisfied that this is a legitimate expense and an appropriate expense to be included in the special damages available to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 allow the special damages of Ms. Fancello at $11,615.33 being the $12,427.81 claimed less $812.48 deduction made regarding pharmaceutical expenses. The amount for special damages will be further reduced by further adjustments required by the inaccuracy of the Turning Point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PUNITIVE DAMAGES: ACTIONS OF MR. CUPSKEY ON MAY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Second Amended Notice of Civil Claim sets out the following: "Further, the conduct of the defendant, K. CUPSKEY, for failing to remain at the scene of the Collision and for ingesting alcohol just prior to the Collision which was willful, reckless and high-handed and deserving of rebuke in the form of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Punitive damages are awarded only under rare and exceptional circumstances in order to punish a party or to set an example that will deter others. The type of conduct required to found a claim for punitive damages is that there have been high-handed, malicious, arbitrary, or highly reprehensible misconduct that departs to a marked degree from ordinary standards of decent behavior and conduct which is "outrageous or reprehensible and offensive to ordinary standards of decent conduct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On behalf of Ms. Fancello, it is submitted that the actions of Mr. Cupskey prior to and at the First Accident scene were reprehensible and that punitive damages should follow. The evidence shows that Mr. Cupskey was drinking alcohol in the morning before the First Accident, that he immediately fled the scene of the First Accident in what is alleged by counsel for Ms. Fancello to be an attempt to avoid the consequences of "drinking and driving", and that he went back to his friend's house and drank beer in order to "...try and avail himself of a technical "Impaired Driving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Relying on the decisions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S.C.J. No. 19</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Howell v. Machi</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2017 BCSC 1806</w:t>
        </w:r>
      </w:hyperlink>
      <w:r>
        <w:rPr>
          <w:rFonts w:ascii="arial" w:eastAsia="arial" w:hAnsi="arial" w:cs="arial"/>
          <w:color w:val="000000"/>
          <w:sz w:val="20"/>
          <w:lang w:val="en-US" w:eastAsia="en-US" w:bidi="ar-SA"/>
        </w:rPr>
        <w:t>, it is submitted on behalf of Ms. Fancello that the actions of Mr. Cupskey constitute such a marked departure from the ordinary standards of decent behavior and were so reprehensible and malicious that they warrant punishment from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Counsel for Ms. Fancello relies on the following decision which has previously included awards for punitive damages: </w:t>
      </w:r>
      <w:r>
        <w:rPr>
          <w:rFonts w:ascii="arial" w:eastAsia="arial" w:hAnsi="arial" w:cs="arial"/>
          <w:i/>
          <w:color w:val="000000"/>
          <w:sz w:val="20"/>
          <w:lang w:val="en-US" w:eastAsia="en-US" w:bidi="ar-SA"/>
        </w:rPr>
        <w:t>Howell v. Machi</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2017 BCSC 1806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McIntyre v. Grigg</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83 O.R. (3d) 161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McDonald v. Wilson</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[1991] B.C.J. No. 3137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Herman v. Graves</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1998 ABQB 471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Regarding Mr. Cupskey drinking and driving, I am satisfied that the conduct of Mr. Cupskey driving that day was unacceptable. However, there is no evidence that the ability of Mr. Cupskey to drive was impaired by alcohol when he drove his vehicle that day. In fact, the breath sample supplied by Mr. Cupskey was below the level which would have led to a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Leaving the scene of the First Accident and going to a friend's house to have a further drink was inexcusable and unacceptable. The excuse given by Mr. Cupskey regarding why he left the scene was that it was necessary for him to go back to his friend's house so he could use a phone to report the collision. This explanation is unbelievable. I find that Mr. Cupskey had his cell phone with him at all times and could have used it to call 911 without leaving the scene. In any event, he could have relied upon someone at the scene to make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While leaving the scene of an accident and while going to an adjacent location to have a drink is completely unacceptable, I cannot conclude that these actions were so outrageous as to deserve punishment and the assessment of punitive damages. While what Mr. Cupskey did is deserving of rebuke, I cannot be satisfied that it is so reckless and high-handed that punitive damages should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I distinguish the decisions relied upon by Ms. Fancello as I am satisfied that they relate to actions which are much more reprehensible and malicious so as to warrant punishment from the Court. In </w:t>
      </w:r>
      <w:r>
        <w:rPr>
          <w:rFonts w:ascii="arial" w:eastAsia="arial" w:hAnsi="arial" w:cs="arial"/>
          <w:i/>
          <w:color w:val="000000"/>
          <w:sz w:val="20"/>
          <w:lang w:val="en-US" w:eastAsia="en-US" w:bidi="ar-SA"/>
        </w:rPr>
        <w:t>Howell, supra</w:t>
      </w:r>
      <w:r>
        <w:rPr>
          <w:rFonts w:ascii="arial" w:eastAsia="arial" w:hAnsi="arial" w:cs="arial"/>
          <w:color w:val="000000"/>
          <w:sz w:val="20"/>
          <w:lang w:val="en-US" w:eastAsia="en-US" w:bidi="ar-SA"/>
        </w:rPr>
        <w:t xml:space="preserve">, there was a finding that the evidence of the defendant was not credible and reached the conclusion that he was the driver at the time of the hit and run incident. In </w:t>
      </w:r>
      <w:r>
        <w:rPr>
          <w:rFonts w:ascii="arial" w:eastAsia="arial" w:hAnsi="arial" w:cs="arial"/>
          <w:i/>
          <w:color w:val="000000"/>
          <w:sz w:val="20"/>
          <w:lang w:val="en-US" w:eastAsia="en-US" w:bidi="ar-SA"/>
        </w:rPr>
        <w:t>McIntyre</w:t>
      </w:r>
      <w:r>
        <w:rPr>
          <w:rFonts w:ascii="arial" w:eastAsia="arial" w:hAnsi="arial" w:cs="arial"/>
          <w:color w:val="000000"/>
          <w:sz w:val="20"/>
          <w:lang w:val="en-US" w:eastAsia="en-US" w:bidi="ar-SA"/>
        </w:rPr>
        <w:t xml:space="preserve">, the blood alcohol level at the time of the accident was two to three times over the legal limit. In </w:t>
      </w:r>
      <w:r>
        <w:rPr>
          <w:rFonts w:ascii="arial" w:eastAsia="arial" w:hAnsi="arial" w:cs="arial"/>
          <w:i/>
          <w:color w:val="000000"/>
          <w:sz w:val="20"/>
          <w:lang w:val="en-US" w:eastAsia="en-US" w:bidi="ar-SA"/>
        </w:rPr>
        <w:t>McDonald, supra</w:t>
      </w:r>
      <w:r>
        <w:rPr>
          <w:rFonts w:ascii="arial" w:eastAsia="arial" w:hAnsi="arial" w:cs="arial"/>
          <w:color w:val="000000"/>
          <w:sz w:val="20"/>
          <w:lang w:val="en-US" w:eastAsia="en-US" w:bidi="ar-SA"/>
        </w:rPr>
        <w:t xml:space="preserve">, the finding was that the defendant intentionally ran over the legs of the plaintiff after stealing from his store in which the plaintiff worked as a security guard. </w:t>
      </w:r>
      <w:r>
        <w:rPr>
          <w:rFonts w:ascii="arial" w:eastAsia="arial" w:hAnsi="arial" w:cs="arial"/>
          <w:i/>
          <w:color w:val="000000"/>
          <w:sz w:val="20"/>
          <w:lang w:val="en-US" w:eastAsia="en-US" w:bidi="ar-SA"/>
        </w:rPr>
        <w:t>Herman, supra</w:t>
      </w:r>
      <w:r>
        <w:rPr>
          <w:rFonts w:ascii="arial" w:eastAsia="arial" w:hAnsi="arial" w:cs="arial"/>
          <w:color w:val="000000"/>
          <w:sz w:val="20"/>
          <w:lang w:val="en-US" w:eastAsia="en-US" w:bidi="ar-SA"/>
        </w:rPr>
        <w:t>, involved punitive damages arising from a road rage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Accordingly, the claim for punitive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PUNITIVE DAMAGES: REJECTED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Counsel on behalf of Ms. Fancello raises a second matter in support of punitive damages being awarded against Mr. Cupskey. It is submitted that counsel for Mr. Cupskey attempted to put into evidence a document that was clearly inadmissible hearsay in an attempt to "raise doubts about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At Trial, Ms. Fancello was asked about two "escort" websites listing the services available for a "Fancello Langley Marissa". The website featured photographs but with the face of the person in the photograph obliterated. On the website, the word "Marissa" is spelt with two "s" rather than one, the physical description of the height and weight of the escort (5'5" and 120 pounds) did not accord with the height and weight of Ms. Fancello (5'0" and 100 pounds), and age of the escort was stated to be 20 whereas Ms. Fancello was 25 or 26 at the time. A telephone number was also shown on the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While counsel for Mr. Cupskey stated that the information about the website and the similarity of the name of the escort was not being produced in an attempt to attack the credibility of Ms. Fancello but was being produced in order to allege that Ms. Fancello was obtaining unreported income, no subsequent evidence was presented regarding the income that might be available to a person offering escort services. Counsel for the Defendants Cupskey also asked Mr. Randhawa whether he was aware about whether Ms. Fancello would ever have been an escort and he also answered that she had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Ms. Fancello was asked whether the photographs were of her and whether she had ever provided escort services and she replied: "No" "100%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When counsel for Mr. Cupskey received the answer that he did from Ms. Fancello, that should have been the end of it. In that regard, I am guided by the statement of Justice Kirkpatrick in </w:t>
      </w:r>
      <w:r>
        <w:rPr>
          <w:rFonts w:ascii="arial" w:eastAsia="arial" w:hAnsi="arial" w:cs="arial"/>
          <w:i/>
          <w:color w:val="000000"/>
          <w:sz w:val="20"/>
          <w:lang w:val="en-US" w:eastAsia="en-US" w:bidi="ar-SA"/>
        </w:rPr>
        <w:t>Dahl v. South Coast British Columbia Transportation Authority</w:t>
      </w:r>
      <w:r>
        <w:rPr>
          <w:rFonts w:ascii="arial" w:eastAsia="arial" w:hAnsi="arial" w:cs="arial"/>
          <w:color w:val="000000"/>
          <w:sz w:val="20"/>
          <w:lang w:val="en-US" w:eastAsia="en-US" w:bidi="ar-SA"/>
        </w:rPr>
        <w:t xml:space="preserve"> (c.o.b. Translink), </w:t>
      </w:r>
      <w:hyperlink r:id="rId877" w:history="1">
        <w:r>
          <w:rPr>
            <w:rFonts w:ascii="arial" w:eastAsia="arial" w:hAnsi="arial" w:cs="arial"/>
            <w:i/>
            <w:color w:val="0077CC"/>
            <w:sz w:val="20"/>
            <w:u w:val="single"/>
            <w:shd w:val="clear" w:color="auto" w:fill="FFFFFF"/>
            <w:lang w:val="en-US" w:eastAsia="en-US" w:bidi="ar-SA"/>
          </w:rPr>
          <w:t>2018 BCCA 184</w:t>
        </w:r>
      </w:hyperlink>
      <w:r>
        <w:rPr>
          <w:rFonts w:ascii="arial" w:eastAsia="arial" w:hAnsi="arial" w:cs="arial"/>
          <w:color w:val="000000"/>
          <w:sz w:val="20"/>
          <w:lang w:val="en-US" w:eastAsia="en-US" w:bidi="ar-SA"/>
        </w:rPr>
        <w:t xml:space="preserve"> and the statements made on behalf of the Court regarding cross-examination about a previous accident and the admissibility of that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collateral fact rule was summarized in Sopinka, Lederman &amp;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4th 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sec16.223 There is a general rule that answers given by a witness to questions put to him or her on cross-examination concerning collateral facts are treated as final, and cannot be contradicted by extrinsic evidence. Without such a rule, there is the danger that litigation will be otherwise prolonged and become sidetracked and involved in numerous subsidiary issues. The rule does permit the use of extrinsic evidence to contradict a witness who has made a statement in cross-examination which is relevant to the substantive issue. However, with respect to questions which are directed solely to impeaching a witness' credibility, the answers must, save for certain common law and exceptions, be accepted as final. McIntyre J., in Krause v. R., described collateral matters as being "not determinative of an issue arising in the pleadings or indictment or not relevant to matters which must be proved for the determination of the case". Difficulties have arisen, however, because of uncertainty as to whether a question merely goes to a collateral issue or whether it goes to a substantive one. Pollock C.B. attempted to articulate the distinction in </w:t>
      </w:r>
      <w:r>
        <w:rPr>
          <w:rFonts w:ascii="arial" w:eastAsia="arial" w:hAnsi="arial" w:cs="arial"/>
          <w:i/>
          <w:color w:val="000000"/>
          <w:sz w:val="20"/>
          <w:lang w:val="en-US" w:eastAsia="en-US" w:bidi="ar-SA"/>
        </w:rPr>
        <w:t>Attorney General v. Hitchcock</w:t>
      </w:r>
      <w:r>
        <w:rPr>
          <w:rFonts w:ascii="arial" w:eastAsia="arial" w:hAnsi="arial" w:cs="arial"/>
          <w:color w:val="000000"/>
          <w:sz w:val="20"/>
          <w:lang w:val="en-US" w:eastAsia="en-US" w:bidi="ar-SA"/>
        </w:rPr>
        <w:t>,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test, whether the matter is collateral or not, is this: if the answer of a witness is a matter which you would be allowed on your part to prove in evidence - if it have such a connection with the issue, that you would be allowed to give it in evidence - then it is a matter on which you may contradict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On day 13 of the Trial, counsel for Mr. Cupskey called an employee of ICBC who, shortly after the First Accident, had found the websites. The witness indicated that she had provided the internet search and the phone number set out in that search to an adjuster at ICBC. The adjuster was not called as a witness to give evidence as to whether the phone number on the websites could be associated with Ms. Fancello. On Day 14 of the Trial, I ruled that the website printouts were inadmissible as hearsay. Counsel for Ms. Fancello requested that an adverse inference be drawn against Mr. Cupskey for the failure to call the adjuster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Counsel for Ms. Fancello submits that punitive damages should be awarded as counsel for Mr. Cupskey continued to raise the question of whether Ms. Fancello had been an escort while there was no good faith basis to attempt to present the website into evidence. In this regard, counsel for Ms. Fancello relies on the following passage in </w:t>
      </w:r>
      <w:r>
        <w:rPr>
          <w:rFonts w:ascii="arial" w:eastAsia="arial" w:hAnsi="arial" w:cs="arial"/>
          <w:i/>
          <w:color w:val="000000"/>
          <w:sz w:val="20"/>
          <w:lang w:val="en-US" w:eastAsia="en-US" w:bidi="ar-SA"/>
        </w:rPr>
        <w:t>R. v. Lyttle</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[2004] 1 S.C.R. 193</w:t>
        </w:r>
      </w:hyperlink>
      <w:r>
        <w:rPr>
          <w:rFonts w:ascii="arial" w:eastAsia="arial" w:hAnsi="arial" w:cs="arial"/>
          <w:color w:val="000000"/>
          <w:sz w:val="20"/>
          <w:lang w:val="en-US" w:eastAsia="en-US" w:bidi="ar-SA"/>
        </w:rPr>
        <w:t xml:space="preserve"> where Justices Major and Fish stated on behalf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context, a "good faith basis" is a function of the information available to the cross-examiner, his or her belief in its likely accuracy, and the purpose for which it is used. Information falling short of admissible evidence may be put to the witness. In fact, the information may be incomplete or uncertain, provided the cross-examiner does not put suggestions to the witness recklessly or that he or she knows to be false. The cross-examiner may pursue any hypothesis that is honestly advanced on the strength of reasonable inference, experience or intuition. The purpose of the question must be consistent with the lawyer's role as an officer of the court: to suggest what counsel genuinely thinks possible on known facts or reasonable assumptions is in our view permissible; to assert or to imply in a manner that is calculated to mislead is in our view improper and prohibited.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It is difficult for me to conclude that there was a good faith basis in putting forward the information about the escort website. First, the name used was close but not exactly the same as the first name of Ms. Fancello. Second, the height, weight, and age of the escort were markedly different from the height, weight, and wage of Ms. Fancello. Third, I cannot conclude that an appropriate follow up had been undertaken regarding the phone number given in the website so that information would have been available to counsel that the phone number could somehow be connected to Ms. Fancello.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However, I cannot be satisfied that the questions put to Ms. Fancello and Mr. Randhawa were put recklessly or with the knowledge that they were false. I also cannot conclude that it was inappropriate to pose the questions to Ms. Fancello when I cannot conclude that they were directed to Ms. Fancello solely to impeach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 am satisfied that there was a good faith basis for presenting the website evidence although, at the same time, I am satisfied that the further evidence from the employee should not have been pursued after Ms. Fancello answered on cross-examination that it was not her website and that she had never been or advertised herself as available as an escort. The answer given by Ms. Fancello that she had not offered escort services and that she was not the person named in the website produced, was treated by me as final and the website printouts were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While I am prepared to draw an adverse inference and conclude that the evidence of the adjuster would have been unfavourable to the defence being provided for Mr. Cupskey, I cannot conclude that such an inference would establish the litigation misconduct alleged by Ms. Fancello on the part of either the instructing party or the counsel for Mr. Cupskey. The website and whether or not Ms. Fancello would offer her services as an escort had no relevance beyond her general credibility. In the circumstances, I cannot be satisfied that punitive damages should flow. Accordingly, this claim for punitive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 assess the total of the damages available for Ms. Fancello as $1,836,036.33 made up as follows:</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non-pecuniary damages of Ms. Fancello inclusive of inflation at $175,000;</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 loss of earning capacity at $174,421 without court ordered interest. I leave it to the parties to agree on the effect of taxes on that award. The parties are at liberty to make written submissions by December 18, 2019 if they are not able to agree regarding the amount subject to taxes;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future loss of earning capacity at $750,000;</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future cost of care at $650,000;</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 trust" claim of Ms. Fancello at $75,000;</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Special Damages at $11,615.33; and</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no assessment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Unless the parties wish to speak to the question of costs, the costs available to Ms. Fancello against the Defendants, Kristopher Cupskey, Andrea Susan Elizabeth Cupskey, Alexa Maria Lyon, and Jeffrey Ronald Lyon will be on a Party and Party Scale 2 basis. If the parties wish to speak to the question of costs, written submissions should be received no later than October 18,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Order flowing from these Reasons for Judgment should be submitted directly to me no later than October 18, 2019. If the parties cannot reach an agreement regarding the form of Order, then separate drafts and any submissions are to be received by me no later than October 18,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3" style="position:absolute;z-index:2518097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Ivans v. Glenmore-Ellison Improvement District, [2018] B.C.J. No. 6978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Donegan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11-12,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S50525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6978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2301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86 M.P.L.R. (5th) 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3475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Paul Ivans Jr. and Fiona Frances Ivans, Plaintiffs, and Glenmore-Ellison Improvement District, Monica Holt, Anne Jauvin, Nick Hazzi, Ruben Stepin and Pushor Mitchell LLP,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(164 paras.)</w:t>
      </w:r>
    </w:p>
    <w:p>
      <w:pPr>
        <w:jc w:val="both"/>
        <w:rPr>
          <w:rFonts w:ascii="arial" w:eastAsia="arial" w:hAnsi="arial" w:cs="arial"/>
          <w:sz w:val="20"/>
          <w:lang w:val="en-US" w:eastAsia="en-US" w:bidi="ar-SA"/>
        </w:rPr>
      </w:pPr>
      <w:bookmarkStart w:id="296" w:name="Counsel_48"/>
      <w:bookmarkEnd w:id="2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4"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 Burke.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Glenmore-Ellison Improvement District: S. Frost.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Monica Holt and Anne Jauvin: A. Podgorska.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7" w:name="Judgment_48"/>
      <w:bookmarkEnd w:id="297"/>
      <w:r>
        <w:pict>
          <v:line id="_x0000_s1255" style="position:absolute;z-index:2517596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8" w:name="S.A. DONEGAN J."/>
            <w:bookmarkEnd w:id="298"/>
            <w:r>
              <w:rPr>
                <w:rFonts w:ascii="arial" w:eastAsia="arial" w:hAnsi="arial" w:cs="arial"/>
                <w:b/>
                <w:color w:val="000000"/>
                <w:sz w:val="30"/>
                <w:lang w:val="en-US" w:eastAsia="en-US" w:bidi="ar-SA"/>
              </w:rPr>
              <w:t>S.A. DONEGAN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two summary trial applications. In the first, the plaintiffs seek judgment against the defendant, Glenmore-Ellison Improvement District ("GEID"). In the second, two of the other defendants, Monica Holt and Anne Jauvin ("Holt and Jauvin"), seek to have the plaintiffs' claims against them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arises from the GEID's decision that its bylaws prohibited the plaintiffs from continuing to obtain domestic water for certain of their properties through a water connection located on a neighbouring property owned by Holt and Jauvin. Holt and Jauvin agreed to comply with the GEID's direction to sever the connection but the plaintiffs did not, taking the position that the interconnection should be "grandfathered". When Holt and Jauvin installed their own waterline to the connection, the waterline to the plaintiffs' properties was necessarily disconnected. The plaintiffs allege that GEID's decision, resulting in the act of disconnection, was a breach of its duty to provide water, a breach of contract and/or negligent, and that they suffered loss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 against Holt and Jauvin is grounded in nuisance. While they would prefer to seek judgment against the GEID only, they nevertheless resist the dismissal order sought by Holt and Jauvin and say that their act of discontinuing the waterline was a breach of an easement agreement in effect at the time. With reluctance, they seek judgment against Holt and Jauvin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parties all agree this matter is suitable for summary trial determination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as do I. This case is well suited for summary trial. I find that on the evidence adduced, I am able to find the facts necessary to decide the issues of fact and law and that it would be just to do so in this case. The agreement of experienced counsel, the monetary amounts involved and the saving in time and expense all favour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 and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begin by introducing the parties, their association to the various properties at the time the events underlying this action arose, and the water supply connection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GEID is an improvement district pursuant to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It is an independent public water utility providing water to approximately 15,000 people (about 6,400 service connections) in Kelowna and parts of the Regional District of Central Okanagan.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are a married couple. Mr. Ivans Jr. and Mrs. Ivans each own different neighbouring properties within GEID's servicing area. On each of their properties are situated two houses. Each house has a different civic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Ivans Jr. owns Lot 1, Plan KAP57287 ("Lot 1"). The two houses on Lot 1 are civically described as 2488 Sexsmith Road and 423 Valley Road. At all material times, Lot 1 had two domestic and one irrigation GEID water connections located in the vicinity of 423 Valley Road. Mr. Ivans Jr. also owns the remainder of amended Lot F, Plan 1636 ("Lot 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Ivans owns Lot 2, Plan KAP57289 ("Lot 2"). The two houses on Lot 2 are civically described as 538 Curtis Road and 540 Curtis Road. At all material times, Lot 2 had a GEID domestic water connection located on Curtis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Holt and Jauvin, from October 2006 until the end of August 2014, owned another neighbouring property, Lot 6, Plan 21431 ("Lot 6"). The house on Lot 6 is civically described as 2490 Sexsmith Road. Lot 6 has a GEID water service connection located at its property line on Sexsmith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To assist the reader, I am attaching a map of these properties as Appendix A. This map was prepared by and attached to the affidavit of Pat Schmidt, the Development Clerk for the GEID. It helpfully shows the physical proximity of the various lots, the approximate locations of the relevant houses, the GEID water connections for the properties and the waterline in issue (depicted approximately by a dotted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end of August 2014, Holt and Jauvin sold Lot 6 to Ruben Stepin, a defendant in this action against whom proceedings have been discontinued. Proceedings have also been discontinued against another defendant, Nick Hazzi, the realtor involved in the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Pushor Mitchell LLP is a law firm that was retained by Mr. Ivans Jr. in 2003 to prepare and register an easement relevant to these proceedings. Although still a defendant in this action, the plaintiffs do not seek judgment against Pushor Mitchell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For many years until the events of August 2014, the houses located at 2488 Sexsmith Road (Lot 1), 538 Curtis Road (Lot 2) and 2490 Sexsmith Road (Lot 6) all received their water supply through the same water connection located at 2490 Sexsmith Road (Lot 6). I will call this Line A. In about 2013, the GEID took the position that such an arrangement did not comply with its bylaws and that the three home owners were required to connect their waterlines to their own lot's dedicated water connections. Holt and Jauvin complied, but Mr. Ivans Jr. took the position that the long-standing interconnection had been historically approved by the GEID, should be "grandfathered" and left undisturbed.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a contractor hired by Holt and Jauvin installed a new, independent waterline to the connection at Lot 6 on August 18, 2014, Line A was necessarily capped off. This stopped the water supply to 2488 Sexsmith Road and 538 Curtis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this brief overview of the parties and the properties at the time events arose, it is now necessary, in order to understand and frame the issues in this case, to review the ownership and subdivision history of the properties, how the water connections came to be, the involvement of the GEID (and its predecessor) and the various relevant bylaws in place over the years. As will be seen, while the properties were historically owned by the Ivans family, the plaintiffs themselves did not always own the properties involved in this action. There were various changes in ownership and subdivisions that occurred. There were also various changes in the bylaws over the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History of the Properties and Water Connections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1920, subdivision plan 1636, which subdivided land located in the former municipality of Glenmore into Lots A through J, was registered at the Kamloops Land Title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Glenmore Improvement District ("GID") was incorporated by Letters Patent on January 3, 1921. The Letters Patent set out the objects of the GlD:</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objects of the said improvement district shall be the acquisition and operation of works and licenses for the storage delivery and carriage of water for irrigation purpose water-works purpose and such incidental purposes as are authorized by the license it acquires.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Lots A through J described above were located within the boundaries of the GID.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1946, Paul Ivans Sr. (Mr. Ivans Jr.'s father) purchased Lots C, D, E and F, which consisted of roughly 45 acres of mostly fruit orchards. At the time of purchase, these lots did not have domestic water connections.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Ellison Irrigation District was incorporated by Letters Patent issued on January 31, 1946.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approximately 1949, the GID installed an underground waterline along Sexsmith Road, which lay adjacent to Lot 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1960, the Ivans family owned most of the lots that had been subdivided in 1920. Mr. Ivans Sr. owned what was then Lot E. Mr. Ivans Jr. and a partner owned what was then Lot 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1960, Mr. Ivans Jr. paid the GID to install nine water connections from Sexsmith Road to what was then Lot 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One of those water connections, the one located at the southeast corner of what was then Lot F (now on Lot 6, where 2490 Sexsmith Road is located) was used to construct a waterline to house owned by Mr. Ivans Sr., located on what was then Lot E (now on Lot 1, with a civic address of 2488 Sexsmith Road). This house was built in 1960. This is the waterline that is the subject of this dispute, Line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time Line A was installed, interconnection (which is when one lot receives its water from the water service of a neighbouring lot as opposed to having its own separate water connection) was not unusual in cases where adjacent parcels of land had common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about 1963, a water connection was made from Line A to a house that straddled what was then Lots E and C (now on Lot 2, with a civic address of 538 Curtis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Between 1962 and 1966, a house on what is now Lot 6 (now civically known as 2490 Sexsmith Road) was built. It was occupied by Mr. Ivans Jr.'s partner's brother and his family. The domestic water supply for that home was connected by Mr. Ivans Jr.'s brother, Robert Ivans, by way of a tie-in to Line A in 1966.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February 18, 1966, Mr. Ivans Jr. applied to the GID for the extension to the house on what later became Lot 6. A sketch was included that showed the two houses already connected. There is no evidence of a reply by the GID, but there is evidence the GID sought legal advice about the application as a result of its concerns. The lawyer's advice was that what Mr. Ivans Jr. proposed to do seemed to comply with the bylaw in place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1966, all three houses at issue received their water supply through Line A, connected to the GEID's main waterline through the connection at what later became Lot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From 1966 to 1971, one connection for water service was billed to what became Lot 6. The water service for the house on Lot E and the house on Lot E/C was billed to Lot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1971, Mr. Ivans Jr. was one of four owners of Lots I, J and F. In June of that year, he and the other owners subdivided these lots by Plan 21431. The lots created by this subdivision were the locations where houses had been built and were being occupied by Ivans family members or tenants. The purpose of this subdivision was to give each member of the Ivans family title to his property. Among other lots, what is now Lot 6 was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1971, street addresses were assigned to the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1973, what was then Lot F was owned by Mr. Ivans Jr. and his brother. That year, they subdivided part of Lot F by Plan 23895, in part to form Lot 13. Lot 13 is adjacent to Lot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May 1974, Mr. Ivans Jr. and his brother registered an easement against 2490 Sexsmith Road under number J32683, which granted road access to Lot F by way of a driveway over 2490 Sexsmith Road (the "Road Easement"). The Road Easement does not provide for any services such as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October 1977, Mr. Ivans Jr.'s brother passed away and Mr. Ivans Jr. became the owner of 2490 Sexsmith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Ivans Sr. passed away in 1984, and in 1988 Lot E was transferred to Mr. Ivans Jr. from his father's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way of Letters Patent issued on April 5, 1990, the GID and the Ellison Improvement District were amalgamated and all assets and liabilities transferred to the new improvement district to be known as the GEID. The objects of the GEID were set out in para. 2:</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objects of the improvement district shall be the acquisition, maintenance and operation of works for waterworks, irrigation and drainage purposes and all matters incidental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July 1996, Lots C, D and E were subdivided, creating what are now Lots 1 and 2, by Plan KAP57287. Now located on Lot 1, the house at 2488 Sexsmith Road remained connected to Line A. Now located on Lot 2, the house at 538 Curtis Road also remained connected to Line A. Mr. Ivans Jr. did not establish new water connections for the newly created parcels.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the 1966 subdivision, Mr. Ivans Jr. retained ownership of Lot 1 and transferred ownership of Lot 2 to his wife. When he transferred ownership to his wife, Mr. Ivans Jr. did not contact the GEID about the waterlines because in his view it was a "family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addition to Lot 1, by 2003 Mr. Ivans Jr. was also the registered owner of Lots D and F, Plan 1636 and Lot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October 2003, Mr. Ivans Jr. instructed his solicitors, Pusher Mitchell LLP, to prepare an easement over Lot 6. This easement was registered under instrument number KV130335 on October 24, 2003 (the "Works Easement"). I will return to discuss the specific provisions of the Works Easement later in these reasons, as it is the central feature in the plaintiffs' claim against Holt and Jauvin.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October 2006, Mr. Ivans Jr. sold Lot 6 to third parties, who shortly thereafter sold it to Holt and Jauvin.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Mr. Ivans Jr. sold Lot 6, he did not think to contact the GEID about the water connections to his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the time they purchased Lot 6, Holt and Jauvin were not made aware of the existence of Line A under Lot 6 that was supplying water to 2488 Sexsmith Road on Lot 1. They did not learn that Line A also supplied water to 538 Curtis Road on Lot 2 until this litigation commenced.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History of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turn now to highlight the relevant bylaws in place over the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Bylaw #225 - July 18, 1961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July 18, 1961, the Board of Trustees of the GID passed Bylaw #225, the "Subdivision Water Supply Regulation Bylaw", which read in part: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Trustees of the Glenmore Irrigation District enact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owner of a subdivision and every owner of land who subdivides any parcel of land within the District shall install, at his own expense and at no cost to the District and under the supervision of the Trustees, or their representative, all water mains, service lines, fittings and appurtenances deemed necessary by the District to provide an adequate supply of water to every newly created lot within the proposed subdivision and shall pay for all engineering costs...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Bylaw #227 - October 17, 1961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October 17, 1961, the Board of Trustees of the GID passed Bylaw #227, the "Domestic Water Regulation Bylaw", which read in part: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any person shall install or construct any waterworks or service or shall commence doing any installation or construction work in relation to or in connection with the same, he shall notify the Superintendent in writing. If required by the Superintendent he shall furnish a plan and specifications which shall show...It shall be permissible for any consumer to make an extension of such installation to more than one residential building or dwelling on his premises, but the extension to each such residential building or dwelling shall for the purpose of this Bylaw be considered a separate service unless such extension terminates outside the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Agreements are not transferable. New occupants are required to make application to the Secretary at the time they commence the use of the water. Any new occupant of occupants using such water without making such application as hereby required shall be liable for all back rates and rents due and owing in connection with the premises occupied by him or them and shall also be guilty of any infraction of this Bylaw, and in no event shall the District be bound to connect the premises with the service until all back rates and rents due and owing in connection with said premises have been paid.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Bylaw #338 - May 2,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May 2, 1979, the GID passed Bylaw #338, a "Bylaw for regulating the Domestic Water Works of the Glenmore Irrigation District and to cancel Bylaw #227", which read in part: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Occupancy Changes: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Agreements are not transferrable. The owner of the property will be responsible for payment of water tolls. New owner-occupants are required to make application to the Secretary at the time they commence the use of the water...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Bylaw #21 - December 7,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December 7, 1993, the GEID passed Bylaw #21, a "bylaw respecting the installation of water systems within subdivisions of land in the area comprising the District", which read in part: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owner of land who subdivides any parcel of land within the District shall install, at his own expense and at no cost to the District and under the supervision of the Trustees of the District, or their representative, all water mains, fire hydrants, meters and other fittings and appurtenances deemed necessary by resolution of the Trustees of the District passed prior to the approval of the subdivision and shall pay for all permits, inspections, and engineering costs; the said water main, hydrants, meters, fittings and appurtenances shall become the property of the District within a period of one year.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Bylaw #76 - October 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October 1, 2003, the GEID passed Bylaw #76, "A Bylaw Regulating The Distribution And Use Of Water And Prescribing Conditions And Terms Under Which Water May be Supplied And Used And Penalties For Non-Compliance With The Regulations", which authorized the use of water 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purpose of the GEID's introduction of water meters was, and is, to charge customers based upon water consumption, which would be measured by way of a water meter. In the absence of a water meter, the billing system would be a flat fee per single family dwelling, regardless of actual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a water meter system, the GEID viewed interconnection as no longer fair and reasonable, especially in circumstances where the properties with interconnected waterlines were owned by different parties. As part of Bylaw #76, persons to whom water was supplied were prohibited from supplying water to another property without the permission of the Trustees. In this regard, Bylaw #76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shall use water on any property other than those for which rates are paid by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Service and Works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 (a) No person to whose property water is supplied shall make, or permit to be made, any additional connection to his service of either permanent or temporary nature, for the purpose of supplying water to another building, house or trailer on his, or any other property, without permission of the Trustees.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with previous bylaws, this bylaw also prohibited the transfer of previous agreements to new owners: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Change of Ownership</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agreement between the owners of premises and the improvement district with respect to water service to those premises may be transferred to a new/another owner...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Bylaw #147 - November 15,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or about November 15, 2013, the GEID passed Bylaw #147, "A Bylaw To Regulate The Distribution And Use Of Water", which repealed and replaced Bylaw #76, duplicating some of its provisions relevant to this case. Bylaw #147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2: General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person shall use water on any property other than those for which rates are paid by the owner.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an applicant for a water service requires a quantity, pressure or type of service in excess of that which can be supplied from the works of the District, the Trustees may deny the request or require the applicant to pay for all or part of any works considered to augment system capacity in order to meet the water requirements. Alternatively, the said applicant may be required to make a capital contribution towards the future provision of such works. Applicants considered under this section may be required to enter into a formal agreement with the District regarding the special terms and conditions under which water is supplied.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installations or renewals of water service shall be made by way of application to the Trustees at the District Office, by the owner or his duly authorized agent. At the time of making such application, which shall be in the form of Schedule "A" of this Bylaw, and the applicant shall pay the connection fee prescribed in the Miscellaneous Charge Bylaw.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Upon an application for a water service being received, approved and the fees paid or deposit received in accordance with the District's Miscellaneous Charge Bylaw, the Trustees shall provide and install a service from the main to the lot boundary.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5: General Prohibitions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person to whose property is supplied with water shall make, or permit to be made, any additional connection to his service of either permanent or temporary nature, for the purpose of supplying water to another building, house or trailer on his or any other property, without permission of the Trustees.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owner or occupant of any premises supplied with water by the District will sell, dispose of, or give away water, or permit the same to be taken away or applied for the benefit of other persons or premises, except by permission of the Trustees.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7: Change Of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agreement between the owners of the property or structures and the District with respect to water service to that property or structures may be transferred to a new/another owner...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this history, I turn now to the genesis of this dispute.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Genesis of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about November 2012, the GEID learned of some flooding and pooling of water in the vicinity of 2488 Sexsmith Road. When it investigated, the GEID discovered that the water connection for 2488 Sexsmith Road was through the connection at 2490 Sexsmith Road. As a result, the GEID wrote to the two property owners, Mr. Ivans Jr. and Holt and Jauvin, on January 30, 2013 and advised them that this interconnection raised several issues related to compliance with GEID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Specifically, the GEID advised the plaintiffs and Holt and Jauvin that since there was one single family domestic water connection for 2490 Sexsmith Road on Lot 6, connection to a separate legal parcel at 2488 Sexsmith Road was contrary to s. 9(a) of Bylaw #76, the bylaw in force at the time. The GEID advised them that it was important for them to separate the water between the properties as soon as possible and that residential metering was expected in the near future. The GEID also advised them that since all residential water use must be captured by the residential meter, no water bypass or branch lines could be located between the GEID's service connection and their dwelling.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or about June 2013, Line A between 2490 Sexsmith Road and 2488 Sexsmith Road suffered another leak, near the same area as the 2012 break. The GEID met with Mr. Ivans Jr. and Holt and Jauvin to further discuss the water connection issues. The waterline suffered another leak in January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May 13, 2014, the GEID wrote to Holt and Jauvin and confirmed its position that the interconnection between 2490 Sexsmith Road and 2488 Sexsmith Road was contrary to its bylaws. It also confirmed that there was "no agreement, covenant, easement or any other document permitting water supply to 2488 Sexsmith Rd. (Lot 1, Plan KAP57287) from 2490 Sexsmith Rd. (Lot 6, Plan 21431)."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letter also advised them that GEID expected universal metering and metered billings to be introduced as of January 2016, so if 2490 Sexsmith Road continued to supply water to 2488 Sexsmith Road, the Holt and Jauvin water bills would be extremely high. The GEID agreed not to take any action for a time, in order to allow them to remedy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 similar letter was sent to Mr. Ivans Jr. that same day. In it, the GEID reiterated its position that the domestic water to his property at 2488 Sexsmith Road continued to be illegally supplied from the GEID's service connection at 2490 Sexsmith Road and that he had a domestic service connection available to Lot 1 on Valley Road North. The GEID also confirmed that there was no "agreement, covenant, easement or any other document permitting water supply between these properties" and outlined that existing interconnection was contrary to Bylaw #147, the bylaw now in force. The GEID agreed not to take any action in order to allow Mr. Ivans Jr. time to rectify the situation and connect 2488 Sexsmith Road to the dedicated domestic service connection for Lot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By way of letter dated June 21, 2014, Mr. Ivans Jr. requested that the GEID "grandfather" the existing water connection arrangements between 2488 Sexsmith Road and 2490 Sexsmith Road.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Gentlemen: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 to your May 13 letter, the first paragraph mentions the water connection on Valley Road North. The house at the domestic service at 423N was built in 1959 and was connected to that domestic service prior to occupancy.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1961 the second house on that same legal parcel was built and first occupied by the oldest two Ivans family members, also over a half century ago. This second house on legal parcel known at that time as Lot E, RP 1636 was serviced by the domestic connection in dispute. Then two additional new houses occupied by more Ivans family members were connected to the same line in 1963 with full knowledge and approval of the irrigation district.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above history, I suggest that the domestic waterline which services the three houses has a GRANDFATHER legal status which must be honoured by the current management of the GEID.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GEID's Board of Trustees met on July 9, 2014, reviewed Mr. Ivans Jr.'s request and determined to deny it. By way of letter dated July 14, 2014, the GEID advised Mr. Ivans Jr. of its decision, made by way of resolution, and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Staff have reviewed all historical information available (subdivision files, water letters, agreements, servicing arrangements or file comments), and have reviewed the Board Minutes and have found no information that may indicate any type of approval from the Trustees. Additionally, the District Bylaws in effect during the construction period for all of the properties in question clearly state that no interconnections are allowed without permission of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letter went on to inform Mr. Ivans Jr. that he was required to cease use of the water supply from 2490 Sexsmith Road no later than August 31, 2014 and reminded him that there was an existing domestic service connection for Lot 1 for him to use, located on Valley Road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Holt and Jauvin were also notified of the Board of Trustee's resolution and the deadline within which they were to sever the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Ivans Jr. did not want to install a new waterline to connect 2488 Sexsmith Road to the existing connection for Lot 1 on Valley Road North and continued to insist that Line A ought to be "grandfathered". He met with the general manager and project coordinator of the GEID on July 25, 2014 and expressed these views again. The GEID was unswayed and reiterated their earlier position that the interconnection was not compliant with its bylaw and that 2488 Sexsmith Road was required to disconnect from 2490 Sexsmith Road and obtain or use its own water connection. The GEID representatives told Mr. Ivans Jr. that Holt and Jauvin planned to install a new residential waterline connection and disconnect any old lines "well before" the August 31, 2014 deadline the GEID had imposed. Mr. Ivans Jr. requested that the GEID notify him once a date was scheduled for the new line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Sometime in 2014, Holt and Jauvin decided to sell 2490 Sexsmith Road. They disclosed the existence of Line A in a Property Disclosure Statement. After numerous discussions with the GEID, they decided that the best solution to bring them into bylaw compliance was to cap Line A and put in a new direct line from the 2490 Sexsmith Road connection directly to their house. Ms. Holt notified the GEID of this decision on about July 18, 2014 and then retained a contractor to install an independent waterline from their house to the 2490 Sexsmith Road connection and cap off that portion of Line A running under Lot 6, to ensure that they remedied the bylaw contravention before they sold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Prior to commencing this work, Ms. Holt had the GEID confirm that she and Ms. Jauvin were not legally obligated to notify the plaintiffs that they were proceeding with the work described above. The GEID confirmed this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Holt and Jauvin reasonably believed, based on the position taken by the GEID, that they were legally obligated to correct the bylaw infraction by the imposed deadline and that Mr. Ivans Jr. would be dealing with the GEID directly with respect to his water supply to 2488 Sexsmith Road. They never believed or were ever advised that they had any responsibility to ensure the water connection to 2488 Sexsmith remained intact. They had no knowledge that the waterline to 538 Curtis Road was connected to Line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contractor hired by Holt and Jauvin made arrangements to carry out the work and made GEID aware that in order to do so, GEID would be required to temporarily shut off the water service at the curb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Since Mr. Ivans Jr. would be affected by this anticipated temporary disconnection, a representative of GEID attempted to contact him. Voicemail messages were left for Mr. Ivans Jr. on each of his two telephone numbers on August 14 and August 15 advising him about the work to be done on August 18, 2014. Further calls were made on August 15, but Mr. Ivans Jr.'s voicemail boxes were full, so a GEID representative emailed him, asking that he call and advising him that repairs at 2490 Sexsmith were scheduled for August 18. Mr. Ivans Jr. replied to this email on August 20, 2014, two days after the work had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work was conducted on August 18, 2014. The GEID closed the connection as requested by Holt and Jauvin's contractor and reopened it again when the work was complete. By disconnecting Line A from the connection at 2490 Sexsmith Road, installing a new independent waterline to the connection to supply water only to 2490 Sexsmith Road and capping Line A, Holt and Jauvin believed they were now in compliance with GEID's bylaws. By doing so, the water supplied to 2488 Sexsmith Road and 538 Curtis Road through Line A was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Ivans Jr. was aware of the work being done before he sent his August 20, 2014 email to the GEID. On August 18, 2014, the day the work occurred, he drove by the property and saw "some commotion", so he stopped. He was informed that the water had been cut off and would not be connected again. He commenced this action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GEID was unaware at the time of the work done by Holt and Jauvin that 538 Curtis Road was also receiving its water supply through Line A. Had the GEID been aware of this, it would have attempted to contact Mrs. Ivans to advise her of the scheduled work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August 25, 2014, Holt and Jauvin conveyed 2490 Sexsmith Road to Stepin.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Ivans Jr. did not restore water service to 2488 Sexsmith Road until 2016. He did so by granting a new easement through Lot F and through a new connection on Sexsmith Road. Mrs. Ivans did not restore water service to 538 Curtis Road until 2016. She did so by extending the water service that was provided to 540 Curtis Road, with GEID's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claim that they paid a total of $19,867.10 to restore water service to 2488 Sexsmith Road and 538 Curtis Road, broken down as follows: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$4,979.80 paid to GEID for new connection;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$11,413.89 paid to contractor to install new lines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$2,459.11 paid to Digg'n 4 U Contracting</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$371.70 paid to Winn Rentals backhoe;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$642.60 paid to Grassmick Excavating.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also claim they suffered lost rental income from September 2014 to the end of December 2015 because both homes had been rented at the time the water supply to them ended, forcing the renters to leave. The total loss of rental income claimed is $28,800.00.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turn now to a summary of the positions of the parties. I will refer to their more specific arguments in the course of my analysis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as Against GEID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position as against GEID has evolved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their Amended Notice of Civil Claim the plaintiffs sought injunctive relief and damages for breach of contract, nuisance and breach of statutory duty against this defendant. They did not plead any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their summary trial application, the plaintiffs seek a "finding that the GEID is liable to the plaintiffs in damages for shutting off the plaintiffs' water supply to Lot 1, Plan KAP57287 on August 18, 2014" and seek damages in the sum of $67,976.00, plus costs. Under "Part 3: Legal Basis", the plaintiffs appear to ground their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GEID owed a duty of care to persons [owning] property within the district. It was obligated by the terms of its letters patent to provide water to property owners.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GEID is not exempt from the imposition of this duty by any explicit statutory exemptions.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decisions by the GEID to regulate the water supply is a manifestation of the policy decision to provide the water and is operational in nature.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GEID was obligated by contract with the plaintiffs to provide domestic water service to the house on Lot 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to cut off the water supply to Line A was an operational decision.</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cutting off of water to Line A was: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breach of contract; and</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and a breach of the GEID's duty to provide water.</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GEID was negligent in: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maintain accurate records whereby it could determine when approvals for extensions of the waterline were given;</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maintain accurate records of what had been constructed and payments received;</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shutting off the water supply to Line A;</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applying its bylaws retroactively when no power to do so exists; and</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perform its obligations under the letters patent.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submissions, the plaintiffs' claims were focussed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total amount of the loss claimed against this defendant was reduced to $48,667.10.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To summarize the position taken in submissions, the plaintiffs allege that the GEID, as a public utility whose Letters Patent require it to deliver domestic water to its inhabitants, owed them a general duty of care, either under its Letters Patent and/or as a "public utility" under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473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UCA</w:t>
      </w:r>
      <w:r>
        <w:rPr>
          <w:rFonts w:ascii="arial" w:eastAsia="arial" w:hAnsi="arial" w:cs="arial"/>
          <w:color w:val="000000"/>
          <w:sz w:val="20"/>
          <w:lang w:val="en-US" w:eastAsia="en-US" w:bidi="ar-SA"/>
        </w:rPr>
        <w:t>], to provide water in a reasonable manner. They say that when the GEID wrongly applied its bylaws retroactively to decide that Line A was unlawful and then unlawfully instructed Holt and Jauvin to remove and/or discontinue Line A, the GEID breached the requisite standard of care and caused them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Overall, the plaintiffs submit that the Line A connections to 2488 Sexsmith Road and 538 Curtis Road were not contrary to the GEID's bylaws, had been previously approved by the GEID and were nevertheless protected from interference by the Works Easement. In plain language, they say that the GEID was not entitled to "turn off the tap", force Holt and Jauvin to make changes to Lot 6 and then simply give Holt and Jauvin the connection paid for by Mr. Ivans Jr. many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support of their position, the plaintiffs primarily rely on </w:t>
      </w:r>
      <w:r>
        <w:rPr>
          <w:rFonts w:ascii="arial" w:eastAsia="arial" w:hAnsi="arial" w:cs="arial"/>
          <w:i/>
          <w:color w:val="000000"/>
          <w:sz w:val="20"/>
          <w:lang w:val="en-US" w:eastAsia="en-US" w:bidi="ar-SA"/>
        </w:rPr>
        <w:t>Hunt v. Westbank Irrigation District</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(1991), 59 B.C.L.R. (2d) 215</w:t>
        </w:r>
      </w:hyperlink>
      <w:r>
        <w:rPr>
          <w:rFonts w:ascii="arial" w:eastAsia="arial" w:hAnsi="arial" w:cs="arial"/>
          <w:color w:val="000000"/>
          <w:sz w:val="20"/>
          <w:lang w:val="en-US" w:eastAsia="en-US" w:bidi="ar-SA"/>
        </w:rPr>
        <w:t xml:space="preserve"> (aff'd at </w:t>
      </w:r>
      <w:r>
        <w:rPr>
          <w:rFonts w:ascii="arial" w:eastAsia="arial" w:hAnsi="arial" w:cs="arial"/>
          <w:i/>
          <w:color w:val="000000"/>
          <w:sz w:val="20"/>
          <w:lang w:val="en-US" w:eastAsia="en-US" w:bidi="ar-SA"/>
        </w:rPr>
        <w:t>Hunt v. Westbank</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(1994), 90 B.C.L.R. (2d) 395</w:t>
        </w:r>
      </w:hyperlink>
      <w:r>
        <w:rPr>
          <w:rFonts w:ascii="arial" w:eastAsia="arial" w:hAnsi="arial" w:cs="arial"/>
          <w:color w:val="000000"/>
          <w:sz w:val="20"/>
          <w:lang w:val="en-US" w:eastAsia="en-US" w:bidi="ar-SA"/>
        </w:rPr>
        <w:t xml:space="preserve"> (BCCA)). They have also provided the following authorities for my consideration: </w:t>
      </w:r>
      <w:r>
        <w:rPr>
          <w:rFonts w:ascii="arial" w:eastAsia="arial" w:hAnsi="arial" w:cs="arial"/>
          <w:i/>
          <w:color w:val="000000"/>
          <w:sz w:val="20"/>
          <w:lang w:val="en-US" w:eastAsia="en-US" w:bidi="ar-SA"/>
        </w:rPr>
        <w:t>St. Lawrence Rendering Company Ltd. v. The City of Cornwall</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[1951] 4 D.L.R. 790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Vernon (City) v. British Columbia (Public Utilities Commission)</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(1953), 9 W.W.R. (N.S.) 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Kelowna (City) v. British Columbia (Public Utilities Commission)</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(1962), 36 D.L.R. (2d) 413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Kelowna (City) v. British Columbia (Public Utilities Commission)</w:t>
      </w:r>
      <w:r>
        <w:rPr>
          <w:rFonts w:ascii="arial" w:eastAsia="arial" w:hAnsi="arial" w:cs="arial"/>
          <w:color w:val="000000"/>
          <w:sz w:val="20"/>
          <w:lang w:val="en-US" w:eastAsia="en-US" w:bidi="ar-SA"/>
        </w:rPr>
        <w:t xml:space="preserve"> (1963), 42 W.W.R. 700; </w:t>
      </w:r>
      <w:r>
        <w:rPr>
          <w:rFonts w:ascii="arial" w:eastAsia="arial" w:hAnsi="arial" w:cs="arial"/>
          <w:i/>
          <w:color w:val="000000"/>
          <w:sz w:val="20"/>
          <w:lang w:val="en-US" w:eastAsia="en-US" w:bidi="ar-SA"/>
        </w:rPr>
        <w:t>Abbotsford (District) v. Cam-Ker Developments Ltd</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(1974), 48 D.L.R. (3d) 582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Gubbels v. Anderson</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(1995), 8 B.C.L.R. (3d) 193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Jamieson v. London and Canadian Loan and Agency Co.</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[1896] O.J. No. 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Westside Land Corporation v. Deszynski</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2004 ABQB 82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Nordin v. Faridi</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[1996] B.C.J. No. 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GEID takes the position that the plaintiffs' claims, no matter how they are articulated, should be dismissed. It says that the plaintiffs' domestic waterline connections in August 2014, accessed as they were through the connection at 2490 Sexsmith Road, were not authorized by the GEID and were not allowed under its bylaws. It argues that its obligation under its Letters Patent and bylaws is to provide a domestic water connection to a particular applicant's property line, which it did in this case. It does not have a general duty to supply water as argued by the plaintiffs and, if any duty to provide water was owed, the GEID fulfilled it by providing a water connection to the plaintiffs' property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GEID says the plaintiffs' chief complaint is with the GEID's decision not to "grandfather" in Line A. They think the GEID wrongly applied its bylaws retroactively. To this complaint, the GEID submits that its decision to deny Mr. Ivans Jr.'s request was an exercise of its quasi-judicial functions and that no private duty of care arises toward the plaintiffs for such decisions. In any event, even if a private duty of care is found to arise in the circumstances of this case, it says that its decision was a policy decision, exempting it from such a duty of care. Finally, if a private duty of care is found to arise that is not exempted, the GEID submits that it did not breach the standard of care because it applied its bylaws to these circumstances accurately and legally.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To the extent the plaintiffs maintain their claim for breach of contract, the GEID submits that, overall, the evidence fails to establish a contract between the GEID and the plaintiffs. The GEID denies the existence of any contract as alleged or at all, but says if the court found any agreement existed between previous owners of the properties and the GEID (or its predecessor), it is of no effect because: (1) the plaintiffs were not a party to it, (2) the GEID's bylaws at the time the properties transferred ownership did not allow for any such agreement to be transferred to the new owners; and/or (3) the GEID's bylaws at the time of the subdivision that created Lot 6 required a new water connection, a requirement that supersedes any prior arrangement that may have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To the extent the plaintiffs maintain any claim in nuisance for interference with the Works Easement, the GEID submits the Works Easement is irrelevant to this case, as the plain wording of the instrument makes clear. It grants an easement to the owner of Lots D and F for access and utilities to pass over the existing roadway on Lot 6. It does not "protect" Line A because Lots 1 and 2 are not mentioned and Line A is not located under the existing roadway on Lot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Finally, the GEID submits that if any cause of action can be found to have been proven against the GEID, the plaintiffs have failed to mitigate their losses. They were notified of the need to establish a new connection in 2013 and several times in 2014 before the connection ceased. They did not re-establish a compliant water connection until 2016 and no good reason for this delay has been provided. Moreover, the GEID submits the plaintiffs have failed to provide sufficient evidence for the damages they seek.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as Against Holt and Jauvin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plaintiffs' position as against Holt and Jauvin has evolved over time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their Amended Notice of Civil Claim, the plaintiffs originally sought damages against these defendants in trespass and nuisance for allegedly breaching the plaintiffs' rights under the Works Easement, claimed these defendants were unlawfully enriched by their actions, claimed they acted in a high-handed and arrogant way, and claimed they deliberately acted maliciously, with intent to injure. The plaintiffs sought a declaration that the Works Easement was a blanket easement over Lot 6 and also advanced a claim for damages from an alleged septic field discharge from Lot 6 onto Lot 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this summary trial application, the plaintiffs only argue a claim in nuisance. While the plaintiffs acknowledge that the Works Easement identifies a different dominant tenement and that Line A is not located under the existing roadway in Lot 6, they argue that the Works Easement should be interpreted contextually and consistent with Mr. Ivans Jr. intention at the time, which was for the Works Easement to "legalize" or "protect" Line A on Lot 6. In other words, the plaintiffs say the Works Easement should be interpreted as a blanket easement over all of Lot 6, for the benefit of Lots 1 and 2. In this way, when Holt and Jauvin had Line A capped on August 18, 2014, they were in breach of the Works Easement and should be held liable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While not their preference to seek judgment against these defendants, the plaintiffs submit that Holt and Jauvin were not entitled to do what they did and should be held responsible to the extent of their loss for costs incurred to restore water service to 2488 Sexsmith Road and 538 Curtis Road ($19,867.10).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Holt and Jauvin seek dismissal of the claim against them. They say that the Works Easement is not a blanket easement and, most importantly, is an easement that grants owners of Lots D and F the right to enter Lot 6 for the purpose of installing, repairing and maintaining the Works (a defined term) under the existing roadway on Lot 6, for the benefit of Lots D and F. In short, it has nothing to do with Lots 1 and 2 or with Line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These defendants emphasize that at the time Mr. Ivans Jr. had his lawyers draft the Works Easement, Lots 1, 2, and 6, and Line A were all in existence. Mr. Ivans Jr. knew, or ought to have known, that Line A was not installed under the existing roadway and that Lots C, D, and E had been subdivided into Lots 1 and 2. If Mr. Ivans Jr. had wanted to create an easement to try to "protect" Line A for the benefit of Lots 1 and 2, he could have easily done so. Holt and Jauvin maintain that they did nothing wrong by complying with the GEID's instructions to rectify the bylaw infraction, including capping that portion of Line A that ran under Lot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For reasons I will now discuss, I agree with the positions taken by the defendants and find the plaintiffs have failed to prove their claims against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CLAIMS AGAINST THE GEID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Although the plaintiffs do not refer to this framework, it is well settled that proof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the plaintiffs to demonstrate that:</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them a duty of care;</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behaviour breached the requisite standard of care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suffered damage; and</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was caused, in fact and in law, by the defendant's breach.</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will start with consideration of the duty of care, the issue that dominated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To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defendant must owe a duty of care to the individual who is harmed. The test to establish a duty of care was summarized in </w:t>
      </w:r>
      <w:r>
        <w:rPr>
          <w:rFonts w:ascii="arial" w:eastAsia="arial" w:hAnsi="arial" w:cs="arial"/>
          <w:i/>
          <w:color w:val="000000"/>
          <w:sz w:val="20"/>
          <w:lang w:val="en-US" w:eastAsia="en-US" w:bidi="ar-SA"/>
        </w:rPr>
        <w:t>Carhoun &amp; Sons Enterprises Ltd. v. Canada (Attorney General)</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xml:space="preserve"> at paras. 50-51: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test for determining the existence of a private duty of care owed by a public authority is known as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The test requires a court to address the analysis by considering the following series of questions:</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 sufficiently analogous precedent exist that definitively found the existence or non-existence of a duty of care in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not;</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harm suffered by the plaintiff reasonably foreseeable;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yes;</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relationship of sufficient proximity between the plaintiff and the defendant such that it would be just to impose a duty of care in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arises;</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there any residual policy reasons for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established in question/step 3, aside from any policy considerations that arise naturally out of a consideration of proximity.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not, then a novel duty of care is found to exist.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The onus is on the plaintiff to show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(through answering questions 1-3, above); but the onus is on the defendant to establish any policy reasons for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at para. 13. Only questions 3 and 4 are in issue on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Although the plaintiffs did not refer to this test explicitly, it is clear from their submissions that they argue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exists in this case on the basis of a sufficiently analogous precedent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under the provisions of the </w:t>
      </w:r>
      <w:r>
        <w:rPr>
          <w:rFonts w:ascii="arial" w:eastAsia="arial" w:hAnsi="arial" w:cs="arial"/>
          <w:i/>
          <w:color w:val="000000"/>
          <w:sz w:val="20"/>
          <w:lang w:val="en-US" w:eastAsia="en-US" w:bidi="ar-SA"/>
        </w:rPr>
        <w:t>UCA</w:t>
      </w:r>
      <w:r>
        <w:rPr>
          <w:rFonts w:ascii="arial" w:eastAsia="arial" w:hAnsi="arial" w:cs="arial"/>
          <w:color w:val="000000"/>
          <w:sz w:val="20"/>
          <w:lang w:val="en-US" w:eastAsia="en-US" w:bidi="ar-SA"/>
        </w:rPr>
        <w:t xml:space="preserve">, and/or under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will first briefly address the applicability of the </w:t>
      </w:r>
      <w:r>
        <w:rPr>
          <w:rFonts w:ascii="arial" w:eastAsia="arial" w:hAnsi="arial" w:cs="arial"/>
          <w:i/>
          <w:color w:val="000000"/>
          <w:sz w:val="20"/>
          <w:lang w:val="en-US" w:eastAsia="en-US" w:bidi="ar-SA"/>
        </w:rPr>
        <w:t>UCA</w:t>
      </w:r>
      <w:r>
        <w:rPr>
          <w:rFonts w:ascii="arial" w:eastAsia="arial" w:hAnsi="arial" w:cs="arial"/>
          <w:color w:val="000000"/>
          <w:sz w:val="20"/>
          <w:lang w:val="en-US" w:eastAsia="en-US" w:bidi="ar-SA"/>
        </w:rPr>
        <w:t>, an argument not vigorously pressed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GEID is an improvement district under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It is constituted by way of its Letters Patent and is bound by its Letters Patent and governing bylaws. The GEID is not a "public utility" governed by the </w:t>
      </w:r>
      <w:r>
        <w:rPr>
          <w:rFonts w:ascii="arial" w:eastAsia="arial" w:hAnsi="arial" w:cs="arial"/>
          <w:i/>
          <w:color w:val="000000"/>
          <w:sz w:val="20"/>
          <w:lang w:val="en-US" w:eastAsia="en-US" w:bidi="ar-SA"/>
        </w:rPr>
        <w:t>UCA</w:t>
      </w:r>
      <w:r>
        <w:rPr>
          <w:rFonts w:ascii="arial" w:eastAsia="arial" w:hAnsi="arial" w:cs="arial"/>
          <w:color w:val="000000"/>
          <w:sz w:val="20"/>
          <w:lang w:val="en-US" w:eastAsia="en-US" w:bidi="ar-SA"/>
        </w:rPr>
        <w:t>, so any duty of care that may arise in this case is not grounded in this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definition of "public utility" is found in s. 1 of the </w:t>
      </w:r>
      <w:r>
        <w:rPr>
          <w:rFonts w:ascii="arial" w:eastAsia="arial" w:hAnsi="arial" w:cs="arial"/>
          <w:i/>
          <w:color w:val="000000"/>
          <w:sz w:val="20"/>
          <w:lang w:val="en-US" w:eastAsia="en-US" w:bidi="ar-SA"/>
        </w:rPr>
        <w:t>UCA</w:t>
      </w:r>
      <w:r>
        <w:rPr>
          <w:rFonts w:ascii="arial" w:eastAsia="arial" w:hAnsi="arial" w:cs="arial"/>
          <w:color w:val="000000"/>
          <w:sz w:val="20"/>
          <w:lang w:val="en-US" w:eastAsia="en-US" w:bidi="ar-SA"/>
        </w:rPr>
        <w:t>,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public utility</w:t>
      </w:r>
      <w:r>
        <w:rPr>
          <w:rFonts w:ascii="arial" w:eastAsia="arial" w:hAnsi="arial" w:cs="arial"/>
          <w:color w:val="000000"/>
          <w:sz w:val="20"/>
          <w:lang w:val="en-US" w:eastAsia="en-US" w:bidi="ar-SA"/>
        </w:rPr>
        <w:t>" means a person, or the person's lessee, trustee, receiver or liquidator, who owns or operates in British Columbia, equipment or facilities for</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production, generation, storage, transmission, sale, delivery or provision or electricity, natural gas, steam or any other agent for the production of light, heat, cold or power to or for the public or a corporation for compensation; or</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conveyance or transmission of information, messages or communications by guided or unguided electromagnetic waves, including systems of cable, microwave, optical fibre or radiocommunications if that service is offered to the public for compensation,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GEID clearly does not fit within this definition. Subsection (b) is inapplicable and subsection (a) contains no reference to the production, generation, storage, transmission, sale, delivery or provision of water. The provision of water had been included in the definition of "public utility" in predecessor legislation (</w:t>
      </w:r>
      <w:r>
        <w:rPr>
          <w:rFonts w:ascii="arial" w:eastAsia="arial" w:hAnsi="arial" w:cs="arial"/>
          <w:i/>
          <w:color w:val="000000"/>
          <w:sz w:val="20"/>
          <w:lang w:val="en-US" w:eastAsia="en-US" w:bidi="ar-SA"/>
        </w:rPr>
        <w:t>Public Utilities Act</w:t>
      </w:r>
      <w:r>
        <w:rPr>
          <w:rFonts w:ascii="arial" w:eastAsia="arial" w:hAnsi="arial" w:cs="arial"/>
          <w:color w:val="000000"/>
          <w:sz w:val="20"/>
          <w:lang w:val="en-US" w:eastAsia="en-US" w:bidi="ar-SA"/>
        </w:rPr>
        <w:t xml:space="preserve">, R.S.B.C. 1960, c. 323, s. 2), but this is no longer the case. To the extent the plaintiffs rely upon certain authorities that applied the definition contained in the </w:t>
      </w:r>
      <w:r>
        <w:rPr>
          <w:rFonts w:ascii="arial" w:eastAsia="arial" w:hAnsi="arial" w:cs="arial"/>
          <w:i/>
          <w:color w:val="000000"/>
          <w:sz w:val="20"/>
          <w:lang w:val="en-US" w:eastAsia="en-US" w:bidi="ar-SA"/>
        </w:rPr>
        <w:t>Public Utilities Act</w:t>
      </w:r>
      <w:r>
        <w:rPr>
          <w:rFonts w:ascii="arial" w:eastAsia="arial" w:hAnsi="arial" w:cs="arial"/>
          <w:color w:val="000000"/>
          <w:sz w:val="20"/>
          <w:lang w:val="en-US" w:eastAsia="en-US" w:bidi="ar-SA"/>
        </w:rPr>
        <w:t xml:space="preserve"> for such a proposition, those cases are distinguishable.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Analogous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 will next address whether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is a sufficiently analogous precedent that definitively finds the existence or non-existence of a duty of care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was a case where property owners sued the public authority for losses suffered to their grape harvest as a result of inadequate water supply. During the summer the losses occurred, the defendant was faced with a water shortage and made the decision to regulate the available water supply by shutting off water supplies on particular days. Notice to the owners was provided. The plaintiffs alleged that Westbank's failure to provide water was negligent and in breach of its statutory duty and that it should be held liable for the way it controlled and managed the supply of water to the plaintiffs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At trial, Oliver J. found the parties to the action were in a relationship of proximity and that a duty of care arose with respect to operational decisions of the defendants which affected the plaintiffs, but concluded that the standard of care was met and dismissed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Justice Oliver summarized the applicable test for determining tort liability for a governmental agency as follows:</w:t>
      </w:r>
      <w:r>
        <w:rPr>
          <w:rFonts w:ascii="arial" w:eastAsia="arial" w:hAnsi="arial" w:cs="arial"/>
          <w:sz w:val="20"/>
          <w:lang w:val="en-US" w:eastAsia="en-US" w:bidi="ar-SA"/>
        </w:rPr>
        <w:cr/>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Scope of Court Review of Decisions by a Public Authority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color w:val="000000"/>
          <w:sz w:val="20"/>
          <w:u w:val="single"/>
          <w:lang w:val="en-US" w:eastAsia="en-US" w:bidi="ar-SA"/>
        </w:rPr>
        <w:t>Just v. B.C</w:t>
      </w:r>
      <w:r>
        <w:rPr>
          <w:rFonts w:ascii="arial" w:eastAsia="arial" w:hAnsi="arial" w:cs="arial"/>
          <w:color w:val="000000"/>
          <w:sz w:val="20"/>
          <w:lang w:val="en-US" w:eastAsia="en-US" w:bidi="ar-SA"/>
        </w:rPr>
        <w:t xml:space="preserve">. (1989), </w:t>
      </w:r>
      <w:hyperlink r:id="rId899" w:history="1">
        <w:r>
          <w:rPr>
            <w:rFonts w:ascii="arial" w:eastAsia="arial" w:hAnsi="arial" w:cs="arial"/>
            <w:i/>
            <w:color w:val="0077CC"/>
            <w:sz w:val="20"/>
            <w:u w:val="single"/>
            <w:shd w:val="clear" w:color="auto" w:fill="FFFFFF"/>
            <w:lang w:val="en-US" w:eastAsia="en-US" w:bidi="ar-SA"/>
          </w:rPr>
          <w:t>1989 CanLII 16</w:t>
        </w:r>
      </w:hyperlink>
      <w:r>
        <w:rPr>
          <w:rFonts w:ascii="arial" w:eastAsia="arial" w:hAnsi="arial" w:cs="arial"/>
          <w:color w:val="000000"/>
          <w:sz w:val="20"/>
          <w:lang w:val="en-US" w:eastAsia="en-US" w:bidi="ar-SA"/>
        </w:rPr>
        <w:t xml:space="preserve"> (SCC), </w:t>
      </w:r>
      <w:hyperlink r:id="rId899" w:history="1">
        <w:r>
          <w:rPr>
            <w:rFonts w:ascii="arial" w:eastAsia="arial" w:hAnsi="arial" w:cs="arial"/>
            <w:i/>
            <w:color w:val="0077CC"/>
            <w:sz w:val="20"/>
            <w:u w:val="single"/>
            <w:shd w:val="clear" w:color="auto" w:fill="FFFFFF"/>
            <w:lang w:val="en-US" w:eastAsia="en-US" w:bidi="ar-SA"/>
          </w:rPr>
          <w:t>41 B.C.L.R. (2d) 350</w:t>
        </w:r>
      </w:hyperlink>
      <w:r>
        <w:rPr>
          <w:rFonts w:ascii="arial" w:eastAsia="arial" w:hAnsi="arial" w:cs="arial"/>
          <w:color w:val="000000"/>
          <w:sz w:val="20"/>
          <w:lang w:val="en-US" w:eastAsia="en-US" w:bidi="ar-SA"/>
        </w:rPr>
        <w:t>, Cory J. speaking for the majority of the Supreme Court of Canada (Dickson C.J.C., Wilson, La Forest, L'Heureux-Dubé, Gonthier JJ. concurring), discussed the principles for the imposition of tort liability upon a governmental agency. The applicable test for determining tort liability may be summarized as follows:</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general rule, the traditional tort law duty of care will apply to a governmental agency in the same way that it applies to an individual (at p. 371);</w:t>
      </w:r>
    </w:p>
    <w:p>
      <w:pPr>
        <w:numPr>
          <w:numId w:val="5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exists where the parties are in a relationship of sufficient proximity to warrant the imposition of such a duty (at p. 371);</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should apply to a public authority unless there is a valid basis for its exclusion (at p. 369);</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explicitly statutory exemption may exempt the public body from the imposition of a duty of care (at p. 371);</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exemption from the imposition of a duty of care may arise as a result of the nature of the decision made by the governmental agency (at p. 371);</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Pure policy decisions are exempt from the imposition of a duty of care (at p. 371);</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True policy decisions involve decisions based on social, political or economic factors (at p. 368). The governmental agency must establish that the decision was reasonable in light of the surrounding circumstances (at p. 370); Generally budgetary allotments for governmental departments or agencies will be classified as policy decisions (at p. 371);</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Policy decisions are open to challenge on the basis that they were not made in the bona fide exercise of discretion (at p. 371);</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a duty of care exists, the requisite standard of care of the governmental agency must be considered (at p. 371-2);</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imposed upon the Crown may not be the same as that owed by an individual (at p. 371);</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requisite standard of care to be applied to the particular operation must be assessed in light of all the surrounding circumstances including, budgetary restrictions and the availability of qualifies personnel and equipment;</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in which a policy decision is implemented is an operational decision and is subject to review by the court to determine whether the respondent has satisfied the appropriate standard of care (at p. 372).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Applying this test, Justice Oliver found that that the parties were in a relationship of sufficient proximity to warrant an imposition of a duty of care and, finding no exemption from that duty, held that the defendant had a general duty to provide its services to its users fairly and in a reasonable manner, but did not have a specific duty to ascertain the unique needs of each individual user, including the plaintiffs. The court then considered whether the defendants had met the requisite standard of care and concluded that it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plaintiffs rely on this case and submit that the GEID has a duty to provide water to property owners within its boundaries pursuant to its Letters Patent and it owed a general duty of care to provide water to its users in a reasonable manner. They say no statutory exemptions apply to relieve the GEID of its duty of care and that GEID's decision to deny the plaintiffs continued use of Line A was operational in nature and thus subject to judicial scrutiny.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While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bears some similarities to present case, I conclude that is not sufficiently analogous to be able to find that the plaintiffs' claim against the GEID falls within a settled category the courts have recognized as giving rise to a duty of care. There is no analogous precedent that definitively has found the existence or non-existence of a duty of care in the circumstances presented by this case. Therefore, to determine whether a duty of care exists,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analysis is required.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Foreseeability and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under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the plaintiffs must establish that the harm they allegedly suffered was reasonably foreseeable, and that there was a relationship of sufficient proximity between the plaintiffs and the defendant such that it would be just to impose a duty of care: </w:t>
      </w:r>
      <w:r>
        <w:rPr>
          <w:rFonts w:ascii="arial" w:eastAsia="arial" w:hAnsi="arial" w:cs="arial"/>
          <w:i/>
          <w:color w:val="000000"/>
          <w:sz w:val="20"/>
          <w:lang w:val="en-US" w:eastAsia="en-US" w:bidi="ar-SA"/>
        </w:rPr>
        <w:t>Carhoun and Sons Enterprises Ltd. v. Canada (Attorney General)</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2018 BCSC 1675</w:t>
        </w:r>
      </w:hyperlink>
      <w:r>
        <w:rPr>
          <w:rFonts w:ascii="arial" w:eastAsia="arial" w:hAnsi="arial" w:cs="arial"/>
          <w:color w:val="000000"/>
          <w:sz w:val="20"/>
          <w:lang w:val="en-US" w:eastAsia="en-US" w:bidi="ar-SA"/>
        </w:rPr>
        <w:t xml:space="preserve"> at para. 370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xml:space="preserve">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parties did not discuss foreseeability, perhaps because it is obvious that harm of some sort to the plaintiffs, if the defendant was negligent, is foreseeable. On the evidence, I am satisfied the plaintiffs have established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plaintiffs say that the defendant had a sufficiently close relationship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this case, like was found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The defendant contends, however, that there is no private relationship of proximity between the parties, and that even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policy considerations negate imposing a duty of care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xml:space="preserve"> 2018, Hinkson C.J.C., summarized what is required to establish this second element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[373] The second element required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is proximity. The plaintiff has the onus of establishing that a sufficiently proximate relationship exists between itself and the defendant. In </w:t>
      </w:r>
      <w:r>
        <w:rPr>
          <w:rFonts w:ascii="arial" w:eastAsia="arial" w:hAnsi="arial" w:cs="arial"/>
          <w:i/>
          <w:color w:val="000000"/>
          <w:sz w:val="20"/>
          <w:lang w:val="en-US" w:eastAsia="en-US" w:bidi="ar-SA"/>
        </w:rPr>
        <w:t>Los Angeles Salad Company Inc. v. Canadian Food Inspection Agency</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2013 BCCA 34</w:t>
        </w:r>
      </w:hyperlink>
      <w:r>
        <w:rPr>
          <w:rFonts w:ascii="arial" w:eastAsia="arial" w:hAnsi="arial" w:cs="arial"/>
          <w:color w:val="000000"/>
          <w:sz w:val="20"/>
          <w:lang w:val="en-US" w:eastAsia="en-US" w:bidi="ar-SA"/>
        </w:rPr>
        <w:t xml:space="preserve"> (CanLII) at para. 40 </w:t>
      </w:r>
      <w:r>
        <w:rPr>
          <w:rFonts w:ascii="arial" w:eastAsia="arial" w:hAnsi="arial" w:cs="arial"/>
          <w:i/>
          <w:color w:val="000000"/>
          <w:sz w:val="20"/>
          <w:lang w:val="en-US" w:eastAsia="en-US" w:bidi="ar-SA"/>
        </w:rPr>
        <w:t>[Los Angeles Salad Co</w:t>
      </w:r>
      <w:r>
        <w:rPr>
          <w:rFonts w:ascii="arial" w:eastAsia="arial" w:hAnsi="arial" w:cs="arial"/>
          <w:color w:val="000000"/>
          <w:sz w:val="20"/>
          <w:lang w:val="en-US" w:eastAsia="en-US" w:bidi="ar-SA"/>
        </w:rPr>
        <w:t>.], Mr. Justice Smith outlined three circumstances where a relationship of proximity can exist with respect to government actors: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[40] First, the relationship may be created in the statute itself, although the Court cautioned that, since statutes are most often "aimed at public goods", it may be difficult to infer that the legislature intended to create private law tort duties, especially where such duties would conflict with the duty to the public and where the public duty is overarching. Next proximity may "arise from a series of specific interactions between the government and the claimant" although, even here, a finding of proximity might have to give way for policy reasons if to recognize it would conflict with the statutory duty. Finally, proximity may be found in a combination of statutory duties and interactions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[374] Defining the relationship may involve looking at expectations, representations, reliance, and the property or other interests involved. Essentially, these are factors that allow the evaluation of the closeness of the relationship between the plaintiff and the defendant and inform whether it is just and fair having regard to that relationship to impose a duty of care in law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 find, like the parties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the parties in the present case are in a relationship of sufficient proximity to warrant an imposition of a duty of care, absent an exemption. Proximity does not arise simply by the GEID discharging its responsibilities, but rather arises here because of the direct interaction between the GEID and Mr. Ivans Jr. The GEID gave directions specifically to Mr. Ivans Jr. and, on his individual application, made a decision involving only Holt and Jauvin and the plaintiffs. In this case then, the interactions between the parties put the plaintiffs in a more direct relationship with the defendant than other of its users affected by the GEID's exercise of responsibilities. Therefore, I am satisfied that there is a relationship of sufficient proximity between the plaintiffs and the defendant to impose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these circumstances.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 Residual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This is where the defendant focussed its submissions, recognizing that it bears the burden of establishing any policy reasons for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GEID submits that its decision to not "grandfather" in Line A at the request of Mr. Ivans Jr., which is what the plaintiffs are challenging in this litigation, was an exercise of the GEID Board's quasi-judicial functions and that no private duty of care arises to the plaintiffs for those decisions. In context, the GEID says the proper recourse for the plaintiffs should have been an appeal to the inspector and subsequently, if necessary, an application for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Welbridge Holdings Ltd. v. Greater Winnipeg</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xml:space="preserve">, a municipality had passed a zoning bylaw which was later found to be invalid for failure to give proper public notice of the application hearing. The plaintiff, a developer, had relied upon the bylaw and expended funds. Once the bylaw was declared invalid, the developer sued the municipality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At the Supreme Court of Canada, the Court held that the municipality could not be held liable for the exercise of its legislative functions, nor for those functions that had a "quasi-judicial component". In this case, the municipality's quasi-judicial functions arose from the requirement that it follow proper procedures in carrying out its legislative functions. Laskin J., as he then was, held that no duty of care in tort was owed by a "legislative body, or other statutory tribunal with quasi-judicial functions, which in the good faith exercise of its powers promulgates an enactment or makes a decision which turns out to be invalid..." (p. 967). He rejected the notion that the quasi-judicial function of the municipality in holding a public hearing, taken in isolation, could come under a private tort duty (p. 969).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Laskin J. described the variety of functions of municipal corporations to distinguish between those functions that involve the exercise of legislative or quasi-judicial acts and those that involve administrative or business powers at pp. 968-969: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is a municipal corporation with a variety of functions, some legislative, some with also a quasi-judicial component (as the </w:t>
      </w:r>
      <w:r>
        <w:rPr>
          <w:rFonts w:ascii="arial" w:eastAsia="arial" w:hAnsi="arial" w:cs="arial"/>
          <w:i/>
          <w:color w:val="000000"/>
          <w:sz w:val="20"/>
          <w:lang w:val="en-US" w:eastAsia="en-US" w:bidi="ar-SA"/>
        </w:rPr>
        <w:t>Wiswell</w:t>
      </w:r>
      <w:r>
        <w:rPr>
          <w:rFonts w:ascii="arial" w:eastAsia="arial" w:hAnsi="arial" w:cs="arial"/>
          <w:color w:val="000000"/>
          <w:sz w:val="20"/>
          <w:lang w:val="en-US" w:eastAsia="en-US" w:bidi="ar-SA"/>
        </w:rPr>
        <w:t xml:space="preserve"> case determined) and some administrative or ministerial, or perhaps better categorized as business powers. In exercising the latter, the defendant may undoubtedly (subject to statutory qualification) incur liabilities in contract and in tort, including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may, therefore, be an individualization of responsibility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exercise of business powers which does not exist when the defendant acts in a legislative capacity or performs a quasi-judicial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public character, involving its political and social responsibility to all those who live and work within its territorial limits, distinguishes it, even as respects its exercise of any quasi-judicial function, from the position of a voluntary or statutory body such as a trade union or trade association which may have quasi-judicial and contractual obligations in dealing with its members: cf. Abbott v. Sullivan[10]; Orchard v. Tun-ney[11]. A municipality at what may be called the operating level is different in kind from the same municipality at the legislative or quasi-judicial level where it is exercising discretionary statutory authority. In exercising such authority, a municipality (no less than a provincial Legislature or the Parliament of Canada) may act beyond its powers in the ultimate view of a Court, albeit it acted on the advice of counsel. It would be incredible to say in such circumstances that it owed a duty of care giving rise to liability in damages for its breach. "Invalidity is not the test of fault and it should not be the test of liability": see Davis, 3 Administrative Law Treatise, 1958, at p. 487.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this case, the GEID Board of Trustees passed a resolution implementing its decision to refuse Mr. Ivans Jr.'s request to have Line A "grandfathered" into the current bylaws. I am satisfied the GEID has established that this decision was a good faith exercise of its powers and is properly characterized as quasi-judicial in nature. Pursuant to its bylaws, the GEID Board of Trustees received the request, conferred, applied its bylaws, refused the request, passed a resolution and provided the applicant reasons for the refusal. This lawsuit, at its core, stems from the plaintiffs challenge to the correctness of this decision. It cannot be said the GEID owed a duty of care in tort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the event I am wrong, I will go on to consider another reason GEID advances to negate a duty of care in this case - that its decision in relation to Line A was a policy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xml:space="preserve"> 2018, Hinkson C.J.C. outlined the law in this area at paras. 386-388: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[386] In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government actor, principles arising from the decision of the House of Lords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must be considered, as explained by the Supreme Court of Canada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paras. 38-39: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It is at this second stage of the analysis that the distinction between government policy and execution of policy falls to be considered. It is established that government actors are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policy decisions, but only operational decisions. The basis of this immunity is that policy is the prerogative of the elected Legislature. It is inappropriate for courts to impose liability for the consequences of a particular policy decision. On the other hand, a government actor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executes or carries out the policy. In our view, the exclusion of liability for policy decisions is properly regarded as an application of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exclusion does not relate to the relationship between the parties. Apart from the legal characterization of the government duty as a matter of policy, plaintiffs can and do recover. The exclusion of liability is better viewed as an immunity imposed because of considerations outside the relationship for policy reasons -- more precisely, because it is inappropriate for courts to second-guess elected legislators on policy matters. Similar considerations may arise where the decision in question is quasi-judicial (see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xml:space="preserve"> (CanLII)).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second step of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generally arises only in cases where the duty of care asserted does not fall within a recognized category of recovery. Where it does, we may be satisfied that there are no overriding policy considerations that would negative the duty of care. In this sense, we agree with the Privy Council in </w:t>
      </w:r>
      <w:r>
        <w:rPr>
          <w:rFonts w:ascii="arial" w:eastAsia="arial" w:hAnsi="arial" w:cs="arial"/>
          <w:i/>
          <w:color w:val="000000"/>
          <w:sz w:val="20"/>
          <w:lang w:val="en-US" w:eastAsia="en-US" w:bidi="ar-SA"/>
        </w:rPr>
        <w:t>Yuen Kun Yeu</w:t>
      </w:r>
      <w:r>
        <w:rPr>
          <w:rFonts w:ascii="arial" w:eastAsia="arial" w:hAnsi="arial" w:cs="arial"/>
          <w:color w:val="000000"/>
          <w:sz w:val="20"/>
          <w:lang w:val="en-US" w:eastAsia="en-US" w:bidi="ar-SA"/>
        </w:rPr>
        <w:t xml:space="preserve"> that the second stage of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will seldom arise and that questions of liability will be determined primarily by reference to established and analogous categories of recovery. However, where a duty of care in a novel situation is alleged, as here, we believe it necessary to consider both steps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 discussed above. This ensures that before a duty of care is imposed in a new situation, not only are foreseeability and relational proximity present, but there are no broader considerations that would make imposition of a duty of care unwise.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[387] Canadian courts have accepted the dichotomy first described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between public officials' "policy" decisions, which cannot give rise to tort liability, and their "operational" acts or omissions, which can. In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(CanLII) at para. 14, the Supreme Court of Canada summarized the distinction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Policy decisions about what acts to perform under a statute do not give rise to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other hand, once a decision to act has been made, the government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implements that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[388] In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1989 CanLII 16</w:t>
        </w:r>
      </w:hyperlink>
      <w:r>
        <w:rPr>
          <w:rFonts w:ascii="arial" w:eastAsia="arial" w:hAnsi="arial" w:cs="arial"/>
          <w:color w:val="000000"/>
          <w:sz w:val="20"/>
          <w:lang w:val="en-US" w:eastAsia="en-US" w:bidi="ar-SA"/>
        </w:rPr>
        <w:t xml:space="preserve"> (SCC), </w:t>
      </w:r>
      <w:hyperlink r:id="rId899"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the Supreme Court of Canada considered public authority liability and recognized the distinction between "policy" and "operational" decisions and found that a true policy decision undertaken by a government agency constitutes a valid basis to negate a duty of care. In that case, the majority of the Court commented on what constitutes such a policy decision, stating at 1245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borne in mind that such decisions are generally made by persons of a high level of authority in the agency, but may also properly be made by persons of a lower level of authority. The characterization of such a decision rests on the nature of the decision and not on the identity of the actors. As a general rule, decisions concerning budgetary allotments for departments or government agencies will be classified as policy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GEID has also convinced me that the nature of the decision here, if not legislative or quasi-judicial, is a policy decision, providing a further basis for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about 2003, the GEID made a policy decision to implement the use of water meters, the purpose of which was, and is, to charge customers based upon actual water consumption, measured by way of a water meter. This system avoids the flat rate fee system that would alternatively apply, a system which charges users regardless of actual consumption. As part of the bylaw implementing that policy decision, persons to whom water was supplied were prohibited from supplying water to another property without permission of the Trustees. Again in 2013, in furtherance of this policy, the new bylaw prohibited owners from giving water to other properties without permission of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That decision, to move to a metering system and require each property to have a designated water connection is, as I see it, a pure policy decision. The GEID was taking into account social and economic factors and acting reasonably in light of the scheme they were trying to put in place, which would serve the purpose of providing fairness to all users. The GEID Board resolution was simply the GEID recognizing that policy and requiring compliance from its user. Pure policy decisions are exempt from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Policy decisions are open to challenge on the basis that they were not made in the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exercise of discretion, but no such claim is made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If I am wrong and it could be said that the GEID's decision was neither quasi-judicial nor a policy decision, but operational in nature, a duty of care would exist. In that event, I will go on to consider whether the plaintiffs have established the GEID breached the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Justice Oliver described the analysis involved in determining the standard of care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next step in this analysis involves a determination of the requisite standard of care in light of the circumstances. In </w:t>
      </w:r>
      <w:r>
        <w:rPr>
          <w:rFonts w:ascii="arial" w:eastAsia="arial" w:hAnsi="arial" w:cs="arial"/>
          <w:i/>
          <w:color w:val="000000"/>
          <w:sz w:val="20"/>
          <w:u w:val="single"/>
          <w:lang w:val="en-US" w:eastAsia="en-US" w:bidi="ar-SA"/>
        </w:rPr>
        <w:t>Just, supra</w:t>
      </w:r>
      <w:r>
        <w:rPr>
          <w:rFonts w:ascii="arial" w:eastAsia="arial" w:hAnsi="arial" w:cs="arial"/>
          <w:color w:val="000000"/>
          <w:sz w:val="20"/>
          <w:lang w:val="en-US" w:eastAsia="en-US" w:bidi="ar-SA"/>
        </w:rPr>
        <w:t>, Cory J. stated that the requisite standard of care involves a consideration of the system and the manner in which the decisions are carried out (at p. 373).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summarized the general principles of review by a court of the discretionary powers of a statutory authority in </w:t>
      </w:r>
      <w:r>
        <w:rPr>
          <w:rFonts w:ascii="arial" w:eastAsia="arial" w:hAnsi="arial" w:cs="arial"/>
          <w:i/>
          <w:color w:val="000000"/>
          <w:sz w:val="20"/>
          <w:lang w:val="en-US" w:eastAsia="en-US" w:bidi="ar-SA"/>
        </w:rPr>
        <w:t>Boulis v. Minister of Manpower and Immigration</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[1974] S.C.R. 875</w:t>
        </w:r>
      </w:hyperlink>
      <w:r>
        <w:rPr>
          <w:rFonts w:ascii="arial" w:eastAsia="arial" w:hAnsi="arial" w:cs="arial"/>
          <w:color w:val="000000"/>
          <w:sz w:val="20"/>
          <w:lang w:val="en-US" w:eastAsia="en-US" w:bidi="ar-SA"/>
        </w:rPr>
        <w:t xml:space="preserve"> at 877: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however, such an appeal can succeed only if be shown that the Board ... (b) failed to exercise the discretion given under s. 15 in accordance with well established legal principles. As to those principles, Lord Macmillan speaking for the Judicial Committee said in </w:t>
      </w:r>
      <w:r>
        <w:rPr>
          <w:rFonts w:ascii="arial" w:eastAsia="arial" w:hAnsi="arial" w:cs="arial"/>
          <w:i/>
          <w:color w:val="000000"/>
          <w:sz w:val="20"/>
          <w:lang w:val="en-US" w:eastAsia="en-US" w:bidi="ar-SA"/>
        </w:rPr>
        <w:t>D.R. Fraser and Co. Ltd. v. Minister of National Revenue</w:t>
      </w:r>
      <w:r>
        <w:rPr>
          <w:rFonts w:ascii="arial" w:eastAsia="arial" w:hAnsi="arial" w:cs="arial"/>
          <w:color w:val="000000"/>
          <w:sz w:val="20"/>
          <w:lang w:val="en-US" w:eastAsia="en-US" w:bidi="ar-SA"/>
        </w:rPr>
        <w:t xml:space="preserve">, 1948 CanLII 318 (UK JCPC), </w:t>
      </w:r>
      <w:hyperlink r:id="rId906" w:history="1">
        <w:r>
          <w:rPr>
            <w:rFonts w:ascii="arial" w:eastAsia="arial" w:hAnsi="arial" w:cs="arial"/>
            <w:i/>
            <w:color w:val="0077CC"/>
            <w:sz w:val="20"/>
            <w:u w:val="single"/>
            <w:shd w:val="clear" w:color="auto" w:fill="FFFFFF"/>
            <w:lang w:val="en-US" w:eastAsia="en-US" w:bidi="ar-SA"/>
          </w:rPr>
          <w:t>[1949] A.C. 24</w:t>
        </w:r>
      </w:hyperlink>
      <w:r>
        <w:rPr>
          <w:rFonts w:ascii="arial" w:eastAsia="arial" w:hAnsi="arial" w:cs="arial"/>
          <w:color w:val="000000"/>
          <w:sz w:val="20"/>
          <w:lang w:val="en-US" w:eastAsia="en-US" w:bidi="ar-SA"/>
        </w:rPr>
        <w:t>, at p. 36: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criteria by which the exercise of a statutory discretion must be judged have been defined in many authoritative cases, and it is well settled that if the discretion has been exercised bona fide, uninfluenced by irrelevant considerations and not arbitrarily or illegally, no court is entitled to interfere even if the court, had the discretion been theirs, might have exercised it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Having found the public authority owed a general duty to provide its services fairly and in a reasonable manner, but no specific duty to ascertain the unique needs of each individual user, Oliver J. went on to find that the public authority had a well-organized system in place and that the manner in which it was operated during the period of water shortage was entirely reasonable. On the circumstances before the defendant at the time the decisions were made, Oliver J. found it had acted in good faith and used its best efforts to carry out it duties in accordance with its policy. Reasonable notice of the shut down was also found to have been given. The regulations for the conservation and regulation of water had been applied fairly and reasonably in the circumstances. Since no specific duty to ascertain the individual needs of the plaintiffs was found to exist, the remaining claims of the plaintiffs were dismissed. The defendant was found to have no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 find that under its Letters Patent and bylaws, the GEID owes a duty, upon application, to provide a domestic water connection to an applicant's property line. Like the public authority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it has a general duty to provide its services to its users fairly and in a reasonable manner, but does not have a specific duty to ascertain the unique needs of each individual user, including the plaintiffs. All waterlines and connections located within a user's property lines are the responsibility of the 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GEID did not breach the standard of care in this case. If it was the case that Mr. Ivans Jr. had owned all three properties in the 1960s when the interconnections occurred and he continued to own them all today, I would agree with him, and the GEID concedes, that the GEID could not come in today and insist he build new waterlines with new water connections. But, as my review of the history of the properties revealed earlier in these Reasons, this is not the case. Ownership changed and subdivisions occurred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Ivans Jr. did not own the properties involved when water connections were made. Mr. Ivans Jr. did not contact the GEID about the water connections for his properties when he subdivided in 1996 and transferred ownership of the newly created Lot 2 to his wife. He did not contact the GEID about the water connections when he sold Lot 6 to third parties. At all material times, the GEID's bylaws required that when a property is subdivided, the owner of that property is responsible for establishing a water connection for that newly created property at the owner's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Even taking the plaintiffs' position at its highest, if there had been historical agreements in place between prior property owners and the GEID with respect to Line A, the bylaws in effect in 1996 and 2006 (when Lots 2 and 6 respectively changed ownership) expressly stated that any agreements could not be transferred. In other words, even if agreements for interconnection existed, they would have ceased when the properties were transferred or sold and the new owners would have been responsible for making new agreements with the GEID with respect to the provision of water. This was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August of 2014, the GEID's obligations to supply water were set out under s. 3.4 of Bylaw #147. The GEID was obliged to supply a water connection from the main line to the lot boundary.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At all material times, GEID met this general duty in providing a water connection to each of Lots 1 and 2. There were two domestic waterline connections (and one irrigation connection) at the property line for Lot 1 in the vicinity of the residence at 423 Valley Road North. There was an existing domestic waterline connection at the property line for Lot 2 which provided water to 540 Curtis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GEID's duty requires it to provide its services to its users fairly and in a reasonable manner, but it does not have a specific duty to ascertain the unique needs of each individual user, including the plaintiffs. Its general duty is to all users and requires it to treat all users fairly and ensure special treatment is not afforded to any one user. Exceptions can be made upon application, engaging s. 3.2 of Bylaw #147, which allows an applicant to seek a specific type of service in excess of that supplied from the works of the GEID, but if approved, requires additional payment by the 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is no suggestion that the GEID was not acting in good faith in all of the circumstances. When the GEID became aware that 2488 Sexsmith was accessing its water through another property's connection, it provided Mr. Ivans Jr. with more than sufficient notice that disconnection was necessary and, when Holt and Jauvin, decided to do the work necessary, the GEID made every effort to provide notice to Mr. Ivans 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Ultimately, I find the plaintiffs have failed to establish any breach of the standard of care and failed to establish any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this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the plaintiffs did not pursue their breach of contract claim against the GEID in submissions, I will not address it other than to say that having considered all of the evidence, I agree with the position taken by the GEID that the plaintiffs have failed to establish any claim in this regard, for the reasons advanced by the GEID in its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plaintiffs' claims against the GEID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 AGAINST MS. HOLT AND JAUVIN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October 2003, Mr. Ivans Jr. had the Works Easement prepared by his lawyers and registered. According to Mr. Ivans Jr., the Works Easement was created by him to "legalize" the waterlines and connections on Lot 6 before he sold Lot 6. The plaintiffs' claim that the Works Easement applies to the case at bar, that Holt and Jauvin breached it when they "dug up" Line A on Lot 6 on August 18, 2014, and that such a breach constitutes a nuisance, entitling them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"essence of the tort of nuisance is interference with the enjoyment of land": </w:t>
      </w:r>
      <w:r>
        <w:rPr>
          <w:rFonts w:ascii="arial" w:eastAsia="arial" w:hAnsi="arial" w:cs="arial"/>
          <w:i/>
          <w:color w:val="000000"/>
          <w:sz w:val="20"/>
          <w:lang w:val="en-US" w:eastAsia="en-US" w:bidi="ar-SA"/>
        </w:rPr>
        <w:t>Royal Anne Hotel Co. Ltd. v. Village of Ashcroft</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(1979), 95 D.L.R. (3d) 756</w:t>
        </w:r>
      </w:hyperlink>
      <w:r>
        <w:rPr>
          <w:rFonts w:ascii="arial" w:eastAsia="arial" w:hAnsi="arial" w:cs="arial"/>
          <w:color w:val="000000"/>
          <w:sz w:val="20"/>
          <w:lang w:val="en-US" w:eastAsia="en-US" w:bidi="ar-SA"/>
        </w:rPr>
        <w:t xml:space="preserve"> at 759. Justice Verhoeven summarized the legal principles relating to nuisance, referencing </w:t>
      </w:r>
      <w:r>
        <w:rPr>
          <w:rFonts w:ascii="arial" w:eastAsia="arial" w:hAnsi="arial" w:cs="arial"/>
          <w:i/>
          <w:color w:val="000000"/>
          <w:sz w:val="20"/>
          <w:lang w:val="en-US" w:eastAsia="en-US" w:bidi="ar-SA"/>
        </w:rPr>
        <w:t>Royal Anne Hotel</w:t>
      </w:r>
      <w:r>
        <w:rPr>
          <w:rFonts w:ascii="arial" w:eastAsia="arial" w:hAnsi="arial" w:cs="arial"/>
          <w:color w:val="000000"/>
          <w:sz w:val="20"/>
          <w:lang w:val="en-US" w:eastAsia="en-US" w:bidi="ar-SA"/>
        </w:rPr>
        <w:t xml:space="preserve">, recently in </w:t>
      </w:r>
      <w:r>
        <w:rPr>
          <w:rFonts w:ascii="arial" w:eastAsia="arial" w:hAnsi="arial" w:cs="arial"/>
          <w:i/>
          <w:color w:val="000000"/>
          <w:sz w:val="20"/>
          <w:lang w:val="en-US" w:eastAsia="en-US" w:bidi="ar-SA"/>
        </w:rPr>
        <w:t>Suzuki v. Munroe</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2009 BCSC 1403</w:t>
        </w:r>
      </w:hyperlink>
      <w:r>
        <w:rPr>
          <w:rFonts w:ascii="arial" w:eastAsia="arial" w:hAnsi="arial" w:cs="arial"/>
          <w:color w:val="000000"/>
          <w:sz w:val="20"/>
          <w:lang w:val="en-US" w:eastAsia="en-US" w:bidi="ar-SA"/>
        </w:rPr>
        <w:t xml:space="preserve"> at paras. 33-36 and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A leading authority in British Columbia on the law of nuisance is </w:t>
      </w:r>
      <w:r>
        <w:rPr>
          <w:rFonts w:ascii="arial" w:eastAsia="arial" w:hAnsi="arial" w:cs="arial"/>
          <w:i/>
          <w:color w:val="000000"/>
          <w:sz w:val="20"/>
          <w:lang w:val="en-US" w:eastAsia="en-US" w:bidi="ar-SA"/>
        </w:rPr>
        <w:t>Royal Anne Hotel Co. Ltd. v. Village of Ashcroft</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(1979), 95 D.L.R. (3d) 756</w:t>
        </w:r>
      </w:hyperlink>
      <w:r>
        <w:rPr>
          <w:rFonts w:ascii="arial" w:eastAsia="arial" w:hAnsi="arial" w:cs="arial"/>
          <w:color w:val="000000"/>
          <w:sz w:val="20"/>
          <w:lang w:val="en-US" w:eastAsia="en-US" w:bidi="ar-SA"/>
        </w:rPr>
        <w:t xml:space="preserve">. The judgment of the Court was delivered by McIntyre J.A. He noted at 759 that "The essence of the tort of nuisance is interference with the enjoyment of land. (Street, </w:t>
      </w:r>
      <w:r>
        <w:rPr>
          <w:rFonts w:ascii="arial" w:eastAsia="arial" w:hAnsi="arial" w:cs="arial"/>
          <w:i/>
          <w:color w:val="000000"/>
          <w:sz w:val="20"/>
          <w:lang w:val="en-US" w:eastAsia="en-US" w:bidi="ar-SA"/>
        </w:rPr>
        <w:t>Law of Torts</w:t>
      </w:r>
      <w:r>
        <w:rPr>
          <w:rFonts w:ascii="arial" w:eastAsia="arial" w:hAnsi="arial" w:cs="arial"/>
          <w:color w:val="000000"/>
          <w:sz w:val="20"/>
          <w:lang w:val="en-US" w:eastAsia="en-US" w:bidi="ar-SA"/>
        </w:rPr>
        <w:t>, at p. 212.)". He added at 759: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interference need not be accompanied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nuisance one is concerned with the invasion of the interest in the land,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one must consider the nature of the conduct complained of. Nuisances result frequently from intentional acts undertaken for lawful purposes. The most carefully designed industrial plant operated with the greatest care may well be or cause a nuisance, if for example effluent, smoke, fumes or noise invade the right of enjoyment of neighbouring land owners to an unreasonable degree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McIntyre J.A. referred to the following proposition from H. Street,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4th ed. (London: Butterworths, 1968) at 215: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then, may be said to have committed the tort of private nuisance </w:t>
      </w:r>
      <w:r>
        <w:rPr>
          <w:rFonts w:ascii="arial" w:eastAsia="arial" w:hAnsi="arial" w:cs="arial"/>
          <w:i/>
          <w:color w:val="000000"/>
          <w:sz w:val="20"/>
          <w:lang w:val="en-US" w:eastAsia="en-US" w:bidi="ar-SA"/>
        </w:rPr>
        <w:t>when he is held to be responsible for an act indirectly causing physical injury to land or substantially interfering with the use or enjoyment of land or an interest in land where, in the light of all the surrounding circumstances, this injury or interference is held to be unreasonable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He added at 760-61: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an unreasonable invasion of an interest in land? All circumstances must, of course, be considered in answering this question. What may be reasonable at one time or place may be completely unreasonable at another. It is certainly not every smell, whiff of smoke, sound of machinery or music which will entitle the indignant plaintiff to recover. It is impossible to lay down precise and detailed standards but the invasion must be substantial and serious and of such a nature that it is clear according to the accepted concepts of the day that it should be an actionable wrong. It has been said, see McLaren, "Nuisance in Canada",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that Canadian Judges have adopted the words of Knight Bruce, V.-C., in </w:t>
      </w:r>
      <w:r>
        <w:rPr>
          <w:rFonts w:ascii="arial" w:eastAsia="arial" w:hAnsi="arial" w:cs="arial"/>
          <w:i/>
          <w:color w:val="000000"/>
          <w:sz w:val="20"/>
          <w:lang w:val="en-US" w:eastAsia="en-US" w:bidi="ar-SA"/>
        </w:rPr>
        <w:t>Walter v. Selfe</w:t>
      </w:r>
      <w:r>
        <w:rPr>
          <w:rFonts w:ascii="arial" w:eastAsia="arial" w:hAnsi="arial" w:cs="arial"/>
          <w:color w:val="000000"/>
          <w:sz w:val="20"/>
          <w:lang w:val="en-US" w:eastAsia="en-US" w:bidi="ar-SA"/>
        </w:rPr>
        <w:t xml:space="preserve"> (1851), 4 De G. &amp; Sm. 315, [at p. 322], 64 E.R. 849, to the effect that actionability will result from an interference with "the ordinary comfort physically of human existence, not merely according to elegant or dainty modes and habits of living, but according to plain and sober and simple notions". These words were approved by Middleton, J., in the Ontario High Court in </w:t>
      </w:r>
      <w:r>
        <w:rPr>
          <w:rFonts w:ascii="arial" w:eastAsia="arial" w:hAnsi="arial" w:cs="arial"/>
          <w:i/>
          <w:color w:val="000000"/>
          <w:sz w:val="20"/>
          <w:lang w:val="en-US" w:eastAsia="en-US" w:bidi="ar-SA"/>
        </w:rPr>
        <w:t>Appleby v. Erie Tobacco Co</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(1910), 22 O.L.R. 533</w:t>
        </w:r>
      </w:hyperlink>
      <w:r>
        <w:rPr>
          <w:rFonts w:ascii="arial" w:eastAsia="arial" w:hAnsi="arial" w:cs="arial"/>
          <w:color w:val="000000"/>
          <w:sz w:val="20"/>
          <w:lang w:val="en-US" w:eastAsia="en-US" w:bidi="ar-SA"/>
        </w:rPr>
        <w:t xml:space="preserve"> at pp. 535-6. In reaching a conclusion, the Court must consider the nature of the act complained of and the nature of the injury suffered. Consideration must also be given to the character of the neighbourhood where the nuisance is alleged, the frequency of the occurrence of the nuisance, its duration, and many other factors which could be of significance in special circumstances. While an owner of land in a quiet residential district may well expect to be protected from the operation of a boiler factory on his neighbour's land, he may not be entitled to expect to prevent the boilermaker from pursuing his lawful calling when he seeks to put his residence in an industrial area next to the factory. The conflicting interests must be weighed and considered against all the circumstances. The social utility of the conduct complained of must be weighed against the significance of the injury caused and the value of the interest sought to be protected.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principles were also reviewed by the Supreme Court of Canada in </w:t>
      </w:r>
      <w:r>
        <w:rPr>
          <w:rFonts w:ascii="arial" w:eastAsia="arial" w:hAnsi="arial" w:cs="arial"/>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at 1190 through 1192, and more recently in </w:t>
      </w:r>
      <w:r>
        <w:rPr>
          <w:rFonts w:ascii="arial" w:eastAsia="arial" w:hAnsi="arial" w:cs="arial"/>
          <w:i/>
          <w:color w:val="000000"/>
          <w:sz w:val="20"/>
          <w:lang w:val="en-US" w:eastAsia="en-US" w:bidi="ar-SA"/>
        </w:rPr>
        <w:t>St. Lawrence Cement Inc. v. Barrette</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2008 SCC 64</w:t>
        </w:r>
      </w:hyperlink>
      <w:r>
        <w:rPr>
          <w:rFonts w:ascii="arial" w:eastAsia="arial" w:hAnsi="arial" w:cs="arial"/>
          <w:color w:val="000000"/>
          <w:sz w:val="20"/>
          <w:lang w:val="en-US" w:eastAsia="en-US" w:bidi="ar-SA"/>
        </w:rPr>
        <w:t>, at para. 77. There, the Court stated as follows (references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common law, nuisance is a field of liability that focuses on the harm suffered rather than on prohibited conduct. Nuisance is defined as unreasonable interference with the use of land. Whether the interference results from intentional, negligent or non-faulty conduct is of no consequence provided that the harm can be characterized as a nuisance. The interference must be intolerable to an ordinary person. This is assessed by considering factors such as the nature, severity and duration of the interference, the character of the neighbourhood, the sensitivity of the plaintiff's use and the utility of the activity. The interference must be substantial, which means that compensation will not be awarded for trivial annoyances.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invasion complained of must be substantial and serious, and it must be clearly unacceptable according to accepted concepts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To determine whether the plaintiffs have proven Holt and Jauvin unreasonably interfered with the use or enjoyment of their interest in land, I must first interpret the Works Easement to determine its scope and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It is settled law that easements are to be interpreted as contractual documents: </w:t>
      </w:r>
      <w:r>
        <w:rPr>
          <w:rFonts w:ascii="arial" w:eastAsia="arial" w:hAnsi="arial" w:cs="arial"/>
          <w:i/>
          <w:color w:val="000000"/>
          <w:sz w:val="20"/>
          <w:lang w:val="en-US" w:eastAsia="en-US" w:bidi="ar-SA"/>
        </w:rPr>
        <w:t>Robb v. Walker</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2015 BCCA 117</w:t>
        </w:r>
      </w:hyperlink>
      <w:r>
        <w:rPr>
          <w:rFonts w:ascii="arial" w:eastAsia="arial" w:hAnsi="arial" w:cs="arial"/>
          <w:color w:val="000000"/>
          <w:sz w:val="20"/>
          <w:lang w:val="en-US" w:eastAsia="en-US" w:bidi="ar-SA"/>
        </w:rPr>
        <w:t xml:space="preserve"> at paras. 30-31. In </w:t>
      </w:r>
      <w:r>
        <w:rPr>
          <w:rFonts w:ascii="arial" w:eastAsia="arial" w:hAnsi="arial" w:cs="arial"/>
          <w:i/>
          <w:color w:val="000000"/>
          <w:sz w:val="20"/>
          <w:lang w:val="en-US" w:eastAsia="en-US" w:bidi="ar-SA"/>
        </w:rPr>
        <w:t>Arbutus Bay Estates Ltd. v. Canada (Attorney General</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2017 BCCA 374</w:t>
        </w:r>
      </w:hyperlink>
      <w:r>
        <w:rPr>
          <w:rFonts w:ascii="arial" w:eastAsia="arial" w:hAnsi="arial" w:cs="arial"/>
          <w:color w:val="000000"/>
          <w:sz w:val="20"/>
          <w:lang w:val="en-US" w:eastAsia="en-US" w:bidi="ar-SA"/>
        </w:rPr>
        <w:t xml:space="preserve">, Justice Tysoe, referencing </w:t>
      </w:r>
      <w:r>
        <w:rPr>
          <w:rFonts w:ascii="arial" w:eastAsia="arial" w:hAnsi="arial" w:cs="arial"/>
          <w:i/>
          <w:color w:val="000000"/>
          <w:sz w:val="20"/>
          <w:lang w:val="en-US" w:eastAsia="en-US" w:bidi="ar-SA"/>
        </w:rPr>
        <w:t>Robb</w:t>
      </w:r>
      <w:r>
        <w:rPr>
          <w:rFonts w:ascii="arial" w:eastAsia="arial" w:hAnsi="arial" w:cs="arial"/>
          <w:color w:val="000000"/>
          <w:sz w:val="20"/>
          <w:lang w:val="en-US" w:eastAsia="en-US" w:bidi="ar-SA"/>
        </w:rPr>
        <w:t>, discussed the correct approach to interpreting an easement and the standard of review applicable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first sub-issue to be addressed on this point is the appropriate standard of review to be applied by an appellate court to an interpretation of an easement by a trial judge. This sub-issue has already been considered by this Court in </w:t>
      </w:r>
      <w:r>
        <w:rPr>
          <w:rFonts w:ascii="arial" w:eastAsia="arial" w:hAnsi="arial" w:cs="arial"/>
          <w:i/>
          <w:color w:val="000000"/>
          <w:sz w:val="20"/>
          <w:lang w:val="en-US" w:eastAsia="en-US" w:bidi="ar-SA"/>
        </w:rPr>
        <w:t>Robb v. Walker</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2015 BCCA 117</w:t>
        </w:r>
      </w:hyperlink>
      <w:r>
        <w:rPr>
          <w:rFonts w:ascii="arial" w:eastAsia="arial" w:hAnsi="arial" w:cs="arial"/>
          <w:color w:val="000000"/>
          <w:sz w:val="20"/>
          <w:lang w:val="en-US" w:eastAsia="en-US" w:bidi="ar-SA"/>
        </w:rPr>
        <w:t xml:space="preserve">, where the majority held, at para. 40, that there is no principled basis to distinguish between cases involving the interpretation of easements and the interpretation of contracts, with the result that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 xml:space="preserve">, is the governing authority with respect to the standard of review. In </w:t>
      </w:r>
      <w:r>
        <w:rPr>
          <w:rFonts w:ascii="arial" w:eastAsia="arial" w:hAnsi="arial" w:cs="arial"/>
          <w:i/>
          <w:color w:val="000000"/>
          <w:sz w:val="20"/>
          <w:lang w:val="en-US" w:eastAsia="en-US" w:bidi="ar-SA"/>
        </w:rPr>
        <w:t>Robb</w:t>
      </w:r>
      <w:r>
        <w:rPr>
          <w:rFonts w:ascii="arial" w:eastAsia="arial" w:hAnsi="arial" w:cs="arial"/>
          <w:color w:val="000000"/>
          <w:sz w:val="20"/>
          <w:lang w:val="en-US" w:eastAsia="en-US" w:bidi="ar-SA"/>
        </w:rPr>
        <w:t>, the Court upheld the trial judge's interpretation of an easement even though it was acknowledged there was a potentially broader interpretation (to which the minority would have given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the Supreme Court of Canada mandated a deferential approach to appellate review of the interpretation of contracts. It held that contractual interpretation involves issues of mixed fact and law because the words of the written contract must be considered in light of the factual matrix (para. 50), which is of heightened importance in the case of easements. As a result, the standard of review is one of palpable and overriding error unless an extricable error of law can be identified. Extricable errors of law include "the application of an incorrect principle, the failure to consider a required element of a legal test, or the failure to consider a relevant factor" (para. 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This deferential approach is grounded in the trial judge's enhanced position to assess the factual matrix. However, the Supreme Court of Canada warned that the factual matrix should not govern over the wording of the document: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[57] While the surrounding circumstances will be considered in interpreting the terms of a contract, they must never be allowed to overwhelm the words of that agreement (</w:t>
      </w:r>
      <w:r>
        <w:rPr>
          <w:rFonts w:ascii="arial" w:eastAsia="arial" w:hAnsi="arial" w:cs="arial"/>
          <w:i/>
          <w:color w:val="000000"/>
          <w:sz w:val="20"/>
          <w:lang w:val="en-US" w:eastAsia="en-US" w:bidi="ar-SA"/>
        </w:rPr>
        <w:t>Hayes Forest Services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Hayes Forest Services Ltd. v. Weyerhaeuser Co.</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2008 BCCA 31</w:t>
        </w:r>
      </w:hyperlink>
      <w:r>
        <w:rPr>
          <w:rFonts w:ascii="arial" w:eastAsia="arial" w:hAnsi="arial" w:cs="arial"/>
          <w:color w:val="000000"/>
          <w:sz w:val="20"/>
          <w:lang w:val="en-US" w:eastAsia="en-US" w:bidi="ar-SA"/>
        </w:rPr>
        <w:t xml:space="preserve">], at para. 14; and Hall [Geoff R. Hall, </w:t>
      </w:r>
      <w:r>
        <w:rPr>
          <w:rFonts w:ascii="arial" w:eastAsia="arial" w:hAnsi="arial" w:cs="arial"/>
          <w:i/>
          <w:color w:val="000000"/>
          <w:sz w:val="20"/>
          <w:lang w:val="en-US" w:eastAsia="en-US" w:bidi="ar-SA"/>
        </w:rPr>
        <w:t>Canadian Contractual Interpretation Law</w:t>
      </w:r>
      <w:r>
        <w:rPr>
          <w:rFonts w:ascii="arial" w:eastAsia="arial" w:hAnsi="arial" w:cs="arial"/>
          <w:color w:val="000000"/>
          <w:sz w:val="20"/>
          <w:lang w:val="en-US" w:eastAsia="en-US" w:bidi="ar-SA"/>
        </w:rPr>
        <w:t>, 2nd ed. (Markham, Ont.: LexisNexis, 2012)], at p. 30). The goal of examining such evidence is to deepen a decision-maker's understanding of the mutual and objective intentions of the parties as expressed in the words of the contract. The interpretation of a written contractual provision must always be grounded in the text and read in light of the entire contract (Hall, at pp. 15 and 30-32). While the surrounding circumstances are relied upon in the interpretive process, courts cannot use them to deviate from the text such that the court effectively creates a new agreement (</w:t>
      </w:r>
      <w:r>
        <w:rPr>
          <w:rFonts w:ascii="arial" w:eastAsia="arial" w:hAnsi="arial" w:cs="arial"/>
          <w:i/>
          <w:color w:val="000000"/>
          <w:sz w:val="20"/>
          <w:lang w:val="en-US" w:eastAsia="en-US" w:bidi="ar-SA"/>
        </w:rPr>
        <w:t>Glaswegian Enterprises Inc. v. B.C. Tel Mobility Cellular Inc</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(1997), 101 B.C.A.C. 62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t>
      </w:r>
      <w:r>
        <w:rPr>
          <w:rFonts w:ascii="arial" w:eastAsia="arial" w:hAnsi="arial" w:cs="arial"/>
          <w:i/>
          <w:color w:val="000000"/>
          <w:sz w:val="20"/>
          <w:lang w:val="en-US" w:eastAsia="en-US" w:bidi="ar-SA"/>
        </w:rPr>
        <w:t>Robb</w:t>
      </w:r>
      <w:r>
        <w:rPr>
          <w:rFonts w:ascii="arial" w:eastAsia="arial" w:hAnsi="arial" w:cs="arial"/>
          <w:color w:val="000000"/>
          <w:sz w:val="20"/>
          <w:lang w:val="en-US" w:eastAsia="en-US" w:bidi="ar-SA"/>
        </w:rPr>
        <w:t xml:space="preserve"> also dealt with the general principles of interpreting an easement: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When interpreting an easement, the court must have regard to the plain and ordinary meaning of the words in the grant to determine what the intention of the parties was at the time the agreement was entered into. Surrounding circumstances, that is, objective evidence of the background facts at the time of the execution of the contract, are to be considered in interpreting the terms of a contract: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at para. 58.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wording of the instrument creating the right of way should govern interpretation unless (1) there is an ambiguity in the wording, or (2) the surrounding circumstances demonstrate that both parties could not have intended a particular use of the easement that is authorized by the wording of the document: </w:t>
      </w:r>
      <w:r>
        <w:rPr>
          <w:rFonts w:ascii="arial" w:eastAsia="arial" w:hAnsi="arial" w:cs="arial"/>
          <w:i/>
          <w:color w:val="000000"/>
          <w:sz w:val="20"/>
          <w:lang w:val="en-US" w:eastAsia="en-US" w:bidi="ar-SA"/>
        </w:rPr>
        <w:t>Granfield v. Cowichan Valley (Regional District)</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(1996), 16 B.C.L.R. (3d) 382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Also see the </w:t>
      </w:r>
      <w:r>
        <w:rPr>
          <w:rFonts w:ascii="arial" w:eastAsia="arial" w:hAnsi="arial" w:cs="arial"/>
          <w:i/>
          <w:color w:val="000000"/>
          <w:sz w:val="20"/>
          <w:lang w:val="en-US" w:eastAsia="en-US" w:bidi="ar-SA"/>
        </w:rPr>
        <w:t>McCorquodale</w:t>
      </w:r>
      <w:r>
        <w:rPr>
          <w:rFonts w:ascii="arial" w:eastAsia="arial" w:hAnsi="arial" w:cs="arial"/>
          <w:color w:val="000000"/>
          <w:sz w:val="20"/>
          <w:lang w:val="en-US" w:eastAsia="en-US" w:bidi="ar-SA"/>
        </w:rPr>
        <w:t xml:space="preserve"> decision, which was relied upon by the trial judge, at paras. 23 to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There is no dispute that Lots 1 and 2 are not identified in the Works Easement. There is also no dispute that Line A is not located under the existing roadway on Lot 6. Rather, Line A is located on the side of the house opposite to where the existing roadway lies. Nevertheless, the plaintiffs submit that these are mistakes or ambiguities only and ask that I consider the context, including Mr. Ivans Jr.'s intention, and construe the Works Easement as a blanket easement over all of Lot 6 for the benefit of Lots 1 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 am of the view that to interpret the Works Easement in the manner suggested by the plaintiffs would be to commit precisely the error identified by the Court of Appeal in </w:t>
      </w:r>
      <w:r>
        <w:rPr>
          <w:rFonts w:ascii="arial" w:eastAsia="arial" w:hAnsi="arial" w:cs="arial"/>
          <w:i/>
          <w:color w:val="000000"/>
          <w:sz w:val="20"/>
          <w:lang w:val="en-US" w:eastAsia="en-US" w:bidi="ar-SA"/>
        </w:rPr>
        <w:t>Arbutus Estates</w:t>
      </w:r>
      <w:r>
        <w:rPr>
          <w:rFonts w:ascii="arial" w:eastAsia="arial" w:hAnsi="arial" w:cs="arial"/>
          <w:color w:val="000000"/>
          <w:sz w:val="20"/>
          <w:lang w:val="en-US" w:eastAsia="en-US" w:bidi="ar-SA"/>
        </w:rPr>
        <w:t>. To construe it as a blanket easement over Lot 6 for the benefit of Lots 1 and 2, in light of the clear and unambiguous language of the instrument, would be to allow the surrounding circumstances to overwhelm the words of the easement and give the words a meaning they cannot bear.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Works Easement identifies the Transferor (the servient tenement) as the registered owner of Lot 6 and the Transferee (the dominant tenement) as the registered owner of Lots D and F. It also sets out the intention of the Transferor in the Recitals as follows: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Transferor intends to grant an easement over the Transferor's Lands for the benefit of the Transferees' Lands for the purposes set forth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relevant provisions of the Works Easement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therefore this agreement witnesses that in consideration of the premises, covenants, warranties and representations herein contained, and of the sum of One ($1.00) Dollar now paid by the Transferee to the Transferor (the receipt and sufficiency of which is hereby acknowledged by the Transferor) and for other good and valuable consideration, the parties hereby agree as follows:</w:t>
      </w:r>
    </w:p>
    <w:p>
      <w:pPr>
        <w:numPr>
          <w:numId w:val="6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Transferor does hereby grant an Easement over the Transferor's Lands unto and for the benefit of the Transferee, its heirs, executors, administrators, successors and assigns together with a full, free and uninterrupted right, license, liberty, privilege, permission and right-of-way forever, at all times and from time to time, to pass over, under, in and through the Transferor's Lands together with the right of uninterrupted ingress, egress and regress for the Transferee, its servants, agents and licensees with or without vehicles, supplies or equipment, </w:t>
      </w:r>
      <w:r>
        <w:rPr>
          <w:rFonts w:ascii="arial" w:eastAsia="arial" w:hAnsi="arial" w:cs="arial"/>
          <w:color w:val="000000"/>
          <w:sz w:val="20"/>
          <w:u w:val="single"/>
          <w:lang w:val="en-US" w:eastAsia="en-US" w:bidi="ar-SA"/>
        </w:rPr>
        <w:t>to facilitate the installation, maintenance, repair and replacement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 underground waterworks and/or sewer system, including without limitation, all pipes, conduits, hydrants, valves, fittings, cisterns, pumps and other ancillary equipment in connection therewith;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the purposes of access to, and maintenance and harvesting for the Transferee's benefit of the cherry trees located on the Transferor's Lands at the date of this easement (</w:t>
      </w:r>
      <w:r>
        <w:rPr>
          <w:rFonts w:ascii="arial" w:eastAsia="arial" w:hAnsi="arial" w:cs="arial"/>
          <w:color w:val="000000"/>
          <w:sz w:val="20"/>
          <w:u w:val="single"/>
          <w:lang w:val="en-US" w:eastAsia="en-US" w:bidi="ar-SA"/>
        </w:rPr>
        <w:t>collectively called the "Works"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Transferee hereby covenants to and agrees with the Transferor that the Transferee will: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install and maintain the Works only in the existing roadway on the Transferor's Lands and all at its own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Easement hereby granted shall be appurtenant to the Transferee's Lands which said lands shall, for the purpose of the Easement hereby granted constitute the dominant tenement and the Transferor's Lands shall constitute the servient tenement.</w:t>
      </w:r>
    </w:p>
    <w:p>
      <w:pPr>
        <w:numPr>
          <w:numId w:val="7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Easement herein contained shall be construed as a covenant running with the Transferor's Lands and the Transferee's Lands and shall be binding upon the owners thereof from time to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Notwithstanding the blanket nature of this agreement, the Transferee covenants with the Transferor that it will restrict its use of the Transferor's Lands to the existing roadway located thereon, and that the rights granted herein over the Transferor's Lands in no way grants the Transferee any right of access or usage over any other portion of the Transferor's Lands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construing the scope of the easement, I am first to have regard to the words used and give them their ordinary meaning in the context of the instrument as a whole. When I do so, I see no ambiguity in the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Works Easement clearly allows for access and utilities to pass over Lot 6 to adjacent properties, Lots D and F, but not to Lot 1 (where 2488 Sexsmith Road is located) or to Lot 2 (where 538 Curtis Road is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When looked at in its entirety, the language in the easement does not support it being a blanket easement. It clearly allows the owners of Lot D and F to pass over, under, in and through Lot 6 for the purpose of installing, repairing, replacing and maintaining the Works, but it contains a restriction that the Works can only be installed and maintained in the existing roadway. Line A was in existence at the time this instrument was created. The roadway on Lot 6 was in existence at the time this instrument was created. Line A does not run anywhere near the roadway on Lot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While it is true that an easement agreement may, within it, contain additional or separate covenants, s. 3(g) of the Works Easement "along with all other terms in this particular easement agreement" is a subordinate term. As the defendants have submitted, s. 3(g) has no effect by itself. It does not create, or purport to create, a separate interest in Lot 6. It, therefore, cannot be interpreted as a restrictive or any particular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rest of the language of the Works Easement itself does not support it being a blanket easement. This is particularly so in light of paragraph 7, which specifically says "Notwithstanding the blanket nature of this agreement", the owner of Lots D and F will restrict its use of Lot 6 to the existing roadway located thereon". The paragraph continues by affirming this restriction by stating that the grant "in no way" grants the owner of Lots D and F "any right of access or usage over any other portion" of Lot 6. The wording here is clear and unambiguous and does not support this being a blanket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agree with the defendants that this interpretation is further supported by the circumstances existing at the time the Works Easement was created. Mr. Ivans Jr. created the Works Easement in contemplation of selling Lot 6. As a residential lot, it makes commercial sense to limit the scope of the easement to a portion of Lot 6, the existing roadway, rather than to have a blanket easement allowing the owners of Lots D and F access to all of Lot 6 as they might wish from time to time. I find the Works Easement cannot be construed as a blanket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Further, I agree with the defendants' assertion that at the time Mr. Ivans Jr. instructed his lawyers to draft the easement, he knew or ought to have known, that Line A was not installed under the existing roadway and also knew that Lots C, D and E had been subdivided into Lots 1 and 2. These circumstances existed at the time the Works Easement was created and did not change after it was created. If Mr. Ivans Jr. wanted to create and easement to protect Line A for the benefit of Lots 1 and 2, he could have easily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Since the Works Easement does not apply to Lots 1 and 2, it is inapplicable to this case. As well, since Line A was not built under the existing roadway on Lot 6, it was not protected by the Works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Moreover, even if the instrument could be construed in the manner sought by the plaintiffs, there is nothing in the Works Easement itself which grants a right to have a water system on Lot 6 installed and maintained for the benefit of Lots 1 and 2. To interpret the Works Easement in such a manner would be to impose a positive obligation on the owners of servient tenement to provide and maintain a water system for the benefit of the dominant tenement. This would be inconsistent with the words of the agreement and the jurisprudence regarding the nature of an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find that when Holt and Jauvin retained a contractor to cap that portion of Line A running under Lot 6 to bring their water connection in compliance with GEID's bylaws, they did nothing wrong. They did not breach the Works Easement and did not interfere with the plaintiffs' use of or interest in land. The plaintiffs have failed to establish their claim in nuisance. Their claim against Holt and Jauvin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defendants GEID, Holt and Jauvin are entitled to their costs on the ordinary scale, unless there are matters the parties wish to bring to my attention pertinent to the issue of costs. If the parties wish to make further submissions on the issue of costs, they may arrange a date through Supreme Court Scheduling within 60 days of today's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DONEGAN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56" type="#_x0000_t75" style="width:420pt;height:567.75pt">
            <v:imagedata r:id="rId918"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57" style="position:absolute;z-index:2518108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Mann v. Kathuria, [2017] B.C.J. No. 2462</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McKibbon (Re), [2019] B.C.J. No. 963</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Mirhadi v. Famous Players Inc., [2002] B.C.J. No. 345</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Northwest Organics Limited Partnership v. Sam, [2017] B.C.J. No. 1262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O'Connell Electric Ltd. v. British Columbia Hydro and Power Authority, [2006] B.C.J. No. 2864</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Ramadan v. University of British Columbia, [2018] B.C.J. No. 1320</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Ram Construction Inc. v. JBLK Enterprises Inc., [2010] B.C.J. No. 1866</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v. College of the Rockies, [2002] B.C.J. No. 3119</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 Pierre v. Chriscan Enterprises Ltd., [2013] B.C.J. No. 2687</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Thomson v. A.R. Thomson Group, [2018] B.C.J. No. 357</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Todoruk v. Trapp, [2005] B.C.J. No. 2617</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Towriss v. Westminster Savings and Credit Union, [2005] B.C.J. No. 1087</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of America v. Cong, [2008] B.C.J. No. 895</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Value Analytix Ltd. v. Doman Industries Ltd., [2006] B.C.J. No. 1241</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Wallman v. Doe, [2014] B.C.J. No. 1073</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Wang v. British Columbia Medical Assn., [2010] B.C.J. No. 1674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Wang v. Dhaliwal, [2014] B.C.J. No. 2233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Wellesley Lake Trophy Lodge Inc. v. BLD Silviculture Ltd., [2005] B.C.J. No. 565</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Western Aerial Applications Ltd. v. Turbomeca USA, Inc., [2009] B.C.J. No. 249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Wiseman v. British Columbia, [2006] B.C.J. No. 2972</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Zhu v. Aston Martin Lagonda Ltd., [2017] B.C.J. No. 1193</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0923063 B.C. Ltd. v. JM Food Services Ltd., [2019] B.C.J. No. 621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0984394 B.C. Ltd. v. Sticky's Candy Holdings Ltd., [2017] B.C.J. No. 1962</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Al-Hendawi v. Sidhu, [2008] B.C.J. No. 33</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Beauchamp v. Insurance Corp. of British Columbia, [2005] B.C.J. No. 68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B.G. v. British Columbia, [2002] B.C.J. No. 2246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Boehmke v. Grant, [2007] B.C.J. No. 2039</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Bracic v. Prior, [2003] B.C.J. No. 136</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v. Imperial Tobacco Canada Ltd., [2003] B.C.J. No. 1309</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Trust Company v. Renard, [2007] B.C.J. No. 798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 v. Cao, [2014] B.C.J. No. 432</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National Properties Ltd. v. Northland Road Services Ltd., [2008] B.C.J. No. 830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Fletcher v. Hyak Wilderness Adventures Inc., [2000] B.C.J. No. 2528</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Gebru v. Gill, [2005] B.C.J. No. 168</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(Guardian ad litem of) v. Turcotte, [2002] B.C.J. No. 2215</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Hepburn, [2012] B.C.J. No. 596</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Grant v. Gonella, [2008] B.C.J. No. 2058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Hoisington v. Johnson &amp; Johnson Inc., [2016] B.C.J. No. 928</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Honborg v. Lust, [2018] B.C.J. No. 2913</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Lodge v. Deloitte &amp; Touche, [2001] B.C.J. No. 2508</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NES33 v. Westshore Developments Ltd., [2015] B.C.J. No. 1582</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Strauss v. Jarvis, [2006] B.C.J. No. 956</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Tung v. Allen, [2008] B.C.J. No. 970</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T.W.N.A. v. Canada, [2000] B.C.J. No. 1016</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Whiskey Dock Developments Ltd. v. Ucluelet (District), [2011] B.C.J. No. 1329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Woolsey v. Dawson Creek (City), [2011] B.C.J. No. 1049</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Brooks-Martin v. Martin, [2011] B.C.J. No. 734</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Burdett (Guardian ad litem of) v. Mohamed, [2010] B.C.J. No. 420</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Fancello v. Cupskey, [2019] B.C.J. No. 1904</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Ivans v. Glenmore-Ellison Improvement District, [2018] B.C.J. No. 6978</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5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2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3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2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2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2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2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2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3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3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2"/>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7"/>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33B2C0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830835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11F47314"/>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14BF9C0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17016D87"/>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173FBA7F"/>
    <w:multiLevelType w:val="multilevel"/>
    <w:tmpl w:val="0000000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1806880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1AAB3296"/>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1BBAD46B"/>
    <w:multiLevelType w:val="multilevel"/>
    <w:tmpl w:val="00000001"/>
    <w:lvl w:ilvl="0">
      <w:start w:val="1"/>
      <w:numFmt w:val="decimal"/>
      <w:lvlText w:val="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1BC0EF4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1D4ADEA5"/>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1F9503E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1FD41318"/>
    <w:multiLevelType w:val="multilevel"/>
    <w:tmpl w:val="00000001"/>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2072658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24EDA1CD"/>
    <w:multiLevelType w:val="multilevel"/>
    <w:tmpl w:val="00000001"/>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27B28097"/>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2CD02DE9"/>
    <w:multiLevelType w:val="multilevel"/>
    <w:tmpl w:val="00000001"/>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30A0F4A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30D6C336"/>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31E303CF"/>
    <w:multiLevelType w:val="multilevel"/>
    <w:tmpl w:val="00000001"/>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3543F607"/>
    <w:multiLevelType w:val="multilevel"/>
    <w:tmpl w:val="00000001"/>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38BD269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39ED4C2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3D0D552F"/>
    <w:multiLevelType w:val="multilevel"/>
    <w:tmpl w:val="00000001"/>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3D9D7BDC"/>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41C03196"/>
    <w:multiLevelType w:val="multilevel"/>
    <w:tmpl w:val="00000001"/>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420A668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422FA151"/>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424666C1"/>
    <w:multiLevelType w:val="multilevel"/>
    <w:tmpl w:val="00000001"/>
    <w:lvl w:ilvl="0">
      <w:start w:val="1"/>
      <w:numFmt w:val="decimal"/>
      <w:lvlText w:val="47(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443643B8"/>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4CF4EEF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512E6BF9"/>
    <w:multiLevelType w:val="multilevel"/>
    <w:tmpl w:val="00000001"/>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6BCCB2FE"/>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7171555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739C3AB4"/>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7B1A437F"/>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7D83C722"/>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7E7F1892"/>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86"/>
  </w:num>
  <w:num w:numId="8">
    <w:abstractNumId w:val="6"/>
  </w:num>
  <w:num w:numId="9">
    <w:abstractNumId w:val="113"/>
  </w:num>
  <w:num w:numId="10">
    <w:abstractNumId w:val="89"/>
  </w:num>
  <w:num w:numId="11">
    <w:abstractNumId w:val="118"/>
  </w:num>
  <w:num w:numId="12">
    <w:abstractNumId w:val="7"/>
  </w:num>
  <w:num w:numId="13">
    <w:abstractNumId w:val="112"/>
  </w:num>
  <w:num w:numId="14">
    <w:abstractNumId w:val="119"/>
  </w:num>
  <w:num w:numId="15">
    <w:abstractNumId w:val="95"/>
  </w:num>
  <w:num w:numId="16">
    <w:abstractNumId w:val="8"/>
  </w:num>
  <w:num w:numId="17">
    <w:abstractNumId w:val="9"/>
  </w:num>
  <w:num w:numId="18">
    <w:abstractNumId w:val="10"/>
  </w:num>
  <w:num w:numId="19">
    <w:abstractNumId w:val="11"/>
  </w:num>
  <w:num w:numId="20">
    <w:abstractNumId w:val="96"/>
  </w:num>
  <w:num w:numId="21">
    <w:abstractNumId w:val="12"/>
  </w:num>
  <w:num w:numId="22">
    <w:abstractNumId w:val="13"/>
  </w:num>
  <w:num w:numId="23">
    <w:abstractNumId w:val="14"/>
  </w:num>
  <w:num w:numId="24">
    <w:abstractNumId w:val="15"/>
  </w:num>
  <w:num w:numId="25">
    <w:abstractNumId w:val="16"/>
  </w:num>
  <w:num w:numId="26">
    <w:abstractNumId w:val="17"/>
  </w:num>
  <w:num w:numId="27">
    <w:abstractNumId w:val="18"/>
  </w:num>
  <w:num w:numId="28">
    <w:abstractNumId w:val="19"/>
  </w:num>
  <w:num w:numId="29">
    <w:abstractNumId w:val="20"/>
  </w:num>
  <w:num w:numId="30">
    <w:abstractNumId w:val="101"/>
  </w:num>
  <w:num w:numId="31">
    <w:abstractNumId w:val="105"/>
  </w:num>
  <w:num w:numId="32">
    <w:abstractNumId w:val="99"/>
  </w:num>
  <w:num w:numId="33">
    <w:abstractNumId w:val="106"/>
  </w:num>
  <w:num w:numId="34">
    <w:abstractNumId w:val="104"/>
  </w:num>
  <w:num w:numId="35">
    <w:abstractNumId w:val="92"/>
  </w:num>
  <w:num w:numId="36">
    <w:abstractNumId w:val="88"/>
  </w:num>
  <w:num w:numId="37">
    <w:abstractNumId w:val="21"/>
  </w:num>
  <w:num w:numId="38">
    <w:abstractNumId w:val="22"/>
  </w:num>
  <w:num w:numId="39">
    <w:abstractNumId w:val="23"/>
  </w:num>
  <w:num w:numId="40">
    <w:abstractNumId w:val="24"/>
  </w:num>
  <w:num w:numId="41">
    <w:abstractNumId w:val="25"/>
  </w:num>
  <w:num w:numId="42">
    <w:abstractNumId w:val="26"/>
  </w:num>
  <w:num w:numId="43">
    <w:abstractNumId w:val="27"/>
  </w:num>
  <w:num w:numId="44">
    <w:abstractNumId w:val="28"/>
  </w:num>
  <w:num w:numId="45">
    <w:abstractNumId w:val="29"/>
  </w:num>
  <w:num w:numId="46">
    <w:abstractNumId w:val="30"/>
  </w:num>
  <w:num w:numId="47">
    <w:abstractNumId w:val="31"/>
  </w:num>
  <w:num w:numId="48">
    <w:abstractNumId w:val="32"/>
  </w:num>
  <w:num w:numId="49">
    <w:abstractNumId w:val="33"/>
  </w:num>
  <w:num w:numId="50">
    <w:abstractNumId w:val="34"/>
  </w:num>
  <w:num w:numId="51">
    <w:abstractNumId w:val="35"/>
  </w:num>
  <w:num w:numId="52">
    <w:abstractNumId w:val="36"/>
  </w:num>
  <w:num w:numId="53">
    <w:abstractNumId w:val="37"/>
  </w:num>
  <w:num w:numId="54">
    <w:abstractNumId w:val="38"/>
  </w:num>
  <w:num w:numId="55">
    <w:abstractNumId w:val="39"/>
  </w:num>
  <w:num w:numId="56">
    <w:abstractNumId w:val="40"/>
  </w:num>
  <w:num w:numId="57">
    <w:abstractNumId w:val="41"/>
  </w:num>
  <w:num w:numId="58">
    <w:abstractNumId w:val="42"/>
  </w:num>
  <w:num w:numId="59">
    <w:abstractNumId w:val="43"/>
  </w:num>
  <w:num w:numId="60">
    <w:abstractNumId w:val="44"/>
  </w:num>
  <w:num w:numId="61">
    <w:abstractNumId w:val="45"/>
  </w:num>
  <w:num w:numId="62">
    <w:abstractNumId w:val="46"/>
  </w:num>
  <w:num w:numId="63">
    <w:abstractNumId w:val="47"/>
  </w:num>
  <w:num w:numId="64">
    <w:abstractNumId w:val="48"/>
  </w:num>
  <w:num w:numId="65">
    <w:abstractNumId w:val="49"/>
  </w:num>
  <w:num w:numId="66">
    <w:abstractNumId w:val="50"/>
  </w:num>
  <w:num w:numId="67">
    <w:abstractNumId w:val="51"/>
  </w:num>
  <w:num w:numId="68">
    <w:abstractNumId w:val="52"/>
  </w:num>
  <w:num w:numId="69">
    <w:abstractNumId w:val="53"/>
  </w:num>
  <w:num w:numId="70">
    <w:abstractNumId w:val="54"/>
  </w:num>
  <w:num w:numId="71">
    <w:abstractNumId w:val="55"/>
  </w:num>
  <w:num w:numId="72">
    <w:abstractNumId w:val="56"/>
  </w:num>
  <w:num w:numId="73">
    <w:abstractNumId w:val="57"/>
  </w:num>
  <w:num w:numId="74">
    <w:abstractNumId w:val="58"/>
  </w:num>
  <w:num w:numId="75">
    <w:abstractNumId w:val="59"/>
  </w:num>
  <w:num w:numId="76">
    <w:abstractNumId w:val="60"/>
  </w:num>
  <w:num w:numId="77">
    <w:abstractNumId w:val="61"/>
  </w:num>
  <w:num w:numId="78">
    <w:abstractNumId w:val="62"/>
  </w:num>
  <w:num w:numId="79">
    <w:abstractNumId w:val="63"/>
  </w:num>
  <w:num w:numId="80">
    <w:abstractNumId w:val="64"/>
  </w:num>
  <w:num w:numId="81">
    <w:abstractNumId w:val="65"/>
  </w:num>
  <w:num w:numId="82">
    <w:abstractNumId w:val="66"/>
  </w:num>
  <w:num w:numId="83">
    <w:abstractNumId w:val="67"/>
  </w:num>
  <w:num w:numId="84">
    <w:abstractNumId w:val="68"/>
  </w:num>
  <w:num w:numId="85">
    <w:abstractNumId w:val="69"/>
  </w:num>
  <w:num w:numId="86">
    <w:abstractNumId w:val="70"/>
  </w:num>
  <w:num w:numId="87">
    <w:abstractNumId w:val="71"/>
  </w:num>
  <w:num w:numId="88">
    <w:abstractNumId w:val="72"/>
  </w:num>
  <w:num w:numId="89">
    <w:abstractNumId w:val="73"/>
  </w:num>
  <w:num w:numId="90">
    <w:abstractNumId w:val="121"/>
  </w:num>
  <w:num w:numId="91">
    <w:abstractNumId w:val="120"/>
  </w:num>
  <w:num w:numId="92">
    <w:abstractNumId w:val="97"/>
  </w:num>
  <w:num w:numId="93">
    <w:abstractNumId w:val="115"/>
  </w:num>
  <w:num w:numId="94">
    <w:abstractNumId w:val="110"/>
  </w:num>
  <w:num w:numId="95">
    <w:abstractNumId w:val="108"/>
  </w:num>
  <w:num w:numId="96">
    <w:abstractNumId w:val="102"/>
  </w:num>
  <w:num w:numId="97">
    <w:abstractNumId w:val="107"/>
  </w:num>
  <w:num w:numId="98">
    <w:abstractNumId w:val="93"/>
  </w:num>
  <w:num w:numId="99">
    <w:abstractNumId w:val="114"/>
  </w:num>
  <w:num w:numId="100">
    <w:abstractNumId w:val="116"/>
  </w:num>
  <w:num w:numId="101">
    <w:abstractNumId w:val="94"/>
  </w:num>
  <w:num w:numId="102">
    <w:abstractNumId w:val="87"/>
  </w:num>
  <w:num w:numId="103">
    <w:abstractNumId w:val="117"/>
  </w:num>
  <w:num w:numId="104">
    <w:abstractNumId w:val="109"/>
  </w:num>
  <w:num w:numId="105">
    <w:abstractNumId w:val="90"/>
  </w:num>
  <w:num w:numId="106">
    <w:abstractNumId w:val="100"/>
  </w:num>
  <w:num w:numId="107">
    <w:abstractNumId w:val="98"/>
  </w:num>
  <w:num w:numId="108">
    <w:abstractNumId w:val="123"/>
  </w:num>
  <w:num w:numId="109">
    <w:abstractNumId w:val="111"/>
  </w:num>
  <w:num w:numId="110">
    <w:abstractNumId w:val="103"/>
  </w:num>
  <w:num w:numId="111">
    <w:abstractNumId w:val="122"/>
  </w:num>
  <w:num w:numId="112">
    <w:abstractNumId w:val="74"/>
  </w:num>
  <w:num w:numId="113">
    <w:abstractNumId w:val="75"/>
  </w:num>
  <w:num w:numId="114">
    <w:abstractNumId w:val="76"/>
  </w:num>
  <w:num w:numId="115">
    <w:abstractNumId w:val="77"/>
  </w:num>
  <w:num w:numId="116">
    <w:abstractNumId w:val="78"/>
  </w:num>
  <w:num w:numId="117">
    <w:abstractNumId w:val="79"/>
  </w:num>
  <w:num w:numId="118">
    <w:abstractNumId w:val="80"/>
  </w:num>
  <w:num w:numId="119">
    <w:abstractNumId w:val="81"/>
  </w:num>
  <w:num w:numId="120">
    <w:abstractNumId w:val="82"/>
  </w:num>
  <w:num w:numId="121">
    <w:abstractNumId w:val="83"/>
  </w:num>
  <w:num w:numId="122">
    <w:abstractNumId w:val="84"/>
  </w:num>
  <w:num w:numId="123">
    <w:abstractNumId w:val="85"/>
  </w:num>
  <w:num w:numId="124">
    <w:abstractNumId w:val="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R56-74V1-JB2B-S0YS-00000-00&amp;context=" TargetMode="External" /><Relationship Id="rId100" Type="http://schemas.openxmlformats.org/officeDocument/2006/relationships/footer" Target="footer20.xml" /><Relationship Id="rId101" Type="http://schemas.openxmlformats.org/officeDocument/2006/relationships/header" Target="header21.xml" /><Relationship Id="rId102" Type="http://schemas.openxmlformats.org/officeDocument/2006/relationships/footer" Target="footer21.xml" /><Relationship Id="rId103" Type="http://schemas.openxmlformats.org/officeDocument/2006/relationships/hyperlink" Target="https://advance.lexis.com/api/document?collection=cases-ca&amp;id=urn:contentItem:5F7T-S7K1-JX3N-B2PT-00000-00&amp;context=" TargetMode="External" /><Relationship Id="rId104" Type="http://schemas.openxmlformats.org/officeDocument/2006/relationships/hyperlink" Target="https://advance.lexis.com/api/document?collection=legislation-ca&amp;id=urn:contentItem:5F41-1FG1-JKPJ-G02P-00000-00&amp;context=" TargetMode="External" /><Relationship Id="rId105" Type="http://schemas.openxmlformats.org/officeDocument/2006/relationships/hyperlink" Target="https://advance.lexis.com/api/document?collection=cases-ca&amp;id=urn:contentItem:5F7T-S7G1-JX3N-B2GB-00000-00&amp;context=" TargetMode="External" /><Relationship Id="rId106" Type="http://schemas.openxmlformats.org/officeDocument/2006/relationships/hyperlink" Target="https://advance.lexis.com/api/document?collection=cases-ca&amp;id=urn:contentItem:5F7T-S6R1-F06F-21VH-00000-00&amp;context=" TargetMode="External" /><Relationship Id="rId107" Type="http://schemas.openxmlformats.org/officeDocument/2006/relationships/hyperlink" Target="https://advance.lexis.com/api/document?collection=cases-ca&amp;id=urn:contentItem:5F7T-S6R1-JSXV-G132-00000-00&amp;context=" TargetMode="External" /><Relationship Id="rId108" Type="http://schemas.openxmlformats.org/officeDocument/2006/relationships/hyperlink" Target="https://advance.lexis.com/api/document?collection=cases-ca&amp;id=urn:contentItem:5F7T-S6T1-FJTD-G180-00000-00&amp;context=" TargetMode="External" /><Relationship Id="rId109" Type="http://schemas.openxmlformats.org/officeDocument/2006/relationships/hyperlink" Target="https://advance.lexis.com/api/document?collection=cases-ca&amp;id=urn:contentItem:5F7T-S711-F4GK-M2FC-00000-00&amp;context=" TargetMode="External" /><Relationship Id="rId11" Type="http://schemas.openxmlformats.org/officeDocument/2006/relationships/hyperlink" Target="https://advance.lexis.com/api/document?collection=cases-ca&amp;id=urn:contentItem:5F8T-N3V1-JTGH-B1C7-00000-00&amp;context=" TargetMode="External" /><Relationship Id="rId110" Type="http://schemas.openxmlformats.org/officeDocument/2006/relationships/hyperlink" Target="https://advance.lexis.com/api/document?collection=cases-ca&amp;id=urn:contentItem:5F8P-SCC1-FGCG-S238-00000-00&amp;context=" TargetMode="External" /><Relationship Id="rId111" Type="http://schemas.openxmlformats.org/officeDocument/2006/relationships/hyperlink" Target="https://advance.lexis.com/api/document?collection=cases-ca&amp;id=urn:contentItem:5F7T-S7H1-JS5Y-B2TB-00000-00&amp;context=" TargetMode="External" /><Relationship Id="rId112" Type="http://schemas.openxmlformats.org/officeDocument/2006/relationships/hyperlink" Target="https://advance.lexis.com/api/document?collection=cases-ca&amp;id=urn:contentItem:5F8T-N3S1-JBDT-B0FX-00000-00&amp;context=" TargetMode="External" /><Relationship Id="rId113" Type="http://schemas.openxmlformats.org/officeDocument/2006/relationships/hyperlink" Target="https://advance.lexis.com/api/document?collection=cases-ca&amp;id=urn:contentItem:5F7T-S7J1-JYYX-627S-00000-00&amp;context=" TargetMode="External" /><Relationship Id="rId114" Type="http://schemas.openxmlformats.org/officeDocument/2006/relationships/hyperlink" Target="https://advance.lexis.com/api/document?collection=cases-ca&amp;id=urn:contentItem:5F8T-N3T1-JJSF-23FD-00000-00&amp;context=" TargetMode="External" /><Relationship Id="rId115" Type="http://schemas.openxmlformats.org/officeDocument/2006/relationships/hyperlink" Target="https://advance.lexis.com/api/document?collection=cases-ca&amp;id=urn:contentItem:5F7T-S771-JN14-G2P1-00000-00&amp;context=" TargetMode="External" /><Relationship Id="rId116" Type="http://schemas.openxmlformats.org/officeDocument/2006/relationships/hyperlink" Target="https://advance.lexis.com/api/document?collection=cases-ca&amp;id=urn:contentItem:5F7T-S6X1-K054-G1TG-00000-00&amp;context=" TargetMode="External" /><Relationship Id="rId117" Type="http://schemas.openxmlformats.org/officeDocument/2006/relationships/header" Target="header22.xml" /><Relationship Id="rId118" Type="http://schemas.openxmlformats.org/officeDocument/2006/relationships/header" Target="header23.xml" /><Relationship Id="rId119" Type="http://schemas.openxmlformats.org/officeDocument/2006/relationships/footer" Target="footer22.xml" /><Relationship Id="rId12" Type="http://schemas.openxmlformats.org/officeDocument/2006/relationships/hyperlink" Target="https://advance.lexis.com/api/document?collection=cases-ca&amp;id=urn:contentItem:5F7T-S701-JF75-M4JR-00000-00&amp;context=" TargetMode="External" /><Relationship Id="rId120" Type="http://schemas.openxmlformats.org/officeDocument/2006/relationships/footer" Target="footer23.xml" /><Relationship Id="rId121" Type="http://schemas.openxmlformats.org/officeDocument/2006/relationships/header" Target="header24.xml" /><Relationship Id="rId122" Type="http://schemas.openxmlformats.org/officeDocument/2006/relationships/footer" Target="footer24.xml" /><Relationship Id="rId123" Type="http://schemas.openxmlformats.org/officeDocument/2006/relationships/hyperlink" Target="https://advance.lexis.com/api/document?collection=cases-ca&amp;id=urn:contentItem:5F7T-S7C1-F4NT-X303-00000-00&amp;context=" TargetMode="External" /><Relationship Id="rId124" Type="http://schemas.openxmlformats.org/officeDocument/2006/relationships/hyperlink" Target="https://advance.lexis.com/api/document?collection=cases-ca&amp;id=urn:contentItem:5F7T-S6S1-JX3N-B0KH-00000-00&amp;context=" TargetMode="External" /><Relationship Id="rId125" Type="http://schemas.openxmlformats.org/officeDocument/2006/relationships/hyperlink" Target="https://advance.lexis.com/api/document?collection=cases-ca&amp;id=urn:contentItem:5F7T-S751-JP4G-617W-00000-00&amp;context=" TargetMode="External" /><Relationship Id="rId126" Type="http://schemas.openxmlformats.org/officeDocument/2006/relationships/hyperlink" Target="https://advance.lexis.com/api/document?collection=cases-ca&amp;id=urn:contentItem:5F8P-SCN1-DYFH-X1J3-00000-00&amp;context=" TargetMode="External" /><Relationship Id="rId127" Type="http://schemas.openxmlformats.org/officeDocument/2006/relationships/hyperlink" Target="https://advance.lexis.com/api/document?collection=cases-ca&amp;id=urn:contentItem:5F8P-SCN1-JJ6S-632T-00000-00&amp;context=" TargetMode="External" /><Relationship Id="rId128" Type="http://schemas.openxmlformats.org/officeDocument/2006/relationships/hyperlink" Target="https://advance.lexis.com/api/document?collection=cases-ca&amp;id=urn:contentItem:5F8P-SCY1-F57G-S012-00000-00&amp;context=" TargetMode="External" /><Relationship Id="rId129" Type="http://schemas.openxmlformats.org/officeDocument/2006/relationships/hyperlink" Target="https://advance.lexis.com/api/document?collection=cases-ca&amp;id=urn:contentItem:5F7T-S761-F81W-224Y-00000-00&amp;context=" TargetMode="External" /><Relationship Id="rId13" Type="http://schemas.openxmlformats.org/officeDocument/2006/relationships/hyperlink" Target="https://advance.lexis.com/api/document?collection=cases-ca&amp;id=urn:contentItem:5F7T-S7J1-FGCG-S025-00000-00&amp;context=" TargetMode="External" /><Relationship Id="rId130" Type="http://schemas.openxmlformats.org/officeDocument/2006/relationships/header" Target="header25.xml" /><Relationship Id="rId131" Type="http://schemas.openxmlformats.org/officeDocument/2006/relationships/header" Target="header26.xml" /><Relationship Id="rId132" Type="http://schemas.openxmlformats.org/officeDocument/2006/relationships/footer" Target="footer25.xml" /><Relationship Id="rId133" Type="http://schemas.openxmlformats.org/officeDocument/2006/relationships/footer" Target="footer26.xml" /><Relationship Id="rId134" Type="http://schemas.openxmlformats.org/officeDocument/2006/relationships/header" Target="header27.xml" /><Relationship Id="rId135" Type="http://schemas.openxmlformats.org/officeDocument/2006/relationships/footer" Target="footer27.xml" /><Relationship Id="rId136" Type="http://schemas.openxmlformats.org/officeDocument/2006/relationships/hyperlink" Target="https://advance.lexis.com/api/document?collection=cases-ca&amp;id=urn:contentItem:5F7T-S7P1-JG02-S48W-00000-00&amp;context=" TargetMode="External" /><Relationship Id="rId137" Type="http://schemas.openxmlformats.org/officeDocument/2006/relationships/hyperlink" Target="https://advance.lexis.com/api/document?collection=legislation-ca&amp;id=urn:contentItem:5F41-1FN1-JSXV-G1CY-00000-00&amp;context=" TargetMode="External" /><Relationship Id="rId138" Type="http://schemas.openxmlformats.org/officeDocument/2006/relationships/hyperlink" Target="https://advance.lexis.com/api/document?collection=cases-ca&amp;id=urn:contentItem:5F7T-S7M1-DYMS-62CH-00000-00&amp;context=" TargetMode="External" /><Relationship Id="rId139" Type="http://schemas.openxmlformats.org/officeDocument/2006/relationships/hyperlink" Target="https://advance.lexis.com/api/document?collection=cases-ca&amp;id=urn:contentItem:5F7T-S771-JTGH-B150-00000-00&amp;context=" TargetMode="External" /><Relationship Id="rId14" Type="http://schemas.openxmlformats.org/officeDocument/2006/relationships/hyperlink" Target="https://advance.lexis.com/api/document?collection=cases-ca&amp;id=urn:contentItem:5F16-9351-JN6B-S1H1-00000-00&amp;context=" TargetMode="External" /><Relationship Id="rId140" Type="http://schemas.openxmlformats.org/officeDocument/2006/relationships/hyperlink" Target="https://advance.lexis.com/api/document?collection=cases-ca&amp;id=urn:contentItem:5F8T-N3T1-JFKM-6519-00000-00&amp;context=" TargetMode="External" /><Relationship Id="rId141" Type="http://schemas.openxmlformats.org/officeDocument/2006/relationships/hyperlink" Target="https://advance.lexis.com/api/document?collection=cases-ca&amp;id=urn:contentItem:5F8T-N3V1-FH4C-X1WY-00000-00&amp;context=" TargetMode="External" /><Relationship Id="rId142" Type="http://schemas.openxmlformats.org/officeDocument/2006/relationships/hyperlink" Target="https://advance.lexis.com/api/document?collection=cases-ca&amp;id=urn:contentItem:5F7T-S731-FG12-62D4-00000-00&amp;context=" TargetMode="External" /><Relationship Id="rId143" Type="http://schemas.openxmlformats.org/officeDocument/2006/relationships/hyperlink" Target="https://advance.lexis.com/api/document?collection=cases-ca&amp;id=urn:contentItem:5F7T-S7K1-DY33-B1B6-00000-00&amp;context=" TargetMode="External" /><Relationship Id="rId144" Type="http://schemas.openxmlformats.org/officeDocument/2006/relationships/hyperlink" Target="https://advance.lexis.com/api/document?collection=cases-ca&amp;id=urn:contentItem:5F7T-S7N1-JJ1H-X2X0-00000-00&amp;context=" TargetMode="External" /><Relationship Id="rId145" Type="http://schemas.openxmlformats.org/officeDocument/2006/relationships/hyperlink" Target="https://advance.lexis.com/api/document?collection=cases-ca&amp;id=urn:contentItem:5FBJ-YY31-JGPY-X0KG-00000-00&amp;context=" TargetMode="External" /><Relationship Id="rId146" Type="http://schemas.openxmlformats.org/officeDocument/2006/relationships/hyperlink" Target="https://advance.lexis.com/api/document?collection=cases-ca&amp;id=urn:contentItem:5F8T-N3V1-JF75-M3FN-00000-00&amp;context=" TargetMode="External" /><Relationship Id="rId147" Type="http://schemas.openxmlformats.org/officeDocument/2006/relationships/hyperlink" Target="https://advance.lexis.com/api/document?collection=cases-ca&amp;id=urn:contentItem:5F8T-N3T1-JJSF-23F8-00000-00&amp;context=" TargetMode="External" /><Relationship Id="rId148" Type="http://schemas.openxmlformats.org/officeDocument/2006/relationships/hyperlink" Target="https://advance.lexis.com/api/document?collection=cases-ca&amp;id=urn:contentItem:5F7T-S7K1-DY33-B1FT-00000-00&amp;context=" TargetMode="External" /><Relationship Id="rId149" Type="http://schemas.openxmlformats.org/officeDocument/2006/relationships/hyperlink" Target="https://advance.lexis.com/api/document?collection=cases-ca&amp;id=urn:contentItem:5F7T-S6V1-JFKM-6132-00000-00&amp;context=" TargetMode="External" /><Relationship Id="rId15" Type="http://schemas.openxmlformats.org/officeDocument/2006/relationships/hyperlink" Target="https://advance.lexis.com/api/document?collection=cases-ca&amp;id=urn:contentItem:5K9P-92K1-F1H1-217H-00000-00&amp;context=" TargetMode="External" /><Relationship Id="rId150" Type="http://schemas.openxmlformats.org/officeDocument/2006/relationships/hyperlink" Target="https://advance.lexis.com/api/document?collection=cases-ca&amp;id=urn:contentItem:5F7T-S7H1-F016-S3NK-00000-00&amp;context=" TargetMode="External" /><Relationship Id="rId151" Type="http://schemas.openxmlformats.org/officeDocument/2006/relationships/hyperlink" Target="https://advance.lexis.com/api/document?collection=cases-ca&amp;id=urn:contentItem:5F7T-S771-JSJC-X04S-00000-00&amp;context=" TargetMode="External" /><Relationship Id="rId152" Type="http://schemas.openxmlformats.org/officeDocument/2006/relationships/hyperlink" Target="https://advance.lexis.com/api/document?collection=cases-ca&amp;id=urn:contentItem:5F7T-S741-F528-G2FD-00000-00&amp;context=" TargetMode="External" /><Relationship Id="rId153" Type="http://schemas.openxmlformats.org/officeDocument/2006/relationships/hyperlink" Target="https://advance.lexis.com/api/document?collection=cases-ca&amp;id=urn:contentItem:5F7T-S711-JNS1-M14C-00000-00&amp;context=" TargetMode="External" /><Relationship Id="rId154" Type="http://schemas.openxmlformats.org/officeDocument/2006/relationships/header" Target="header28.xml" /><Relationship Id="rId155" Type="http://schemas.openxmlformats.org/officeDocument/2006/relationships/header" Target="header29.xml" /><Relationship Id="rId156" Type="http://schemas.openxmlformats.org/officeDocument/2006/relationships/footer" Target="footer28.xml" /><Relationship Id="rId157" Type="http://schemas.openxmlformats.org/officeDocument/2006/relationships/footer" Target="footer29.xml" /><Relationship Id="rId158" Type="http://schemas.openxmlformats.org/officeDocument/2006/relationships/header" Target="header30.xml" /><Relationship Id="rId159" Type="http://schemas.openxmlformats.org/officeDocument/2006/relationships/footer" Target="footer30.xml" /><Relationship Id="rId16" Type="http://schemas.openxmlformats.org/officeDocument/2006/relationships/hyperlink" Target="https://advance.lexis.com/api/document?collection=cases-ca&amp;id=urn:contentItem:5F7T-S7M1-F4W2-62DG-00000-00&amp;context=" TargetMode="External" /><Relationship Id="rId160" Type="http://schemas.openxmlformats.org/officeDocument/2006/relationships/hyperlink" Target="https://advance.lexis.com/api/document?collection=cases-ca&amp;id=urn:contentItem:5RTY-1871-JCBX-S0T5-00000-00&amp;context=" TargetMode="External" /><Relationship Id="rId161" Type="http://schemas.openxmlformats.org/officeDocument/2006/relationships/hyperlink" Target="https://advance.lexis.com/api/document?collection=legislation-ca&amp;id=urn:contentItem:5YJS-1SK1-JKHB-6001-00000-00&amp;context=" TargetMode="External" /><Relationship Id="rId162" Type="http://schemas.openxmlformats.org/officeDocument/2006/relationships/hyperlink" Target="https://advance.lexis.com/api/document?collection=cases-ca&amp;id=urn:contentItem:5P8D-XTB1-FGJR-217S-00000-00&amp;context=" TargetMode="External" /><Relationship Id="rId163" Type="http://schemas.openxmlformats.org/officeDocument/2006/relationships/hyperlink" Target="https://advance.lexis.com/api/document?collection=cases-ca&amp;id=urn:contentItem:5F7T-S7N1-JJ1H-X322-00000-00&amp;context=" TargetMode="External" /><Relationship Id="rId164" Type="http://schemas.openxmlformats.org/officeDocument/2006/relationships/hyperlink" Target="https://advance.lexis.com/api/document?collection=cases-ca&amp;id=urn:contentItem:5F7T-S7N1-JW09-M12X-00000-00&amp;context=" TargetMode="External" /><Relationship Id="rId165" Type="http://schemas.openxmlformats.org/officeDocument/2006/relationships/hyperlink" Target="https://advance.lexis.com/api/document?collection=cases-ca&amp;id=urn:contentItem:5F7T-S701-JF75-M4J3-00000-00&amp;context=" TargetMode="External" /><Relationship Id="rId166" Type="http://schemas.openxmlformats.org/officeDocument/2006/relationships/hyperlink" Target="https://advance.lexis.com/api/document?collection=cases-ca&amp;id=urn:contentItem:5F7T-S7M1-JNCK-22P9-00000-00&amp;context=" TargetMode="External" /><Relationship Id="rId167" Type="http://schemas.openxmlformats.org/officeDocument/2006/relationships/hyperlink" Target="https://advance.lexis.com/api/document?collection=cases-ca&amp;id=urn:contentItem:5F7T-S7K1-F528-G2N2-00000-00&amp;context=" TargetMode="External" /><Relationship Id="rId168" Type="http://schemas.openxmlformats.org/officeDocument/2006/relationships/hyperlink" Target="https://advance.lexis.com/api/document?collection=cases-ca&amp;id=urn:contentItem:5RPR-79K1-JGPY-X101-00000-00&amp;context=" TargetMode="External" /><Relationship Id="rId169" Type="http://schemas.openxmlformats.org/officeDocument/2006/relationships/hyperlink" Target="https://advance.lexis.com/api/document?collection=cases-ca&amp;id=urn:contentItem:5KNG-YT61-JG02-S34W-00000-00&amp;context=" TargetMode="External" /><Relationship Id="rId17" Type="http://schemas.openxmlformats.org/officeDocument/2006/relationships/hyperlink" Target="https://advance.lexis.com/api/document?collection=cases-ca&amp;id=urn:contentItem:5GCC-XVB1-JGHR-M4D0-00000-00&amp;context=" TargetMode="External" /><Relationship Id="rId170" Type="http://schemas.openxmlformats.org/officeDocument/2006/relationships/hyperlink" Target="https://advance.lexis.com/api/document?collection=cases-ca&amp;id=urn:contentItem:5F7T-S7M1-JCRC-B1D5-00000-00&amp;context=" TargetMode="External" /><Relationship Id="rId171" Type="http://schemas.openxmlformats.org/officeDocument/2006/relationships/hyperlink" Target="https://advance.lexis.com/api/document?collection=cases-ca&amp;id=urn:contentItem:5F7T-S7N1-F06F-249C-00000-00&amp;context=" TargetMode="External" /><Relationship Id="rId172" Type="http://schemas.openxmlformats.org/officeDocument/2006/relationships/hyperlink" Target="https://advance.lexis.com/api/document?collection=cases-ca&amp;id=urn:contentItem:5F16-93C1-FFMK-M0N5-00000-00&amp;context=" TargetMode="External" /><Relationship Id="rId173" Type="http://schemas.openxmlformats.org/officeDocument/2006/relationships/hyperlink" Target="https://advance.lexis.com/api/document?collection=cases-ca&amp;id=urn:contentItem:5F7T-S7P1-JCRC-B25C-00000-00&amp;context=" TargetMode="External" /><Relationship Id="rId174" Type="http://schemas.openxmlformats.org/officeDocument/2006/relationships/hyperlink" Target="https://advance.lexis.com/api/document?collection=cases-ca&amp;id=urn:contentItem:5F7T-S711-F5KY-B17W-00000-00&amp;context="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collection=cases-ca&amp;id=urn:contentItem:5F7T-S7P1-JSJC-X1VR-00000-00&amp;context=" TargetMode="External" /><Relationship Id="rId180" Type="http://schemas.openxmlformats.org/officeDocument/2006/relationships/footer" Target="footer33.xml" /><Relationship Id="rId181" Type="http://schemas.openxmlformats.org/officeDocument/2006/relationships/hyperlink" Target="https://advance.lexis.com/api/document?collection=cases-ca&amp;id=urn:contentItem:5F7T-S7D1-JG02-S2PC-00000-00&amp;context=" TargetMode="External" /><Relationship Id="rId182" Type="http://schemas.openxmlformats.org/officeDocument/2006/relationships/hyperlink" Target="https://advance.lexis.com/api/document?collection=legislation-ca&amp;id=urn:contentItem:5F41-1FG1-JJYN-B043-00000-00&amp;context=" TargetMode="External" /><Relationship Id="rId183" Type="http://schemas.openxmlformats.org/officeDocument/2006/relationships/hyperlink" Target="https://advance.lexis.com/api/document?collection=cases-ca&amp;id=urn:contentItem:5F7T-S6X1-K054-G1TH-00000-00&amp;context=" TargetMode="External" /><Relationship Id="rId184" Type="http://schemas.openxmlformats.org/officeDocument/2006/relationships/hyperlink" Target="https://advance.lexis.com/api/document?collection=cases-ca&amp;id=urn:contentItem:5F7T-S7G1-JX3N-B2FC-00000-00&amp;context=" TargetMode="External" /><Relationship Id="rId185" Type="http://schemas.openxmlformats.org/officeDocument/2006/relationships/hyperlink" Target="https://advance.lexis.com/api/document?collection=cases-ca&amp;id=urn:contentItem:5F7T-S711-JC0G-62KR-00000-00&amp;context=" TargetMode="External" /><Relationship Id="rId186" Type="http://schemas.openxmlformats.org/officeDocument/2006/relationships/hyperlink" Target="https://advance.lexis.com/api/document?collection=cases-ca&amp;id=urn:contentItem:5F7T-S6W1-FBFS-S12P-00000-00&amp;context=" TargetMode="External" /><Relationship Id="rId187" Type="http://schemas.openxmlformats.org/officeDocument/2006/relationships/hyperlink" Target="https://advance.lexis.com/api/document?collection=cases-ca&amp;id=urn:contentItem:5F7T-S771-F2TK-22YK-00000-00&amp;context=" TargetMode="External" /><Relationship Id="rId188" Type="http://schemas.openxmlformats.org/officeDocument/2006/relationships/hyperlink" Target="https://advance.lexis.com/api/document?collection=cases-ca&amp;id=urn:contentItem:5F8P-SCR1-JB2B-S4Y1-00000-00&amp;context=" TargetMode="External" /><Relationship Id="rId189" Type="http://schemas.openxmlformats.org/officeDocument/2006/relationships/hyperlink" Target="https://advance.lexis.com/api/document?collection=cases-ca&amp;id=urn:contentItem:5F8T-N3T1-JGHR-M24D-00000-00&amp;context=" TargetMode="External" /><Relationship Id="rId19" Type="http://schemas.openxmlformats.org/officeDocument/2006/relationships/header" Target="header4.xml" /><Relationship Id="rId190" Type="http://schemas.openxmlformats.org/officeDocument/2006/relationships/hyperlink" Target="https://advance.lexis.com/api/document?collection=cases-ca&amp;id=urn:contentItem:5F8T-N3V1-FC1F-M41X-00000-00&amp;context=" TargetMode="External" /><Relationship Id="rId191" Type="http://schemas.openxmlformats.org/officeDocument/2006/relationships/hyperlink" Target="https://advance.lexis.com/api/document?collection=cases-ca&amp;id=urn:contentItem:5F8T-N3T1-JGHR-M1TV-00000-00&amp;context=" TargetMode="External" /><Relationship Id="rId192" Type="http://schemas.openxmlformats.org/officeDocument/2006/relationships/hyperlink" Target="https://advance.lexis.com/api/document?collection=cases-ca&amp;id=urn:contentItem:5F7T-S711-F5KY-B15T-00000-00&amp;context=" TargetMode="External" /><Relationship Id="rId193" Type="http://schemas.openxmlformats.org/officeDocument/2006/relationships/header" Target="header34.xml" /><Relationship Id="rId194" Type="http://schemas.openxmlformats.org/officeDocument/2006/relationships/header" Target="header35.xml" /><Relationship Id="rId195" Type="http://schemas.openxmlformats.org/officeDocument/2006/relationships/footer" Target="footer34.xml" /><Relationship Id="rId196" Type="http://schemas.openxmlformats.org/officeDocument/2006/relationships/footer" Target="footer35.xml" /><Relationship Id="rId197" Type="http://schemas.openxmlformats.org/officeDocument/2006/relationships/header" Target="header36.xml" /><Relationship Id="rId198" Type="http://schemas.openxmlformats.org/officeDocument/2006/relationships/footer" Target="footer36.xml" /><Relationship Id="rId199" Type="http://schemas.openxmlformats.org/officeDocument/2006/relationships/hyperlink" Target="https://advance.lexis.com/api/document?collection=cases-ca&amp;id=urn:contentItem:5F7T-S7D1-FC6N-X0XP-00000-00&amp;context=" TargetMode="External" /><Relationship Id="rId2" Type="http://schemas.openxmlformats.org/officeDocument/2006/relationships/webSettings" Target="webSettings.xml" /><Relationship Id="rId20" Type="http://schemas.openxmlformats.org/officeDocument/2006/relationships/header" Target="header5.xml" /><Relationship Id="rId200" Type="http://schemas.openxmlformats.org/officeDocument/2006/relationships/hyperlink" Target="https://advance.lexis.com/api/document?collection=cases-ca&amp;id=urn:contentItem:5F7T-S7B1-FH4C-X392-00000-00&amp;context=" TargetMode="External" /><Relationship Id="rId201" Type="http://schemas.openxmlformats.org/officeDocument/2006/relationships/hyperlink" Target="https://advance.lexis.com/api/document?collection=cases-ca&amp;id=urn:contentItem:5F7T-S741-F2F4-G2FF-00000-00&amp;context=" TargetMode="External" /><Relationship Id="rId202" Type="http://schemas.openxmlformats.org/officeDocument/2006/relationships/hyperlink" Target="https://advance.lexis.com/api/document?collection=cases-ca&amp;id=urn:contentItem:5F7T-S771-F81W-22N3-00000-00&amp;context=" TargetMode="External" /><Relationship Id="rId203" Type="http://schemas.openxmlformats.org/officeDocument/2006/relationships/hyperlink" Target="https://advance.lexis.com/api/document?collection=cases-ca&amp;id=urn:contentItem:5F7T-S751-JBM1-M222-00000-00&amp;context=" TargetMode="External" /><Relationship Id="rId204" Type="http://schemas.openxmlformats.org/officeDocument/2006/relationships/hyperlink" Target="https://advance.lexis.com/api/document?collection=cases-ca&amp;id=urn:contentItem:5F7T-S7C1-JS0R-22GW-00000-00&amp;context=" TargetMode="External" /><Relationship Id="rId205" Type="http://schemas.openxmlformats.org/officeDocument/2006/relationships/hyperlink" Target="https://advance.lexis.com/api/document?collection=cases-ca&amp;id=urn:contentItem:5F7T-S6W1-JB7K-21C9-00000-00&amp;context=" TargetMode="External" /><Relationship Id="rId206" Type="http://schemas.openxmlformats.org/officeDocument/2006/relationships/hyperlink" Target="https://advance.lexis.com/api/document?collection=cases-ca&amp;id=urn:contentItem:5F7T-S701-JK4W-M0S0-00000-00&amp;context=" TargetMode="External" /><Relationship Id="rId207" Type="http://schemas.openxmlformats.org/officeDocument/2006/relationships/hyperlink" Target="https://advance.lexis.com/api/document?collection=cases-ca&amp;id=urn:contentItem:5F7T-S701-JF75-M47D-00000-00&amp;context=" TargetMode="External" /><Relationship Id="rId208" Type="http://schemas.openxmlformats.org/officeDocument/2006/relationships/hyperlink" Target="https://advance.lexis.com/api/document?collection=cases-ca&amp;id=urn:contentItem:5F7T-S731-FFFC-B0TK-00000-00&amp;context=" TargetMode="External" /><Relationship Id="rId209" Type="http://schemas.openxmlformats.org/officeDocument/2006/relationships/hyperlink" Target="https://advance.lexis.com/api/document?collection=cases-ca&amp;id=urn:contentItem:5F7T-S7D1-DY89-M3VD-00000-00&amp;context=" TargetMode="External" /><Relationship Id="rId21" Type="http://schemas.openxmlformats.org/officeDocument/2006/relationships/footer" Target="footer4.xml" /><Relationship Id="rId210" Type="http://schemas.openxmlformats.org/officeDocument/2006/relationships/hyperlink" Target="https://advance.lexis.com/api/document?collection=cases-ca&amp;id=urn:contentItem:5F7V-3DK1-JNY7-X2CK-00000-00&amp;context=" TargetMode="External" /><Relationship Id="rId211" Type="http://schemas.openxmlformats.org/officeDocument/2006/relationships/hyperlink" Target="https://advance.lexis.com/api/document?collection=cases-ca&amp;id=urn:contentItem:5F7T-S7C1-JXG3-X0D6-00000-00&amp;context=" TargetMode="External" /><Relationship Id="rId212" Type="http://schemas.openxmlformats.org/officeDocument/2006/relationships/hyperlink" Target="https://advance.lexis.com/api/document?collection=cases-ca&amp;id=urn:contentItem:5F7T-S6Y1-JNY7-X2P3-00000-00&amp;context=" TargetMode="External" /><Relationship Id="rId213" Type="http://schemas.openxmlformats.org/officeDocument/2006/relationships/hyperlink" Target="https://advance.lexis.com/api/document?collection=cases-ca&amp;id=urn:contentItem:5F7T-S7H1-JFKM-627T-00000-00&amp;context=" TargetMode="External" /><Relationship Id="rId214" Type="http://schemas.openxmlformats.org/officeDocument/2006/relationships/hyperlink" Target="https://advance.lexis.com/api/document?collection=cases-ca&amp;id=urn:contentItem:5F7T-S761-F81W-225T-00000-00&amp;context=" TargetMode="External" /><Relationship Id="rId215" Type="http://schemas.openxmlformats.org/officeDocument/2006/relationships/hyperlink" Target="https://advance.lexis.com/api/document?collection=cases-ca&amp;id=urn:contentItem:5F7T-S771-JW5H-X1W3-00000-00&amp;context=" TargetMode="External" /><Relationship Id="rId216" Type="http://schemas.openxmlformats.org/officeDocument/2006/relationships/hyperlink" Target="https://advance.lexis.com/api/document?collection=cases-ca&amp;id=urn:contentItem:5F7T-S771-JSJC-X0MK-00000-00&amp;context=" TargetMode="External" /><Relationship Id="rId217" Type="http://schemas.openxmlformats.org/officeDocument/2006/relationships/header" Target="header37.xml" /><Relationship Id="rId218" Type="http://schemas.openxmlformats.org/officeDocument/2006/relationships/header" Target="header38.xml" /><Relationship Id="rId219" Type="http://schemas.openxmlformats.org/officeDocument/2006/relationships/footer" Target="footer37.xml" /><Relationship Id="rId22" Type="http://schemas.openxmlformats.org/officeDocument/2006/relationships/footer" Target="footer5.xml" /><Relationship Id="rId220" Type="http://schemas.openxmlformats.org/officeDocument/2006/relationships/footer" Target="footer38.xml" /><Relationship Id="rId221" Type="http://schemas.openxmlformats.org/officeDocument/2006/relationships/header" Target="header39.xml" /><Relationship Id="rId222" Type="http://schemas.openxmlformats.org/officeDocument/2006/relationships/footer" Target="footer39.xml" /><Relationship Id="rId223" Type="http://schemas.openxmlformats.org/officeDocument/2006/relationships/hyperlink" Target="https://advance.lexis.com/api/document?collection=cases-ca&amp;id=urn:contentItem:5F7T-S7H1-K054-G2DP-00000-00&amp;context=" TargetMode="External" /><Relationship Id="rId224" Type="http://schemas.openxmlformats.org/officeDocument/2006/relationships/hyperlink" Target="https://advance.lexis.com/api/document?collection=legislation-ca&amp;id=urn:contentItem:5TJS-MRC1-JX3N-B3W7-00000-00&amp;context=" TargetMode="External" /><Relationship Id="rId225" Type="http://schemas.openxmlformats.org/officeDocument/2006/relationships/hyperlink" Target="https://advance.lexis.com/api/document?collection=legislation-ca&amp;id=urn:contentItem:5F3B-B8H1-F65M-61R3-00000-00&amp;context=" TargetMode="External" /><Relationship Id="rId226" Type="http://schemas.openxmlformats.org/officeDocument/2006/relationships/hyperlink" Target="https://advance.lexis.com/api/document?collection=legislation-ca&amp;id=urn:contentItem:5VYK-WB01-JJSF-220V-00000-00&amp;context=" TargetMode="External" /><Relationship Id="rId227" Type="http://schemas.openxmlformats.org/officeDocument/2006/relationships/hyperlink" Target="https://advance.lexis.com/api/document?collection=legislation-ca&amp;id=urn:contentItem:5VYK-WB01-JW5H-X1G7-00000-00&amp;context=" TargetMode="External" /><Relationship Id="rId228" Type="http://schemas.openxmlformats.org/officeDocument/2006/relationships/hyperlink" Target="https://advance.lexis.com/api/document?collection=cases-ca&amp;id=urn:contentItem:5F82-1SD1-JX8W-M116-00000-00&amp;context=" TargetMode="External" /><Relationship Id="rId229" Type="http://schemas.openxmlformats.org/officeDocument/2006/relationships/hyperlink" Target="https://advance.lexis.com/api/document?collection=cases-ca&amp;id=urn:contentItem:5F7T-S6R1-DXWW-22YY-00000-00&amp;context=" TargetMode="External" /><Relationship Id="rId23" Type="http://schemas.openxmlformats.org/officeDocument/2006/relationships/header" Target="header6.xml" /><Relationship Id="rId230" Type="http://schemas.openxmlformats.org/officeDocument/2006/relationships/hyperlink" Target="https://advance.lexis.com/api/document?collection=cases-ca&amp;id=urn:contentItem:5F8T-N3V1-JF75-M3SY-00000-00&amp;context=" TargetMode="External" /><Relationship Id="rId231" Type="http://schemas.openxmlformats.org/officeDocument/2006/relationships/hyperlink" Target="https://advance.lexis.com/api/document?collection=cases-ca&amp;id=urn:contentItem:5F8T-N3V1-JFKM-602V-00000-00&amp;context=" TargetMode="External" /><Relationship Id="rId232" Type="http://schemas.openxmlformats.org/officeDocument/2006/relationships/hyperlink" Target="https://advance.lexis.com/api/document?collection=cases-ca&amp;id=urn:contentItem:5F8P-SCJ1-JB7K-21RX-00000-00&amp;context=" TargetMode="External" /><Relationship Id="rId233" Type="http://schemas.openxmlformats.org/officeDocument/2006/relationships/hyperlink" Target="https://advance.lexis.com/api/document?collection=cases-ca&amp;id=urn:contentItem:5F8T-N3T1-JFKM-6517-00000-00&amp;context=" TargetMode="External" /><Relationship Id="rId234" Type="http://schemas.openxmlformats.org/officeDocument/2006/relationships/hyperlink" Target="https://advance.lexis.com/api/document?collection=cases-ca&amp;id=urn:contentItem:5F8T-N3T1-JJSF-23F0-00000-00&amp;context=" TargetMode="External" /><Relationship Id="rId235" Type="http://schemas.openxmlformats.org/officeDocument/2006/relationships/hyperlink" Target="https://advance.lexis.com/api/document?collection=cases-ca&amp;id=urn:contentItem:5F7T-S6P1-JGBH-B1XX-00000-00&amp;context=" TargetMode="External" /><Relationship Id="rId236" Type="http://schemas.openxmlformats.org/officeDocument/2006/relationships/hyperlink" Target="https://advance.lexis.com/api/document?collection=cases-ca&amp;id=urn:contentItem:5F8P-SDT1-JSRM-63HC-00000-00&amp;context=" TargetMode="External" /><Relationship Id="rId237" Type="http://schemas.openxmlformats.org/officeDocument/2006/relationships/hyperlink" Target="https://advance.lexis.com/api/document?collection=cases-ca&amp;id=urn:contentItem:5F7T-S6T1-K054-G14W-00000-00&amp;context=" TargetMode="External" /><Relationship Id="rId238" Type="http://schemas.openxmlformats.org/officeDocument/2006/relationships/hyperlink" Target="https://advance.lexis.com/api/document?collection=cases-ca&amp;id=urn:contentItem:5F7T-S7D1-JS5Y-B2KJ-00000-00&amp;context=" TargetMode="External" /><Relationship Id="rId239" Type="http://schemas.openxmlformats.org/officeDocument/2006/relationships/hyperlink" Target="https://advance.lexis.com/api/document?collection=cases-ca&amp;id=urn:contentItem:5F7T-S7G1-JN6B-S1D9-00000-00&amp;context=" TargetMode="External" /><Relationship Id="rId24" Type="http://schemas.openxmlformats.org/officeDocument/2006/relationships/footer" Target="footer6.xml" /><Relationship Id="rId240" Type="http://schemas.openxmlformats.org/officeDocument/2006/relationships/hyperlink" Target="https://advance.lexis.com/api/document?collection=cases-ca&amp;id=urn:contentItem:5F7T-S7F1-JFKM-61KP-00000-00&amp;context=" TargetMode="External" /><Relationship Id="rId241" Type="http://schemas.openxmlformats.org/officeDocument/2006/relationships/hyperlink" Target="https://advance.lexis.com/api/document?collection=cases-ca&amp;id=urn:contentItem:5F7T-S771-F361-M1K6-00000-00&amp;context=" TargetMode="External" /><Relationship Id="rId242" Type="http://schemas.openxmlformats.org/officeDocument/2006/relationships/hyperlink" Target="https://advance.lexis.com/api/document?collection=cases-ca&amp;id=urn:contentItem:5F7T-S7D1-JN6B-S16K-00000-00&amp;context=" TargetMode="External" /><Relationship Id="rId243" Type="http://schemas.openxmlformats.org/officeDocument/2006/relationships/hyperlink" Target="https://advance.lexis.com/api/document?collection=cases-ca&amp;id=urn:contentItem:5F8T-N3V1-JTGH-B178-00000-00&amp;context=" TargetMode="External" /><Relationship Id="rId244" Type="http://schemas.openxmlformats.org/officeDocument/2006/relationships/hyperlink" Target="https://advance.lexis.com/api/document?collection=cases-ca&amp;id=urn:contentItem:5F7T-S7F1-FBN1-21RD-00000-00&amp;context=" TargetMode="External" /><Relationship Id="rId245" Type="http://schemas.openxmlformats.org/officeDocument/2006/relationships/hyperlink" Target="https://advance.lexis.com/api/document?collection=cases-ca&amp;id=urn:contentItem:5F7T-S7F1-JX3N-B1G3-00000-00&amp;context=" TargetMode="External" /><Relationship Id="rId246" Type="http://schemas.openxmlformats.org/officeDocument/2006/relationships/hyperlink" Target="https://advance.lexis.com/api/document?collection=cases-ca&amp;id=urn:contentItem:5F81-VJX1-JKPJ-G1MN-00000-00&amp;context=" TargetMode="External" /><Relationship Id="rId247" Type="http://schemas.openxmlformats.org/officeDocument/2006/relationships/hyperlink" Target="https://advance.lexis.com/api/document?collection=cases-ca&amp;id=urn:contentItem:5F8T-N3V1-JFKM-60B3-00000-00&amp;context=" TargetMode="External" /><Relationship Id="rId248" Type="http://schemas.openxmlformats.org/officeDocument/2006/relationships/hyperlink" Target="https://advance.lexis.com/api/document?collection=cases-ca&amp;id=urn:contentItem:5F8T-N3V1-JFKM-6085-00000-00&amp;context=" TargetMode="External" /><Relationship Id="rId249" Type="http://schemas.openxmlformats.org/officeDocument/2006/relationships/hyperlink" Target="https://advance.lexis.com/api/document?collection=cases-ca&amp;id=urn:contentItem:5F7T-S7F1-FBN1-21VF-00000-00&amp;context=" TargetMode="External" /><Relationship Id="rId25" Type="http://schemas.openxmlformats.org/officeDocument/2006/relationships/hyperlink" Target="https://advance.lexis.com/api/document?collection=cases-ca&amp;id=urn:contentItem:5W8H-KGG1-DY89-M0FH-00000-00&amp;context=" TargetMode="External" /><Relationship Id="rId250" Type="http://schemas.openxmlformats.org/officeDocument/2006/relationships/hyperlink" Target="https://advance.lexis.com/api/document?collection=cases-ca&amp;id=urn:contentItem:5F8T-N3T1-JGHR-M27S-00000-00&amp;context=" TargetMode="External" /><Relationship Id="rId251" Type="http://schemas.openxmlformats.org/officeDocument/2006/relationships/header" Target="header40.xml" /><Relationship Id="rId252" Type="http://schemas.openxmlformats.org/officeDocument/2006/relationships/header" Target="header41.xml" /><Relationship Id="rId253" Type="http://schemas.openxmlformats.org/officeDocument/2006/relationships/footer" Target="footer40.xml" /><Relationship Id="rId254" Type="http://schemas.openxmlformats.org/officeDocument/2006/relationships/footer" Target="footer41.xml" /><Relationship Id="rId255" Type="http://schemas.openxmlformats.org/officeDocument/2006/relationships/header" Target="header42.xml" /><Relationship Id="rId256" Type="http://schemas.openxmlformats.org/officeDocument/2006/relationships/footer" Target="footer42.xml" /><Relationship Id="rId257" Type="http://schemas.openxmlformats.org/officeDocument/2006/relationships/hyperlink" Target="https://advance.lexis.com/api/document?collection=cases-ca&amp;id=urn:contentItem:5F7T-S7F1-JK4W-M1GX-00000-00&amp;context=" TargetMode="External" /><Relationship Id="rId258" Type="http://schemas.openxmlformats.org/officeDocument/2006/relationships/hyperlink" Target="https://advance.lexis.com/api/document?collection=legislation-ca&amp;id=urn:contentItem:5VYK-WB11-F5KY-B48X-00000-00&amp;context=" TargetMode="External" /><Relationship Id="rId259" Type="http://schemas.openxmlformats.org/officeDocument/2006/relationships/hyperlink" Target="https://advance.lexis.com/api/document?collection=cases-ca&amp;id=urn:contentItem:5F7T-S701-JJ6S-61Y6-00000-00&amp;context=" TargetMode="External" /><Relationship Id="rId26" Type="http://schemas.openxmlformats.org/officeDocument/2006/relationships/hyperlink" Target="https://advance.lexis.com/api/document?collection=cases-ca&amp;id=urn:contentItem:5F8P-JKX1-JC5P-G3X5-00000-00&amp;context=" TargetMode="External" /><Relationship Id="rId260" Type="http://schemas.openxmlformats.org/officeDocument/2006/relationships/hyperlink" Target="https://advance.lexis.com/api/document?collection=cases-ca&amp;id=urn:contentItem:5F7T-S7C1-FGRY-B0BP-00000-00&amp;context=" TargetMode="External" /><Relationship Id="rId261" Type="http://schemas.openxmlformats.org/officeDocument/2006/relationships/hyperlink" Target="https://advance.lexis.com/api/document?collection=cases-ca&amp;id=urn:contentItem:5F7T-S7F1-FFFC-B1RD-00000-00&amp;context=" TargetMode="External" /><Relationship Id="rId262" Type="http://schemas.openxmlformats.org/officeDocument/2006/relationships/hyperlink" Target="https://advance.lexis.com/api/document?collection=cases-ca&amp;id=urn:contentItem:5F7T-S6X1-JTNR-M407-00000-00&amp;context=" TargetMode="External" /><Relationship Id="rId263" Type="http://schemas.openxmlformats.org/officeDocument/2006/relationships/hyperlink" Target="https://advance.lexis.com/api/document?collection=cases-ca&amp;id=urn:contentItem:5F7T-S761-F7ND-G4B7-00000-00&amp;context=" TargetMode="External" /><Relationship Id="rId264" Type="http://schemas.openxmlformats.org/officeDocument/2006/relationships/hyperlink" Target="https://advance.lexis.com/api/document?collection=cases-ca&amp;id=urn:contentItem:5F7T-S7D1-FCSB-S35G-00000-00&amp;context=" TargetMode="External" /><Relationship Id="rId265" Type="http://schemas.openxmlformats.org/officeDocument/2006/relationships/hyperlink" Target="https://advance.lexis.com/api/document?collection=cases-ca&amp;id=urn:contentItem:5F7T-S7D1-DY89-M420-00000-00&amp;context=" TargetMode="External" /><Relationship Id="rId266" Type="http://schemas.openxmlformats.org/officeDocument/2006/relationships/hyperlink" Target="https://advance.lexis.com/api/document?collection=cases-ca&amp;id=urn:contentItem:5F7T-S7D1-DY89-M41Y-00000-00&amp;context=" TargetMode="External" /><Relationship Id="rId267" Type="http://schemas.openxmlformats.org/officeDocument/2006/relationships/hyperlink" Target="https://advance.lexis.com/api/document?collection=cases-ca&amp;id=urn:contentItem:5F7T-S6S1-F7VM-S1XK-00000-00&amp;context=" TargetMode="External" /><Relationship Id="rId268" Type="http://schemas.openxmlformats.org/officeDocument/2006/relationships/hyperlink" Target="https://advance.lexis.com/api/document?collection=cases-ca&amp;id=urn:contentItem:5F7T-S6S1-F8SS-626F-00000-00&amp;context=" TargetMode="External" /><Relationship Id="rId269" Type="http://schemas.openxmlformats.org/officeDocument/2006/relationships/header" Target="header43.xml" /><Relationship Id="rId27" Type="http://schemas.openxmlformats.org/officeDocument/2006/relationships/header" Target="header7.xml" /><Relationship Id="rId270" Type="http://schemas.openxmlformats.org/officeDocument/2006/relationships/header" Target="header44.xml" /><Relationship Id="rId271" Type="http://schemas.openxmlformats.org/officeDocument/2006/relationships/footer" Target="footer43.xml" /><Relationship Id="rId272" Type="http://schemas.openxmlformats.org/officeDocument/2006/relationships/footer" Target="footer44.xml" /><Relationship Id="rId273" Type="http://schemas.openxmlformats.org/officeDocument/2006/relationships/header" Target="header45.xml" /><Relationship Id="rId274" Type="http://schemas.openxmlformats.org/officeDocument/2006/relationships/footer" Target="footer45.xml" /><Relationship Id="rId275" Type="http://schemas.openxmlformats.org/officeDocument/2006/relationships/hyperlink" Target="https://advance.lexis.com/api/document?collection=cases-ca&amp;id=urn:contentItem:5F7T-S7P1-JNJT-B2S9-00000-00&amp;context=" TargetMode="External" /><Relationship Id="rId276" Type="http://schemas.openxmlformats.org/officeDocument/2006/relationships/hyperlink" Target="https://advance.lexis.com/api/document?collection=legislation-ca&amp;id=urn:contentItem:5SF6-03V1-F5DR-204J-00000-00&amp;context=" TargetMode="External" /><Relationship Id="rId277" Type="http://schemas.openxmlformats.org/officeDocument/2006/relationships/hyperlink" Target="https://advance.lexis.com/api/document?collection=cases-ca&amp;id=urn:contentItem:5F7T-S7P1-JSJC-X1D9-00000-00&amp;context=" TargetMode="External" /><Relationship Id="rId278" Type="http://schemas.openxmlformats.org/officeDocument/2006/relationships/hyperlink" Target="https://advance.lexis.com/api/document?collection=cases-ca&amp;id=urn:contentItem:5F7T-S7P1-JP4G-61V8-00000-00&amp;context=" TargetMode="External" /><Relationship Id="rId279" Type="http://schemas.openxmlformats.org/officeDocument/2006/relationships/hyperlink" Target="https://advance.lexis.com/api/document?collection=cases-ca&amp;id=urn:contentItem:5F7T-S7K1-DY33-B1TJ-00000-00&amp;context=" TargetMode="External" /><Relationship Id="rId28" Type="http://schemas.openxmlformats.org/officeDocument/2006/relationships/header" Target="header8.xml" /><Relationship Id="rId280" Type="http://schemas.openxmlformats.org/officeDocument/2006/relationships/hyperlink" Target="https://advance.lexis.com/api/document?collection=cases-ca&amp;id=urn:contentItem:5F7T-S781-JSC5-M402-00000-00&amp;context=" TargetMode="External" /><Relationship Id="rId281" Type="http://schemas.openxmlformats.org/officeDocument/2006/relationships/header" Target="header46.xml" /><Relationship Id="rId282" Type="http://schemas.openxmlformats.org/officeDocument/2006/relationships/header" Target="header47.xml" /><Relationship Id="rId283" Type="http://schemas.openxmlformats.org/officeDocument/2006/relationships/footer" Target="footer46.xml" /><Relationship Id="rId284" Type="http://schemas.openxmlformats.org/officeDocument/2006/relationships/footer" Target="footer47.xml" /><Relationship Id="rId285" Type="http://schemas.openxmlformats.org/officeDocument/2006/relationships/header" Target="header48.xml" /><Relationship Id="rId286" Type="http://schemas.openxmlformats.org/officeDocument/2006/relationships/footer" Target="footer48.xml" /><Relationship Id="rId287" Type="http://schemas.openxmlformats.org/officeDocument/2006/relationships/hyperlink" Target="https://advance.lexis.com/api/document?collection=cases-ca&amp;id=urn:contentItem:5F7T-S7K1-JWXF-215K-00000-00&amp;context=" TargetMode="External" /><Relationship Id="rId288" Type="http://schemas.openxmlformats.org/officeDocument/2006/relationships/hyperlink" Target="https://advance.lexis.com/api/document?collection=cases-ca&amp;id=urn:contentItem:5F7T-S7K1-JSJC-X0P1-00000-00&amp;context=" TargetMode="External" /><Relationship Id="rId289" Type="http://schemas.openxmlformats.org/officeDocument/2006/relationships/hyperlink" Target="https://advance.lexis.com/api/document?collection=cases-ca&amp;id=urn:contentItem:5F7T-S7C1-F4NT-X38R-00000-00&amp;context=" TargetMode="External" /><Relationship Id="rId29" Type="http://schemas.openxmlformats.org/officeDocument/2006/relationships/footer" Target="footer7.xml" /><Relationship Id="rId290" Type="http://schemas.openxmlformats.org/officeDocument/2006/relationships/hyperlink" Target="https://advance.lexis.com/api/document?collection=cases-ca&amp;id=urn:contentItem:5F7T-S771-JJD0-G19X-00000-00&amp;context=" TargetMode="External" /><Relationship Id="rId291" Type="http://schemas.openxmlformats.org/officeDocument/2006/relationships/header" Target="header49.xml" /><Relationship Id="rId292" Type="http://schemas.openxmlformats.org/officeDocument/2006/relationships/header" Target="header50.xml" /><Relationship Id="rId293" Type="http://schemas.openxmlformats.org/officeDocument/2006/relationships/footer" Target="footer49.xml" /><Relationship Id="rId294" Type="http://schemas.openxmlformats.org/officeDocument/2006/relationships/footer" Target="footer50.xml" /><Relationship Id="rId295" Type="http://schemas.openxmlformats.org/officeDocument/2006/relationships/header" Target="header51.xml" /><Relationship Id="rId296" Type="http://schemas.openxmlformats.org/officeDocument/2006/relationships/footer" Target="footer51.xml" /><Relationship Id="rId297" Type="http://schemas.openxmlformats.org/officeDocument/2006/relationships/hyperlink" Target="https://advance.lexis.com/api/document?collection=cases-ca&amp;id=urn:contentItem:5GCC-XVB1-JSXV-G087-00000-00&amp;context=" TargetMode="External" /><Relationship Id="rId298" Type="http://schemas.openxmlformats.org/officeDocument/2006/relationships/hyperlink" Target="https://advance.lexis.com/api/document?collection=cases-ca&amp;id=urn:contentItem:5F7T-S7M1-F4W2-620S-00000-00&amp;context=" TargetMode="External" /><Relationship Id="rId299" Type="http://schemas.openxmlformats.org/officeDocument/2006/relationships/hyperlink" Target="https://advance.lexis.com/api/document?collection=cases-ca&amp;id=urn:contentItem:5F7T-S7P1-JCRC-B231-00000-00&amp;context=" TargetMode="External" /><Relationship Id="rId3" Type="http://schemas.openxmlformats.org/officeDocument/2006/relationships/fontTable" Target="fontTable.xml" /><Relationship Id="rId30" Type="http://schemas.openxmlformats.org/officeDocument/2006/relationships/footer" Target="footer8.xml" /><Relationship Id="rId300" Type="http://schemas.openxmlformats.org/officeDocument/2006/relationships/hyperlink" Target="https://advance.lexis.com/api/document?collection=cases-ca&amp;id=urn:contentItem:5F7T-S7P1-JSJC-X1G4-00000-00&amp;context=" TargetMode="External" /><Relationship Id="rId301" Type="http://schemas.openxmlformats.org/officeDocument/2006/relationships/hyperlink" Target="https://advance.lexis.com/api/document?collection=cases-ca&amp;id=urn:contentItem:5F7T-S7P1-JP4G-61ST-00000-00&amp;context=" TargetMode="External" /><Relationship Id="rId302" Type="http://schemas.openxmlformats.org/officeDocument/2006/relationships/hyperlink" Target="https://advance.lexis.com/api/document?collection=cases-ca&amp;id=urn:contentItem:5F7T-S7P1-F2TK-23P5-00000-00&amp;context=" TargetMode="External" /><Relationship Id="rId303" Type="http://schemas.openxmlformats.org/officeDocument/2006/relationships/hyperlink" Target="https://advance.lexis.com/api/document?collection=cases-ca&amp;id=urn:contentItem:5F7T-S7P1-JSJC-X1C1-00000-00&amp;context=" TargetMode="External" /><Relationship Id="rId304" Type="http://schemas.openxmlformats.org/officeDocument/2006/relationships/hyperlink" Target="https://advance.lexis.com/api/document?collection=cases-ca&amp;id=urn:contentItem:5GCC-XVB1-JSXV-G077-00000-00&amp;context=" TargetMode="External" /><Relationship Id="rId305" Type="http://schemas.openxmlformats.org/officeDocument/2006/relationships/header" Target="header52.xml" /><Relationship Id="rId306" Type="http://schemas.openxmlformats.org/officeDocument/2006/relationships/header" Target="header53.xml" /><Relationship Id="rId307" Type="http://schemas.openxmlformats.org/officeDocument/2006/relationships/footer" Target="footer52.xml" /><Relationship Id="rId308" Type="http://schemas.openxmlformats.org/officeDocument/2006/relationships/footer" Target="footer53.xml" /><Relationship Id="rId309" Type="http://schemas.openxmlformats.org/officeDocument/2006/relationships/header" Target="header54.xml" /><Relationship Id="rId31" Type="http://schemas.openxmlformats.org/officeDocument/2006/relationships/header" Target="header9.xml" /><Relationship Id="rId310" Type="http://schemas.openxmlformats.org/officeDocument/2006/relationships/footer" Target="footer54.xml" /><Relationship Id="rId311" Type="http://schemas.openxmlformats.org/officeDocument/2006/relationships/hyperlink" Target="https://advance.lexis.com/api/document?collection=cases-ca&amp;id=urn:contentItem:5F7T-S7D1-DY89-M47M-00000-00&amp;context=" TargetMode="External" /><Relationship Id="rId312" Type="http://schemas.openxmlformats.org/officeDocument/2006/relationships/hyperlink" Target="https://advance.lexis.com/api/document?collection=cases-ca&amp;id=urn:contentItem:5F7T-S7G1-JBT7-X40C-00000-00&amp;context=" TargetMode="External" /><Relationship Id="rId313" Type="http://schemas.openxmlformats.org/officeDocument/2006/relationships/hyperlink" Target="https://advance.lexis.com/api/document?collection=cases-ca&amp;id=urn:contentItem:5F81-YGW1-DYFH-X025-00000-00&amp;context=" TargetMode="External" /><Relationship Id="rId314" Type="http://schemas.openxmlformats.org/officeDocument/2006/relationships/hyperlink" Target="https://advance.lexis.com/api/document?collection=cases-ca&amp;id=urn:contentItem:5F8T-N3T1-JJSF-235C-00000-00&amp;context=" TargetMode="External" /><Relationship Id="rId315" Type="http://schemas.openxmlformats.org/officeDocument/2006/relationships/header" Target="header55.xml" /><Relationship Id="rId316" Type="http://schemas.openxmlformats.org/officeDocument/2006/relationships/header" Target="header56.xml" /><Relationship Id="rId317" Type="http://schemas.openxmlformats.org/officeDocument/2006/relationships/footer" Target="footer55.xml" /><Relationship Id="rId318" Type="http://schemas.openxmlformats.org/officeDocument/2006/relationships/footer" Target="footer56.xml" /><Relationship Id="rId319" Type="http://schemas.openxmlformats.org/officeDocument/2006/relationships/header" Target="header57.xml" /><Relationship Id="rId32" Type="http://schemas.openxmlformats.org/officeDocument/2006/relationships/footer" Target="footer9.xml" /><Relationship Id="rId320" Type="http://schemas.openxmlformats.org/officeDocument/2006/relationships/footer" Target="footer57.xml" /><Relationship Id="rId321" Type="http://schemas.openxmlformats.org/officeDocument/2006/relationships/hyperlink" Target="https://advance.lexis.com/api/document?collection=cases-ca&amp;id=urn:contentItem:5F7T-S7H1-JCRC-B18G-00000-00&amp;context=" TargetMode="External" /><Relationship Id="rId322" Type="http://schemas.openxmlformats.org/officeDocument/2006/relationships/hyperlink" Target="https://advance.lexis.com/api/document?collection=legislation-ca&amp;id=urn:contentItem:5F41-1FM1-FGJR-216G-00000-00&amp;context=" TargetMode="External" /><Relationship Id="rId323" Type="http://schemas.openxmlformats.org/officeDocument/2006/relationships/hyperlink" Target="https://advance.lexis.com/api/document?collection=cases-ca&amp;id=urn:contentItem:5F7T-S771-F81W-2293-00000-00&amp;context=" TargetMode="External" /><Relationship Id="rId324" Type="http://schemas.openxmlformats.org/officeDocument/2006/relationships/hyperlink" Target="https://advance.lexis.com/api/document?collection=cases-ca&amp;id=urn:contentItem:5F7T-S781-DYMS-61JV-00000-00&amp;context=" TargetMode="External" /><Relationship Id="rId325" Type="http://schemas.openxmlformats.org/officeDocument/2006/relationships/hyperlink" Target="https://advance.lexis.com/api/document?collection=cases-ca&amp;id=urn:contentItem:5F7T-S771-F81W-2294-00000-00&amp;context=" TargetMode="External" /><Relationship Id="rId326" Type="http://schemas.openxmlformats.org/officeDocument/2006/relationships/hyperlink" Target="https://advance.lexis.com/api/document?collection=cases-ca&amp;id=urn:contentItem:5F7T-S701-JJYN-B2DT-00000-00&amp;context=" TargetMode="External" /><Relationship Id="rId327" Type="http://schemas.openxmlformats.org/officeDocument/2006/relationships/hyperlink" Target="https://advance.lexis.com/api/document?collection=cases-ca&amp;id=urn:contentItem:5F7T-S7C1-JXG3-X08C-00000-00&amp;context=" TargetMode="External" /><Relationship Id="rId328" Type="http://schemas.openxmlformats.org/officeDocument/2006/relationships/hyperlink" Target="https://advance.lexis.com/api/document?collection=cases-ca&amp;id=urn:contentItem:5F7T-S7G1-JWR6-S1NB-00000-00&amp;context=" TargetMode="External" /><Relationship Id="rId329" Type="http://schemas.openxmlformats.org/officeDocument/2006/relationships/hyperlink" Target="https://advance.lexis.com/api/document?collection=cases-ca&amp;id=urn:contentItem:5F7T-S7G1-F5KY-B1X9-00000-00&amp;context=" TargetMode="External" /><Relationship Id="rId33" Type="http://schemas.openxmlformats.org/officeDocument/2006/relationships/hyperlink" Target="https://advance.lexis.com/api/document?collection=cases-ca&amp;id=urn:contentItem:5F7T-S781-JC5P-G1J8-00000-00&amp;context=" TargetMode="External" /><Relationship Id="rId330" Type="http://schemas.openxmlformats.org/officeDocument/2006/relationships/hyperlink" Target="https://advance.lexis.com/api/document?collection=cases-ca&amp;id=urn:contentItem:5F8T-N3V1-JTGH-B15S-00000-00&amp;context=" TargetMode="External" /><Relationship Id="rId331" Type="http://schemas.openxmlformats.org/officeDocument/2006/relationships/hyperlink" Target="https://advance.lexis.com/api/document?collection=cases-ca&amp;id=urn:contentItem:5F8T-N3T1-JGHR-M1SW-00000-00&amp;context=" TargetMode="External" /><Relationship Id="rId332" Type="http://schemas.openxmlformats.org/officeDocument/2006/relationships/hyperlink" Target="https://advance.lexis.com/api/document?collection=cases-ca&amp;id=urn:contentItem:5F7T-S7D1-DY89-M480-00000-00&amp;context=" TargetMode="External" /><Relationship Id="rId333" Type="http://schemas.openxmlformats.org/officeDocument/2006/relationships/header" Target="header58.xml" /><Relationship Id="rId334" Type="http://schemas.openxmlformats.org/officeDocument/2006/relationships/header" Target="header59.xml" /><Relationship Id="rId335" Type="http://schemas.openxmlformats.org/officeDocument/2006/relationships/footer" Target="footer58.xml" /><Relationship Id="rId336" Type="http://schemas.openxmlformats.org/officeDocument/2006/relationships/footer" Target="footer59.xml" /><Relationship Id="rId337" Type="http://schemas.openxmlformats.org/officeDocument/2006/relationships/header" Target="header60.xml" /><Relationship Id="rId338" Type="http://schemas.openxmlformats.org/officeDocument/2006/relationships/footer" Target="footer60.xml" /><Relationship Id="rId339" Type="http://schemas.openxmlformats.org/officeDocument/2006/relationships/hyperlink" Target="https://advance.lexis.com/api/document?collection=cases-ca&amp;id=urn:contentItem:5F7T-S7F1-JBT7-X2V9-00000-00&amp;context=" TargetMode="External" /><Relationship Id="rId34" Type="http://schemas.openxmlformats.org/officeDocument/2006/relationships/hyperlink" Target="https://advance.lexis.com/api/document?collection=cases-ca&amp;id=urn:contentItem:5F81-VJV1-JK4W-M50S-00000-00&amp;context=" TargetMode="External" /><Relationship Id="rId340" Type="http://schemas.openxmlformats.org/officeDocument/2006/relationships/hyperlink" Target="https://advance.lexis.com/api/document?collection=legislation-ca&amp;id=urn:contentItem:5F41-1FM1-FCK4-G052-00000-00&amp;context=" TargetMode="External" /><Relationship Id="rId341" Type="http://schemas.openxmlformats.org/officeDocument/2006/relationships/hyperlink" Target="https://advance.lexis.com/api/document?collection=cases-ca&amp;id=urn:contentItem:5F7T-S721-F4NT-X2FF-00000-00&amp;context=" TargetMode="External" /><Relationship Id="rId342" Type="http://schemas.openxmlformats.org/officeDocument/2006/relationships/hyperlink" Target="https://advance.lexis.com/api/document?collection=cases-ca&amp;id=urn:contentItem:5F7T-S721-F4NT-X2F4-00000-00&amp;context=" TargetMode="External" /><Relationship Id="rId343" Type="http://schemas.openxmlformats.org/officeDocument/2006/relationships/hyperlink" Target="https://advance.lexis.com/api/document?collection=cases-ca&amp;id=urn:contentItem:5F7T-S771-JN14-G2MH-00000-00&amp;context=" TargetMode="External" /><Relationship Id="rId344" Type="http://schemas.openxmlformats.org/officeDocument/2006/relationships/hyperlink" Target="https://advance.lexis.com/api/document?collection=cases-ca&amp;id=urn:contentItem:5F81-VJS1-JNY7-X3D4-00000-00&amp;context=" TargetMode="External" /><Relationship Id="rId345" Type="http://schemas.openxmlformats.org/officeDocument/2006/relationships/header" Target="header61.xml" /><Relationship Id="rId346" Type="http://schemas.openxmlformats.org/officeDocument/2006/relationships/header" Target="header62.xml" /><Relationship Id="rId347" Type="http://schemas.openxmlformats.org/officeDocument/2006/relationships/footer" Target="footer61.xml" /><Relationship Id="rId348" Type="http://schemas.openxmlformats.org/officeDocument/2006/relationships/footer" Target="footer62.xml" /><Relationship Id="rId349" Type="http://schemas.openxmlformats.org/officeDocument/2006/relationships/header" Target="header63.xml" /><Relationship Id="rId35" Type="http://schemas.openxmlformats.org/officeDocument/2006/relationships/hyperlink" Target="https://advance.lexis.com/api/document?collection=cases-ca&amp;id=urn:contentItem:5F7T-S751-JP4G-61JG-00000-00&amp;context=" TargetMode="External" /><Relationship Id="rId350" Type="http://schemas.openxmlformats.org/officeDocument/2006/relationships/footer" Target="footer63.xml" /><Relationship Id="rId351" Type="http://schemas.openxmlformats.org/officeDocument/2006/relationships/hyperlink" Target="https://advance.lexis.com/api/document?collection=cases-ca&amp;id=urn:contentItem:5NX6-V8N1-JBDT-B3YY-00000-00&amp;context=" TargetMode="External" /><Relationship Id="rId352" Type="http://schemas.openxmlformats.org/officeDocument/2006/relationships/hyperlink" Target="https://advance.lexis.com/api/document?collection=cases-ca&amp;id=urn:contentItem:5F7T-S7M1-JPP5-22V9-00000-00&amp;context=" TargetMode="External" /><Relationship Id="rId353" Type="http://schemas.openxmlformats.org/officeDocument/2006/relationships/hyperlink" Target="https://advance.lexis.com/api/document?collection=cases-ca&amp;id=urn:contentItem:5F7T-S7K1-JKHB-633S-00000-00&amp;context=" TargetMode="External" /><Relationship Id="rId354" Type="http://schemas.openxmlformats.org/officeDocument/2006/relationships/header" Target="header64.xml" /><Relationship Id="rId355" Type="http://schemas.openxmlformats.org/officeDocument/2006/relationships/header" Target="header65.xml" /><Relationship Id="rId356" Type="http://schemas.openxmlformats.org/officeDocument/2006/relationships/footer" Target="footer64.xml" /><Relationship Id="rId357" Type="http://schemas.openxmlformats.org/officeDocument/2006/relationships/footer" Target="footer65.xml" /><Relationship Id="rId358" Type="http://schemas.openxmlformats.org/officeDocument/2006/relationships/header" Target="header66.xml" /><Relationship Id="rId359" Type="http://schemas.openxmlformats.org/officeDocument/2006/relationships/footer" Target="footer66.xml" /><Relationship Id="rId36" Type="http://schemas.openxmlformats.org/officeDocument/2006/relationships/hyperlink" Target="https://advance.lexis.com/api/document?collection=cases-ca&amp;id=urn:contentItem:5F7T-S6X1-K0BB-S0MV-00000-00&amp;context=" TargetMode="External" /><Relationship Id="rId360" Type="http://schemas.openxmlformats.org/officeDocument/2006/relationships/hyperlink" Target="https://advance.lexis.com/api/document?collection=cases-ca&amp;id=urn:contentItem:5VX3-4C71-DY89-M31J-00000-00&amp;context=" TargetMode="External" /><Relationship Id="rId361" Type="http://schemas.openxmlformats.org/officeDocument/2006/relationships/hyperlink" Target="https://advance.lexis.com/api/document?collection=cases-ca&amp;id=urn:contentItem:5F7T-XPT1-F4NT-X4WY-00000-00&amp;context=" TargetMode="External" /><Relationship Id="rId362" Type="http://schemas.openxmlformats.org/officeDocument/2006/relationships/hyperlink" Target="https://advance.lexis.com/api/document?collection=cases-ca&amp;id=urn:contentItem:5F8P-SGB1-JKB3-X1C5-00000-00&amp;context=" TargetMode="External" /><Relationship Id="rId363" Type="http://schemas.openxmlformats.org/officeDocument/2006/relationships/hyperlink" Target="https://advance.lexis.com/api/document?collection=cases-ca&amp;id=urn:contentItem:5F7T-S7D1-JXG3-X0X5-00000-00&amp;context=" TargetMode="External" /><Relationship Id="rId364" Type="http://schemas.openxmlformats.org/officeDocument/2006/relationships/hyperlink" Target="https://advance.lexis.com/api/document?collection=cases-ca&amp;id=urn:contentItem:5F8P-SDG1-JGPY-X1WD-00000-00&amp;context=" TargetMode="External" /><Relationship Id="rId365" Type="http://schemas.openxmlformats.org/officeDocument/2006/relationships/hyperlink" Target="https://advance.lexis.com/api/document?collection=cases-ca&amp;id=urn:contentItem:5F8P-SDC1-F1H1-20K2-00000-00&amp;context=" TargetMode="External" /><Relationship Id="rId366" Type="http://schemas.openxmlformats.org/officeDocument/2006/relationships/hyperlink" Target="https://advance.lexis.com/api/document?collection=cases-ca&amp;id=urn:contentItem:5F8P-SF51-F2MB-S4W9-00000-00&amp;context=" TargetMode="External" /><Relationship Id="rId367" Type="http://schemas.openxmlformats.org/officeDocument/2006/relationships/hyperlink" Target="https://advance.lexis.com/api/document?collection=cases-ca&amp;id=urn:contentItem:5F7T-S7F1-JK4W-M1BG-00000-00&amp;context=" TargetMode="External" /><Relationship Id="rId368" Type="http://schemas.openxmlformats.org/officeDocument/2006/relationships/hyperlink" Target="https://advance.lexis.com/api/document?collection=cases-ca&amp;id=urn:contentItem:5FX0-MRR1-JSJC-X155-00000-00&amp;context=" TargetMode="External" /><Relationship Id="rId369" Type="http://schemas.openxmlformats.org/officeDocument/2006/relationships/hyperlink" Target="https://advance.lexis.com/api/document?collection=cases-ca&amp;id=urn:contentItem:5F8P-SF81-F22N-X1VF-00000-00&amp;context=" TargetMode="External" /><Relationship Id="rId37" Type="http://schemas.openxmlformats.org/officeDocument/2006/relationships/hyperlink" Target="https://advance.lexis.com/api/document?collection=cases-ca&amp;id=urn:contentItem:5F7T-S711-JC0G-6353-00000-00&amp;context=" TargetMode="External" /><Relationship Id="rId370" Type="http://schemas.openxmlformats.org/officeDocument/2006/relationships/hyperlink" Target="https://advance.lexis.com/api/document?collection=cases-ca&amp;id=urn:contentItem:5F8P-SFC1-JXG3-X3VV-00000-00&amp;context=" TargetMode="External" /><Relationship Id="rId371" Type="http://schemas.openxmlformats.org/officeDocument/2006/relationships/hyperlink" Target="https://advance.lexis.com/api/document?collection=cases-ca&amp;id=urn:contentItem:5F8T-N3V1-FC1F-M4BS-00000-00&amp;context=" TargetMode="External" /><Relationship Id="rId372" Type="http://schemas.openxmlformats.org/officeDocument/2006/relationships/hyperlink" Target="https://advance.lexis.com/api/document?collection=cases-ca&amp;id=urn:contentItem:5F8P-SDN1-F1H1-20YH-00000-00&amp;context=" TargetMode="External" /><Relationship Id="rId373" Type="http://schemas.openxmlformats.org/officeDocument/2006/relationships/hyperlink" Target="https://advance.lexis.com/api/document?collection=cases-ca&amp;id=urn:contentItem:5F8T-N3V1-JF75-M3SJ-00000-00&amp;context=" TargetMode="External" /><Relationship Id="rId374" Type="http://schemas.openxmlformats.org/officeDocument/2006/relationships/hyperlink" Target="https://advance.lexis.com/api/document?collection=cases-ca&amp;id=urn:contentItem:5F7T-S731-F1WF-M23S-00000-00&amp;context=" TargetMode="External" /><Relationship Id="rId375" Type="http://schemas.openxmlformats.org/officeDocument/2006/relationships/hyperlink" Target="https://advance.lexis.com/api/document?collection=cases-ca&amp;id=urn:contentItem:5F7T-S7N1-JGHR-M377-00000-00&amp;context=" TargetMode="External" /><Relationship Id="rId376" Type="http://schemas.openxmlformats.org/officeDocument/2006/relationships/header" Target="header67.xml" /><Relationship Id="rId377" Type="http://schemas.openxmlformats.org/officeDocument/2006/relationships/header" Target="header68.xml" /><Relationship Id="rId378" Type="http://schemas.openxmlformats.org/officeDocument/2006/relationships/footer" Target="footer67.xml" /><Relationship Id="rId379" Type="http://schemas.openxmlformats.org/officeDocument/2006/relationships/footer" Target="footer68.xml" /><Relationship Id="rId38" Type="http://schemas.openxmlformats.org/officeDocument/2006/relationships/hyperlink" Target="https://advance.lexis.com/api/document?collection=cases-ca&amp;id=urn:contentItem:5F7T-S751-JCJ5-24N9-00000-00&amp;context=" TargetMode="External" /><Relationship Id="rId380" Type="http://schemas.openxmlformats.org/officeDocument/2006/relationships/header" Target="header69.xml" /><Relationship Id="rId381" Type="http://schemas.openxmlformats.org/officeDocument/2006/relationships/footer" Target="footer69.xml" /><Relationship Id="rId382" Type="http://schemas.openxmlformats.org/officeDocument/2006/relationships/hyperlink" Target="https://advance.lexis.com/api/document?collection=cases-ca&amp;id=urn:contentItem:5PN3-9YF1-JG02-S3MN-00000-00&amp;context=" TargetMode="External" /><Relationship Id="rId383" Type="http://schemas.openxmlformats.org/officeDocument/2006/relationships/hyperlink" Target="https://advance.lexis.com/api/document?collection=cases-ca&amp;id=urn:contentItem:5F7T-S7K1-F1H1-22DD-00000-00&amp;context=" TargetMode="External" /><Relationship Id="rId384" Type="http://schemas.openxmlformats.org/officeDocument/2006/relationships/hyperlink" Target="https://advance.lexis.com/api/document?collection=cases-ca&amp;id=urn:contentItem:5F8T-N3V1-FC1F-M4D3-00000-00&amp;context=" TargetMode="External" /><Relationship Id="rId385" Type="http://schemas.openxmlformats.org/officeDocument/2006/relationships/hyperlink" Target="https://advance.lexis.com/api/document?collection=cases-ca&amp;id=urn:contentItem:5F8P-SDK1-F5DR-20K0-00000-00&amp;context=" TargetMode="External" /><Relationship Id="rId386" Type="http://schemas.openxmlformats.org/officeDocument/2006/relationships/hyperlink" Target="https://advance.lexis.com/api/document?collection=cases-ca&amp;id=urn:contentItem:5F7T-S7J1-DXWW-24X6-00000-00&amp;context=" TargetMode="External" /><Relationship Id="rId387" Type="http://schemas.openxmlformats.org/officeDocument/2006/relationships/hyperlink" Target="https://advance.lexis.com/api/document?collection=cases-ca&amp;id=urn:contentItem:5F7T-S7J1-JYYX-62D7-00000-00&amp;context=" TargetMode="External" /><Relationship Id="rId388" Type="http://schemas.openxmlformats.org/officeDocument/2006/relationships/hyperlink" Target="https://advance.lexis.com/api/document?collection=cases-ca&amp;id=urn:contentItem:5F8P-SDN1-F1H1-211T-00000-00&amp;context=" TargetMode="External" /><Relationship Id="rId389" Type="http://schemas.openxmlformats.org/officeDocument/2006/relationships/header" Target="header70.xml" /><Relationship Id="rId39" Type="http://schemas.openxmlformats.org/officeDocument/2006/relationships/header" Target="header10.xml" /><Relationship Id="rId390" Type="http://schemas.openxmlformats.org/officeDocument/2006/relationships/header" Target="header71.xml" /><Relationship Id="rId391" Type="http://schemas.openxmlformats.org/officeDocument/2006/relationships/footer" Target="footer70.xml" /><Relationship Id="rId392" Type="http://schemas.openxmlformats.org/officeDocument/2006/relationships/footer" Target="footer71.xml" /><Relationship Id="rId393" Type="http://schemas.openxmlformats.org/officeDocument/2006/relationships/header" Target="header72.xml" /><Relationship Id="rId394" Type="http://schemas.openxmlformats.org/officeDocument/2006/relationships/footer" Target="footer72.xml" /><Relationship Id="rId395" Type="http://schemas.openxmlformats.org/officeDocument/2006/relationships/hyperlink" Target="https://advance.lexis.com/api/document?collection=cases-ca&amp;id=urn:contentItem:5F7T-S7G1-FCYK-206V-00000-00&amp;context=" TargetMode="External" /><Relationship Id="rId396" Type="http://schemas.openxmlformats.org/officeDocument/2006/relationships/header" Target="header73.xml" /><Relationship Id="rId397" Type="http://schemas.openxmlformats.org/officeDocument/2006/relationships/header" Target="header74.xml" /><Relationship Id="rId398" Type="http://schemas.openxmlformats.org/officeDocument/2006/relationships/footer" Target="footer73.xml" /><Relationship Id="rId399" Type="http://schemas.openxmlformats.org/officeDocument/2006/relationships/footer" Target="footer74.xml" /><Relationship Id="rId4" Type="http://schemas.openxmlformats.org/officeDocument/2006/relationships/header" Target="header1.xml" /><Relationship Id="rId40" Type="http://schemas.openxmlformats.org/officeDocument/2006/relationships/header" Target="header11.xml" /><Relationship Id="rId400" Type="http://schemas.openxmlformats.org/officeDocument/2006/relationships/header" Target="header75.xml" /><Relationship Id="rId401" Type="http://schemas.openxmlformats.org/officeDocument/2006/relationships/footer" Target="footer75.xml" /><Relationship Id="rId402" Type="http://schemas.openxmlformats.org/officeDocument/2006/relationships/hyperlink" Target="https://advance.lexis.com/api/document?collection=cases-ca&amp;id=urn:contentItem:5F7T-S7D1-JN6B-S0WT-00000-00&amp;context=" TargetMode="External" /><Relationship Id="rId403" Type="http://schemas.openxmlformats.org/officeDocument/2006/relationships/hyperlink" Target="https://advance.lexis.com/api/document?collection=cases-ca&amp;id=urn:contentItem:5K6Y-81M1-F65M-61HV-00000-00&amp;context=" TargetMode="External" /><Relationship Id="rId404" Type="http://schemas.openxmlformats.org/officeDocument/2006/relationships/hyperlink" Target="https://advance.lexis.com/api/document?collection=legislation-ca&amp;id=urn:contentItem:5VYK-47V1-JJSF-24KK-00000-00&amp;context=" TargetMode="External" /><Relationship Id="rId405" Type="http://schemas.openxmlformats.org/officeDocument/2006/relationships/hyperlink" Target="https://advance.lexis.com/api/document?collection=legislation-ca&amp;id=urn:contentItem:5VWW-WY31-JKPJ-G2YC-00000-00&amp;context=" TargetMode="External" /><Relationship Id="rId406" Type="http://schemas.openxmlformats.org/officeDocument/2006/relationships/hyperlink" Target="https://advance.lexis.com/api/document?collection=legislation-ca&amp;id=urn:contentItem:5W2C-X5J1-JJ1H-X0F6-00000-00&amp;context=" TargetMode="External" /><Relationship Id="rId407" Type="http://schemas.openxmlformats.org/officeDocument/2006/relationships/hyperlink" Target="https://advance.lexis.com/api/document?collection=cases-ca&amp;id=urn:contentItem:5F7T-S741-F2F4-G2DR-00000-00&amp;context=" TargetMode="External" /><Relationship Id="rId408" Type="http://schemas.openxmlformats.org/officeDocument/2006/relationships/header" Target="header76.xml" /><Relationship Id="rId409" Type="http://schemas.openxmlformats.org/officeDocument/2006/relationships/header" Target="header77.xml" /><Relationship Id="rId41" Type="http://schemas.openxmlformats.org/officeDocument/2006/relationships/footer" Target="footer10.xml" /><Relationship Id="rId410" Type="http://schemas.openxmlformats.org/officeDocument/2006/relationships/footer" Target="footer76.xml" /><Relationship Id="rId411" Type="http://schemas.openxmlformats.org/officeDocument/2006/relationships/footer" Target="footer77.xml" /><Relationship Id="rId412" Type="http://schemas.openxmlformats.org/officeDocument/2006/relationships/header" Target="header78.xml" /><Relationship Id="rId413" Type="http://schemas.openxmlformats.org/officeDocument/2006/relationships/footer" Target="footer78.xml" /><Relationship Id="rId414" Type="http://schemas.openxmlformats.org/officeDocument/2006/relationships/hyperlink" Target="https://advance.lexis.com/api/document?collection=cases-ca&amp;id=urn:contentItem:5F7T-S7B1-JSRM-609F-00000-00&amp;context=" TargetMode="External" /><Relationship Id="rId415" Type="http://schemas.openxmlformats.org/officeDocument/2006/relationships/hyperlink" Target="https://advance.lexis.com/api/document?collection=cases-ca&amp;id=urn:contentItem:5F8T-N3T1-JGHR-M22V-00000-00&amp;context=" TargetMode="External" /><Relationship Id="rId416" Type="http://schemas.openxmlformats.org/officeDocument/2006/relationships/hyperlink" Target="https://advance.lexis.com/api/document?collection=cases-ca&amp;id=urn:contentItem:5F8T-N3V1-JF75-M3GD-00000-00&amp;context=" TargetMode="External" /><Relationship Id="rId417" Type="http://schemas.openxmlformats.org/officeDocument/2006/relationships/hyperlink" Target="https://advance.lexis.com/api/document?collection=cases-ca&amp;id=urn:contentItem:5F7T-S721-F8D9-M0SS-00000-00&amp;context=" TargetMode="External" /><Relationship Id="rId418" Type="http://schemas.openxmlformats.org/officeDocument/2006/relationships/hyperlink" Target="https://advance.lexis.com/api/document?collection=cases-ca&amp;id=urn:contentItem:5F7T-S6W1-JYYX-61S4-00000-00&amp;context=" TargetMode="External" /><Relationship Id="rId419" Type="http://schemas.openxmlformats.org/officeDocument/2006/relationships/hyperlink" Target="https://advance.lexis.com/api/document?collection=cases-ca&amp;id=urn:contentItem:5F7V-3DH1-FK0M-S1SM-00000-00&amp;context=" TargetMode="External" /><Relationship Id="rId42" Type="http://schemas.openxmlformats.org/officeDocument/2006/relationships/footer" Target="footer11.xml" /><Relationship Id="rId420" Type="http://schemas.openxmlformats.org/officeDocument/2006/relationships/hyperlink" Target="https://advance.lexis.com/api/document?collection=cases-ca&amp;id=urn:contentItem:5F7H-KW81-F7G6-60BX-00000-00&amp;context=" TargetMode="External" /><Relationship Id="rId421" Type="http://schemas.openxmlformats.org/officeDocument/2006/relationships/hyperlink" Target="https://advance.lexis.com/api/document?collection=cases-ca&amp;id=urn:contentItem:5F8P-SCX1-JCBX-S251-00000-00&amp;context=" TargetMode="External" /><Relationship Id="rId422" Type="http://schemas.openxmlformats.org/officeDocument/2006/relationships/hyperlink" Target="https://advance.lexis.com/api/document?collection=cases-ca&amp;id=urn:contentItem:5F7T-S761-JGHR-M2JR-00000-00&amp;context=" TargetMode="External" /><Relationship Id="rId423" Type="http://schemas.openxmlformats.org/officeDocument/2006/relationships/hyperlink" Target="https://advance.lexis.com/api/document?collection=cases-ca&amp;id=urn:contentItem:5F8P-SD91-FC1F-M292-00000-00&amp;context=" TargetMode="External" /><Relationship Id="rId424" Type="http://schemas.openxmlformats.org/officeDocument/2006/relationships/hyperlink" Target="https://advance.lexis.com/api/document?collection=cases-ca&amp;id=urn:contentItem:5F81-VJX1-FFTT-X1Y9-00000-00&amp;context=" TargetMode="External" /><Relationship Id="rId425" Type="http://schemas.openxmlformats.org/officeDocument/2006/relationships/hyperlink" Target="https://advance.lexis.com/api/document?collection=cases-ca&amp;id=urn:contentItem:5F8P-SCM1-F27X-60V3-00000-00&amp;context=" TargetMode="External" /><Relationship Id="rId426" Type="http://schemas.openxmlformats.org/officeDocument/2006/relationships/hyperlink" Target="https://advance.lexis.com/api/document?collection=cases-ca&amp;id=urn:contentItem:5F7T-S721-F8D9-M170-00000-00&amp;context=" TargetMode="External" /><Relationship Id="rId427" Type="http://schemas.openxmlformats.org/officeDocument/2006/relationships/header" Target="header79.xml" /><Relationship Id="rId428" Type="http://schemas.openxmlformats.org/officeDocument/2006/relationships/header" Target="header80.xml" /><Relationship Id="rId429" Type="http://schemas.openxmlformats.org/officeDocument/2006/relationships/footer" Target="footer79.xml" /><Relationship Id="rId43" Type="http://schemas.openxmlformats.org/officeDocument/2006/relationships/header" Target="header12.xml" /><Relationship Id="rId430" Type="http://schemas.openxmlformats.org/officeDocument/2006/relationships/footer" Target="footer80.xml" /><Relationship Id="rId431" Type="http://schemas.openxmlformats.org/officeDocument/2006/relationships/header" Target="header81.xml" /><Relationship Id="rId432" Type="http://schemas.openxmlformats.org/officeDocument/2006/relationships/footer" Target="footer81.xml" /><Relationship Id="rId433" Type="http://schemas.openxmlformats.org/officeDocument/2006/relationships/hyperlink" Target="https://advance.lexis.com/api/document?collection=cases-ca&amp;id=urn:contentItem:5F7T-S7G1-F5KY-B1CM-00000-00&amp;context=" TargetMode="External" /><Relationship Id="rId434" Type="http://schemas.openxmlformats.org/officeDocument/2006/relationships/hyperlink" Target="https://advance.lexis.com/api/document?collection=cases-ca&amp;id=urn:contentItem:5F7T-S6Y1-F65M-6050-00000-00&amp;context=" TargetMode="External" /><Relationship Id="rId435" Type="http://schemas.openxmlformats.org/officeDocument/2006/relationships/hyperlink" Target="https://advance.lexis.com/api/document?collection=cases-ca&amp;id=urn:contentItem:5F7T-S771-F2TK-2355-00000-00&amp;context=" TargetMode="External" /><Relationship Id="rId436" Type="http://schemas.openxmlformats.org/officeDocument/2006/relationships/hyperlink" Target="https://advance.lexis.com/api/document?collection=legislation-ca&amp;id=urn:contentItem:5F41-1FG1-FC1F-M0TW-00000-00&amp;context=" TargetMode="External" /><Relationship Id="rId437" Type="http://schemas.openxmlformats.org/officeDocument/2006/relationships/hyperlink" Target="https://advance.lexis.com/api/document?collection=cases-ca&amp;id=urn:contentItem:5F7T-S741-F528-G21K-00000-00&amp;context=" TargetMode="External" /><Relationship Id="rId438" Type="http://schemas.openxmlformats.org/officeDocument/2006/relationships/hyperlink" Target="https://advance.lexis.com/api/document?collection=cases-ca&amp;id=urn:contentItem:5F7T-S771-JN14-G2DF-00000-00&amp;context=" TargetMode="External" /><Relationship Id="rId439" Type="http://schemas.openxmlformats.org/officeDocument/2006/relationships/header" Target="header82.xml" /><Relationship Id="rId44" Type="http://schemas.openxmlformats.org/officeDocument/2006/relationships/footer" Target="footer12.xml" /><Relationship Id="rId440" Type="http://schemas.openxmlformats.org/officeDocument/2006/relationships/header" Target="header83.xml" /><Relationship Id="rId441" Type="http://schemas.openxmlformats.org/officeDocument/2006/relationships/footer" Target="footer82.xml" /><Relationship Id="rId442" Type="http://schemas.openxmlformats.org/officeDocument/2006/relationships/footer" Target="footer83.xml" /><Relationship Id="rId443" Type="http://schemas.openxmlformats.org/officeDocument/2006/relationships/header" Target="header84.xml" /><Relationship Id="rId444" Type="http://schemas.openxmlformats.org/officeDocument/2006/relationships/footer" Target="footer84.xml" /><Relationship Id="rId445" Type="http://schemas.openxmlformats.org/officeDocument/2006/relationships/hyperlink" Target="https://advance.lexis.com/api/document?collection=cases-ca&amp;id=urn:contentItem:5F7T-S7B1-F7ND-G50Y-00000-00&amp;context=" TargetMode="External" /><Relationship Id="rId446" Type="http://schemas.openxmlformats.org/officeDocument/2006/relationships/hyperlink" Target="https://advance.lexis.com/api/document?collection=cases-ca&amp;id=urn:contentItem:5F7T-S741-DXPM-S12G-00000-00&amp;context=" TargetMode="External" /><Relationship Id="rId447" Type="http://schemas.openxmlformats.org/officeDocument/2006/relationships/hyperlink" Target="https://advance.lexis.com/api/document?collection=cases-ca&amp;id=urn:contentItem:5F7T-S731-FG12-62D7-00000-00&amp;context=" TargetMode="External" /><Relationship Id="rId448" Type="http://schemas.openxmlformats.org/officeDocument/2006/relationships/hyperlink" Target="https://advance.lexis.com/api/document?collection=cases-ca&amp;id=urn:contentItem:5F7T-S771-JW5H-X1PH-00000-00&amp;context=" TargetMode="External" /><Relationship Id="rId449" Type="http://schemas.openxmlformats.org/officeDocument/2006/relationships/hyperlink" Target="https://advance.lexis.com/api/document?collection=cases-ca&amp;id=urn:contentItem:5F7T-S771-F81W-22HN-00000-00&amp;context=" TargetMode="External" /><Relationship Id="rId45" Type="http://schemas.openxmlformats.org/officeDocument/2006/relationships/hyperlink" Target="https://advance.lexis.com/api/document?collection=cases-ca&amp;id=urn:contentItem:5NYG-2N01-F2F4-G4K6-00000-00&amp;context=" TargetMode="External" /><Relationship Id="rId450" Type="http://schemas.openxmlformats.org/officeDocument/2006/relationships/hyperlink" Target="https://advance.lexis.com/api/document?collection=cases-ca&amp;id=urn:contentItem:5F7T-S721-FG12-61P7-00000-00&amp;context=" TargetMode="External" /><Relationship Id="rId451" Type="http://schemas.openxmlformats.org/officeDocument/2006/relationships/hyperlink" Target="https://advance.lexis.com/api/document?collection=cases-ca&amp;id=urn:contentItem:5F7T-S741-DY89-M3R5-00000-00&amp;context=" TargetMode="External" /><Relationship Id="rId452" Type="http://schemas.openxmlformats.org/officeDocument/2006/relationships/hyperlink" Target="https://advance.lexis.com/api/document?collection=cases-ca&amp;id=urn:contentItem:5F7T-S761-F7ND-G4JK-00000-00&amp;context=" TargetMode="External" /><Relationship Id="rId453" Type="http://schemas.openxmlformats.org/officeDocument/2006/relationships/hyperlink" Target="https://advance.lexis.com/api/document?collection=cases-ca&amp;id=urn:contentItem:5F7T-S771-JW5H-X1R7-00000-00&amp;context=" TargetMode="External" /><Relationship Id="rId454" Type="http://schemas.openxmlformats.org/officeDocument/2006/relationships/hyperlink" Target="https://advance.lexis.com/api/document?collection=cases-ca&amp;id=urn:contentItem:5F7T-S781-F7G6-63G9-00000-00&amp;context=" TargetMode="External" /><Relationship Id="rId455" Type="http://schemas.openxmlformats.org/officeDocument/2006/relationships/hyperlink" Target="https://advance.lexis.com/api/document?collection=cases-ca&amp;id=urn:contentItem:5F7T-S6X1-K0BB-S0MB-00000-00&amp;context=" TargetMode="External" /><Relationship Id="rId456" Type="http://schemas.openxmlformats.org/officeDocument/2006/relationships/hyperlink" Target="https://advance.lexis.com/api/document?collection=cases-ca&amp;id=urn:contentItem:5F8T-N3R1-FJDY-X38R-00000-00&amp;context=" TargetMode="External" /><Relationship Id="rId457" Type="http://schemas.openxmlformats.org/officeDocument/2006/relationships/hyperlink" Target="https://advance.lexis.com/api/document?collection=cases-ca&amp;id=urn:contentItem:5F7T-S7G1-JNY7-X3XK-00000-00&amp;context=" TargetMode="External" /><Relationship Id="rId458" Type="http://schemas.openxmlformats.org/officeDocument/2006/relationships/hyperlink" Target="https://advance.lexis.com/api/document?collection=cases-ca&amp;id=urn:contentItem:5F7T-S7G1-JX3N-B24M-00000-00&amp;context=" TargetMode="External" /><Relationship Id="rId459" Type="http://schemas.openxmlformats.org/officeDocument/2006/relationships/hyperlink" Target="https://advance.lexis.com/api/document?collection=cases-ca&amp;id=urn:contentItem:5F7T-S6S1-JNY7-X1YH-00000-00&amp;context=" TargetMode="External" /><Relationship Id="rId46" Type="http://schemas.openxmlformats.org/officeDocument/2006/relationships/hyperlink" Target="https://advance.lexis.com/api/document?collection=cases-ca&amp;id=urn:contentItem:5F7T-S7J1-JGBH-B2H4-00000-00&amp;context=" TargetMode="External" /><Relationship Id="rId460" Type="http://schemas.openxmlformats.org/officeDocument/2006/relationships/hyperlink" Target="https://advance.lexis.com/api/document?collection=cases-ca&amp;id=urn:contentItem:5F7T-S6V1-F2TK-22BV-00000-00&amp;context=" TargetMode="External" /><Relationship Id="rId461" Type="http://schemas.openxmlformats.org/officeDocument/2006/relationships/header" Target="header85.xml" /><Relationship Id="rId462" Type="http://schemas.openxmlformats.org/officeDocument/2006/relationships/header" Target="header86.xml" /><Relationship Id="rId463" Type="http://schemas.openxmlformats.org/officeDocument/2006/relationships/footer" Target="footer85.xml" /><Relationship Id="rId464" Type="http://schemas.openxmlformats.org/officeDocument/2006/relationships/footer" Target="footer86.xml" /><Relationship Id="rId465" Type="http://schemas.openxmlformats.org/officeDocument/2006/relationships/header" Target="header87.xml" /><Relationship Id="rId466" Type="http://schemas.openxmlformats.org/officeDocument/2006/relationships/footer" Target="footer87.xml" /><Relationship Id="rId467" Type="http://schemas.openxmlformats.org/officeDocument/2006/relationships/hyperlink" Target="https://advance.lexis.com/api/document?collection=cases-ca&amp;id=urn:contentItem:5F7T-S7C1-JS0R-2217-00000-00&amp;context=" TargetMode="External" /><Relationship Id="rId468" Type="http://schemas.openxmlformats.org/officeDocument/2006/relationships/hyperlink" Target="https://advance.lexis.com/api/document?collection=legislation-ca&amp;id=urn:contentItem:5F41-1FP1-JXNB-60KG-00000-00&amp;context=" TargetMode="External" /><Relationship Id="rId469" Type="http://schemas.openxmlformats.org/officeDocument/2006/relationships/hyperlink" Target="https://advance.lexis.com/api/document?collection=legislation-ca&amp;id=urn:contentItem:5R0N-PVC1-F60C-X0VP-00000-00&amp;context=" TargetMode="External" /><Relationship Id="rId47" Type="http://schemas.openxmlformats.org/officeDocument/2006/relationships/hyperlink" Target="https://advance.lexis.com/api/document?collection=cases-ca&amp;id=urn:contentItem:5F7T-S781-JC5P-G1JG-00000-00&amp;context=" TargetMode="External" /><Relationship Id="rId470" Type="http://schemas.openxmlformats.org/officeDocument/2006/relationships/hyperlink" Target="https://advance.lexis.com/api/document?collection=legislation-ca&amp;id=urn:contentItem:5W07-7FX1-JC5P-G4RY-00000-00&amp;context=" TargetMode="External" /><Relationship Id="rId471" Type="http://schemas.openxmlformats.org/officeDocument/2006/relationships/hyperlink" Target="https://advance.lexis.com/api/document?collection=legislation-ca&amp;id=urn:contentItem:5F41-1FK1-JSXV-G0FT-00000-00&amp;context=" TargetMode="External" /><Relationship Id="rId472" Type="http://schemas.openxmlformats.org/officeDocument/2006/relationships/hyperlink" Target="https://advance.lexis.com/api/document?collection=legislation-ca&amp;id=urn:contentItem:5XW1-RV51-DXPM-S1GJ-00000-00&amp;context=" TargetMode="External" /><Relationship Id="rId473" Type="http://schemas.openxmlformats.org/officeDocument/2006/relationships/hyperlink" Target="https://advance.lexis.com/api/document?collection=legislation-ca&amp;id=urn:contentItem:5F41-1FK1-DY33-B0JT-00000-00&amp;context=" TargetMode="External" /><Relationship Id="rId474" Type="http://schemas.openxmlformats.org/officeDocument/2006/relationships/hyperlink" Target="https://advance.lexis.com/api/document?collection=legislation-ca&amp;id=urn:contentItem:5F41-1FK1-DY33-B0FR-00000-00&amp;context=" TargetMode="External" /><Relationship Id="rId475" Type="http://schemas.openxmlformats.org/officeDocument/2006/relationships/hyperlink" Target="https://advance.lexis.com/api/document?collection=cases-ca&amp;id=urn:contentItem:5F7T-S771-JW5H-X267-00000-00&amp;context=" TargetMode="External" /><Relationship Id="rId476" Type="http://schemas.openxmlformats.org/officeDocument/2006/relationships/hyperlink" Target="https://advance.lexis.com/api/document?collection=cases-ca&amp;id=urn:contentItem:5F8T-N3S1-JT99-251G-00000-00&amp;context=" TargetMode="External" /><Relationship Id="rId477" Type="http://schemas.openxmlformats.org/officeDocument/2006/relationships/hyperlink" Target="https://advance.lexis.com/api/document?collection=cases-ca&amp;id=urn:contentItem:5F8T-N3T1-JJSF-238K-00000-00&amp;context=" TargetMode="External" /><Relationship Id="rId478" Type="http://schemas.openxmlformats.org/officeDocument/2006/relationships/hyperlink" Target="https://advance.lexis.com/api/document?collection=cases-ca&amp;id=urn:contentItem:5F8T-N3T1-JJSF-2374-00000-00&amp;context=" TargetMode="External" /><Relationship Id="rId479" Type="http://schemas.openxmlformats.org/officeDocument/2006/relationships/hyperlink" Target="https://advance.lexis.com/api/document?collection=cases-ca&amp;id=urn:contentItem:5F8T-N3T1-JGHR-M21B-00000-00&amp;context=" TargetMode="External" /><Relationship Id="rId48" Type="http://schemas.openxmlformats.org/officeDocument/2006/relationships/hyperlink" Target="https://advance.lexis.com/api/document?collection=cases-ca&amp;id=urn:contentItem:5JKN-2DN1-K0BB-S04W-00000-00&amp;context=" TargetMode="External" /><Relationship Id="rId480" Type="http://schemas.openxmlformats.org/officeDocument/2006/relationships/hyperlink" Target="https://advance.lexis.com/api/document?collection=cases-ca&amp;id=urn:contentItem:5F8T-N3S1-JT99-24PB-00000-00&amp;context=" TargetMode="External" /><Relationship Id="rId481" Type="http://schemas.openxmlformats.org/officeDocument/2006/relationships/hyperlink" Target="https://advance.lexis.com/api/document?collection=cases-ca&amp;id=urn:contentItem:5F8T-N3V1-JF75-M3K5-00000-00&amp;context=" TargetMode="External" /><Relationship Id="rId482" Type="http://schemas.openxmlformats.org/officeDocument/2006/relationships/hyperlink" Target="https://advance.lexis.com/api/document?collection=cases-ca&amp;id=urn:contentItem:5F7T-S751-FJDY-X40S-00000-00&amp;context=" TargetMode="External" /><Relationship Id="rId483" Type="http://schemas.openxmlformats.org/officeDocument/2006/relationships/hyperlink" Target="https://advance.lexis.com/api/document?collection=cases-ca&amp;id=urn:contentItem:5F8W-M461-JS0R-21V8-00000-00&amp;context=" TargetMode="External" /><Relationship Id="rId484" Type="http://schemas.openxmlformats.org/officeDocument/2006/relationships/hyperlink" Target="https://advance.lexis.com/api/document?collection=cases-ca&amp;id=urn:contentItem:5F8N-K701-FGJR-23DH-00000-00&amp;context=" TargetMode="External" /><Relationship Id="rId485" Type="http://schemas.openxmlformats.org/officeDocument/2006/relationships/hyperlink" Target="https://advance.lexis.com/api/document?collection=cases-ca&amp;id=urn:contentItem:5F7T-S771-FG68-G0Y3-00000-00&amp;context=" TargetMode="External" /><Relationship Id="rId486" Type="http://schemas.openxmlformats.org/officeDocument/2006/relationships/hyperlink" Target="https://advance.lexis.com/api/document?collection=cases-ca&amp;id=urn:contentItem:5F7H-KW91-JPGX-S21F-00000-00&amp;context=" TargetMode="External" /><Relationship Id="rId487" Type="http://schemas.openxmlformats.org/officeDocument/2006/relationships/hyperlink" Target="https://advance.lexis.com/api/document?collection=cases-ca&amp;id=urn:contentItem:5F7T-S761-JS5Y-B1SB-00000-00&amp;context=" TargetMode="External" /><Relationship Id="rId488" Type="http://schemas.openxmlformats.org/officeDocument/2006/relationships/hyperlink" Target="https://advance.lexis.com/api/document?collection=cases-ca&amp;id=urn:contentItem:5F8T-N3R1-JNS1-M0R1-00000-00&amp;context=" TargetMode="External" /><Relationship Id="rId489" Type="http://schemas.openxmlformats.org/officeDocument/2006/relationships/hyperlink" Target="https://advance.lexis.com/api/document?collection=cases-ca&amp;id=urn:contentItem:5F8T-N3S1-JBDT-B021-00000-00&amp;context=" TargetMode="External" /><Relationship Id="rId49" Type="http://schemas.openxmlformats.org/officeDocument/2006/relationships/hyperlink" Target="https://advance.lexis.com/api/document?collection=cases-ca&amp;id=urn:contentItem:5G68-9741-FCYK-21K0-00000-00&amp;context=" TargetMode="External" /><Relationship Id="rId490" Type="http://schemas.openxmlformats.org/officeDocument/2006/relationships/hyperlink" Target="https://advance.lexis.com/api/document?collection=cases-ca&amp;id=urn:contentItem:5F81-VJS1-JN6B-S3P8-00000-00&amp;context=" TargetMode="External" /><Relationship Id="rId491" Type="http://schemas.openxmlformats.org/officeDocument/2006/relationships/hyperlink" Target="https://advance.lexis.com/api/document?collection=cases-ca&amp;id=urn:contentItem:5F8T-N3V1-FC1F-M406-00000-00&amp;context=" TargetMode="External" /><Relationship Id="rId492" Type="http://schemas.openxmlformats.org/officeDocument/2006/relationships/hyperlink" Target="https://advance.lexis.com/api/document?collection=cases-ca&amp;id=urn:contentItem:5F8T-N3V1-FC1F-M434-00000-00&amp;context=" TargetMode="External" /><Relationship Id="rId493" Type="http://schemas.openxmlformats.org/officeDocument/2006/relationships/hyperlink" Target="https://advance.lexis.com/api/document?collection=cases-ca&amp;id=urn:contentItem:5F8T-N3V1-FC1F-M4BH-00000-00&amp;context=" TargetMode="External" /><Relationship Id="rId494" Type="http://schemas.openxmlformats.org/officeDocument/2006/relationships/hyperlink" Target="https://advance.lexis.com/api/document?collection=cases-ca&amp;id=urn:contentItem:5F81-YGM1-F5KY-B51R-00000-00&amp;context=" TargetMode="External" /><Relationship Id="rId495" Type="http://schemas.openxmlformats.org/officeDocument/2006/relationships/hyperlink" Target="https://advance.lexis.com/api/document?collection=cases-ca&amp;id=urn:contentItem:5F8P-SGB1-FBV7-B447-00000-00&amp;context=" TargetMode="External" /><Relationship Id="rId496" Type="http://schemas.openxmlformats.org/officeDocument/2006/relationships/hyperlink" Target="https://advance.lexis.com/api/document?collection=cases-ca&amp;id=urn:contentItem:5F8T-N3V1-JF75-M3GM-00000-00&amp;context=" TargetMode="External" /><Relationship Id="rId497" Type="http://schemas.openxmlformats.org/officeDocument/2006/relationships/hyperlink" Target="https://advance.lexis.com/api/document?collection=cases-ca&amp;id=urn:contentItem:5F8T-N3S1-JBDT-B0GB-00000-00&amp;context=" TargetMode="External" /><Relationship Id="rId498" Type="http://schemas.openxmlformats.org/officeDocument/2006/relationships/hyperlink" Target="https://advance.lexis.com/api/document?collection=cases-ca&amp;id=urn:contentItem:5F8T-N3T1-JJSF-232V-00000-00&amp;context=" TargetMode="External" /><Relationship Id="rId499" Type="http://schemas.openxmlformats.org/officeDocument/2006/relationships/hyperlink" Target="https://advance.lexis.com/api/document?collection=cases-ca&amp;id=urn:contentItem:5F8T-N3S1-JBDT-B09R-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J4V-Y9D1-DXPM-S4P8-00000-00&amp;context=" TargetMode="External" /><Relationship Id="rId500" Type="http://schemas.openxmlformats.org/officeDocument/2006/relationships/hyperlink" Target="https://advance.lexis.com/api/document?collection=cases-ca&amp;id=urn:contentItem:5F7T-S771-JTGH-B1KF-00000-00&amp;context=" TargetMode="External" /><Relationship Id="rId501" Type="http://schemas.openxmlformats.org/officeDocument/2006/relationships/hyperlink" Target="https://advance.lexis.com/api/document?collection=cases-ca&amp;id=urn:contentItem:5F81-WC31-F5KY-B4P0-00000-00&amp;context=" TargetMode="External" /><Relationship Id="rId502" Type="http://schemas.openxmlformats.org/officeDocument/2006/relationships/hyperlink" Target="https://advance.lexis.com/api/document?collection=cases-ca&amp;id=urn:contentItem:5F8T-N3S1-JT99-24MK-00000-00&amp;context=" TargetMode="External" /><Relationship Id="rId503" Type="http://schemas.openxmlformats.org/officeDocument/2006/relationships/hyperlink" Target="https://advance.lexis.com/api/document?collection=cases-ca&amp;id=urn:contentItem:5F8T-N3V1-JFKM-601H-00000-00&amp;context=" TargetMode="External" /><Relationship Id="rId504" Type="http://schemas.openxmlformats.org/officeDocument/2006/relationships/hyperlink" Target="https://advance.lexis.com/api/document?collection=cases-ca&amp;id=urn:contentItem:5F81-VJX1-JKPJ-G1YC-00000-00&amp;context=" TargetMode="External" /><Relationship Id="rId505" Type="http://schemas.openxmlformats.org/officeDocument/2006/relationships/hyperlink" Target="https://advance.lexis.com/api/document?collection=cases-ca&amp;id=urn:contentItem:5F81-WC31-F5KY-B4PD-00000-00&amp;context=" TargetMode="External" /><Relationship Id="rId506" Type="http://schemas.openxmlformats.org/officeDocument/2006/relationships/header" Target="header88.xml" /><Relationship Id="rId507" Type="http://schemas.openxmlformats.org/officeDocument/2006/relationships/header" Target="header89.xml" /><Relationship Id="rId508" Type="http://schemas.openxmlformats.org/officeDocument/2006/relationships/footer" Target="footer88.xml" /><Relationship Id="rId509" Type="http://schemas.openxmlformats.org/officeDocument/2006/relationships/footer" Target="footer89.xml" /><Relationship Id="rId51" Type="http://schemas.openxmlformats.org/officeDocument/2006/relationships/hyperlink" Target="https://advance.lexis.com/api/document?collection=cases-ca&amp;id=urn:contentItem:5NR9-3941-F8KH-X012-00000-00&amp;context=" TargetMode="External" /><Relationship Id="rId510" Type="http://schemas.openxmlformats.org/officeDocument/2006/relationships/header" Target="header90.xml" /><Relationship Id="rId511" Type="http://schemas.openxmlformats.org/officeDocument/2006/relationships/footer" Target="footer90.xml" /><Relationship Id="rId512" Type="http://schemas.openxmlformats.org/officeDocument/2006/relationships/hyperlink" Target="https://advance.lexis.com/api/document?collection=cases-ca&amp;id=urn:contentItem:5F7T-S7F1-DXWW-246F-00000-00&amp;context=" TargetMode="External" /><Relationship Id="rId513" Type="http://schemas.openxmlformats.org/officeDocument/2006/relationships/hyperlink" Target="https://advance.lexis.com/api/document?collection=cases-ca&amp;id=urn:contentItem:5F7T-S6R1-JW09-M09C-00000-00&amp;context=" TargetMode="External" /><Relationship Id="rId514" Type="http://schemas.openxmlformats.org/officeDocument/2006/relationships/hyperlink" Target="https://advance.lexis.com/api/document?collection=cases-ca&amp;id=urn:contentItem:5F7T-S731-F60C-X15M-00000-00&amp;context=" TargetMode="External" /><Relationship Id="rId515" Type="http://schemas.openxmlformats.org/officeDocument/2006/relationships/hyperlink" Target="https://advance.lexis.com/api/document?collection=cases-ca&amp;id=urn:contentItem:5F7T-S751-F361-M0R2-00000-00&amp;context=" TargetMode="External" /><Relationship Id="rId516" Type="http://schemas.openxmlformats.org/officeDocument/2006/relationships/hyperlink" Target="https://advance.lexis.com/api/document?collection=cases-ca&amp;id=urn:contentItem:5F7T-S741-F57G-S1GP-00000-00&amp;context=" TargetMode="External" /><Relationship Id="rId517" Type="http://schemas.openxmlformats.org/officeDocument/2006/relationships/hyperlink" Target="https://advance.lexis.com/api/document?collection=cases-ca&amp;id=urn:contentItem:5F7T-S791-JCJ5-24X0-00000-00&amp;context=" TargetMode="External" /><Relationship Id="rId518" Type="http://schemas.openxmlformats.org/officeDocument/2006/relationships/hyperlink" Target="https://advance.lexis.com/api/document?collection=cases-ca&amp;id=urn:contentItem:5F7T-S781-F900-G140-00000-00&amp;context=" TargetMode="External" /><Relationship Id="rId519" Type="http://schemas.openxmlformats.org/officeDocument/2006/relationships/hyperlink" Target="https://advance.lexis.com/api/document?collection=cases-ca&amp;id=urn:contentItem:5F8T-N3V1-FC1F-M491-00000-00&amp;context=" TargetMode="External" /><Relationship Id="rId52" Type="http://schemas.openxmlformats.org/officeDocument/2006/relationships/hyperlink" Target="https://advance.lexis.com/api/document?collection=cases-ca&amp;id=urn:contentItem:5F7T-S751-JNS1-M1WN-00000-00&amp;context=" TargetMode="External" /><Relationship Id="rId520" Type="http://schemas.openxmlformats.org/officeDocument/2006/relationships/hyperlink" Target="https://advance.lexis.com/api/document?collection=cases-ca&amp;id=urn:contentItem:5F7T-S741-FJM6-61G8-00000-00&amp;context=" TargetMode="External" /><Relationship Id="rId521" Type="http://schemas.openxmlformats.org/officeDocument/2006/relationships/hyperlink" Target="https://advance.lexis.com/api/document?collection=cases-ca&amp;id=urn:contentItem:5F7T-S761-JX8W-M31Y-00000-00&amp;context=" TargetMode="External" /><Relationship Id="rId522" Type="http://schemas.openxmlformats.org/officeDocument/2006/relationships/hyperlink" Target="https://advance.lexis.com/api/document?collection=cases-ca&amp;id=urn:contentItem:5F7T-S781-F27X-61GP-00000-00&amp;context=" TargetMode="External" /><Relationship Id="rId523" Type="http://schemas.openxmlformats.org/officeDocument/2006/relationships/hyperlink" Target="https://advance.lexis.com/api/document?collection=cases-ca&amp;id=urn:contentItem:5F8P-SCM1-F81W-20CK-00000-00&amp;context=" TargetMode="External" /><Relationship Id="rId524" Type="http://schemas.openxmlformats.org/officeDocument/2006/relationships/hyperlink" Target="https://advance.lexis.com/api/document?collection=cases-ca&amp;id=urn:contentItem:5F7V-3DJ1-JX3N-B0YW-00000-00&amp;context=" TargetMode="External" /><Relationship Id="rId525" Type="http://schemas.openxmlformats.org/officeDocument/2006/relationships/hyperlink" Target="https://advance.lexis.com/api/document?collection=cases-ca&amp;id=urn:contentItem:5F81-VJT1-F956-S3D8-00000-00&amp;context=" TargetMode="External" /><Relationship Id="rId526" Type="http://schemas.openxmlformats.org/officeDocument/2006/relationships/hyperlink" Target="https://advance.lexis.com/api/document?collection=cases-ca&amp;id=urn:contentItem:5F7T-S6T1-JJ1H-X22G-00000-00&amp;context=" TargetMode="External" /><Relationship Id="rId527" Type="http://schemas.openxmlformats.org/officeDocument/2006/relationships/header" Target="header91.xml" /><Relationship Id="rId528" Type="http://schemas.openxmlformats.org/officeDocument/2006/relationships/header" Target="header92.xml" /><Relationship Id="rId529" Type="http://schemas.openxmlformats.org/officeDocument/2006/relationships/footer" Target="footer91.xml" /><Relationship Id="rId53" Type="http://schemas.openxmlformats.org/officeDocument/2006/relationships/hyperlink" Target="https://advance.lexis.com/api/document?collection=cases-ca&amp;id=urn:contentItem:5GCC-XVC1-F900-G4M9-00000-00&amp;context=" TargetMode="External" /><Relationship Id="rId530" Type="http://schemas.openxmlformats.org/officeDocument/2006/relationships/footer" Target="footer92.xml" /><Relationship Id="rId531" Type="http://schemas.openxmlformats.org/officeDocument/2006/relationships/header" Target="header93.xml" /><Relationship Id="rId532" Type="http://schemas.openxmlformats.org/officeDocument/2006/relationships/footer" Target="footer93.xml" /><Relationship Id="rId533" Type="http://schemas.openxmlformats.org/officeDocument/2006/relationships/hyperlink" Target="https://advance.lexis.com/api/document?collection=cases-ca&amp;id=urn:contentItem:5F7T-S7P1-JP4G-61RV-00000-00&amp;context=" TargetMode="External" /><Relationship Id="rId534" Type="http://schemas.openxmlformats.org/officeDocument/2006/relationships/hyperlink" Target="https://advance.lexis.com/api/document?collection=cases-ca&amp;id=urn:contentItem:5F7T-S7K1-JSJC-X186-00000-00&amp;context=" TargetMode="External" /><Relationship Id="rId535" Type="http://schemas.openxmlformats.org/officeDocument/2006/relationships/hyperlink" Target="https://advance.lexis.com/api/document?collection=cases-ca&amp;id=urn:contentItem:5F7T-S7C1-JCJ5-20VB-00000-00&amp;context=" TargetMode="External" /><Relationship Id="rId536" Type="http://schemas.openxmlformats.org/officeDocument/2006/relationships/hyperlink" Target="https://advance.lexis.com/api/document?collection=cases-ca&amp;id=urn:contentItem:5F7T-S7N1-DXWW-20HJ-00000-00&amp;context=" TargetMode="External" /><Relationship Id="rId537" Type="http://schemas.openxmlformats.org/officeDocument/2006/relationships/hyperlink" Target="https://advance.lexis.com/api/document?collection=cases-ca&amp;id=urn:contentItem:5F7T-S7H1-K054-G2HY-00000-00&amp;context=" TargetMode="External" /><Relationship Id="rId538" Type="http://schemas.openxmlformats.org/officeDocument/2006/relationships/hyperlink" Target="https://advance.lexis.com/api/document?collection=cases-ca&amp;id=urn:contentItem:5F7T-S7K1-F1H1-2245-00000-00&amp;context=" TargetMode="External" /><Relationship Id="rId539" Type="http://schemas.openxmlformats.org/officeDocument/2006/relationships/hyperlink" Target="https://advance.lexis.com/api/document?collection=cases-ca&amp;id=urn:contentItem:5F8N-K701-JYYX-6426-00000-00&amp;context=" TargetMode="External" /><Relationship Id="rId54" Type="http://schemas.openxmlformats.org/officeDocument/2006/relationships/header" Target="header13.xml" /><Relationship Id="rId540" Type="http://schemas.openxmlformats.org/officeDocument/2006/relationships/hyperlink" Target="https://advance.lexis.com/api/document?collection=cases-ca&amp;id=urn:contentItem:5F8N-K751-F1P7-B4MT-00000-00&amp;context=" TargetMode="External" /><Relationship Id="rId541" Type="http://schemas.openxmlformats.org/officeDocument/2006/relationships/hyperlink" Target="https://advance.lexis.com/api/document?collection=cases-ca&amp;id=urn:contentItem:5F7T-S6X1-F7ND-G3JB-00000-00&amp;context=" TargetMode="External" /><Relationship Id="rId542" Type="http://schemas.openxmlformats.org/officeDocument/2006/relationships/hyperlink" Target="https://advance.lexis.com/api/document?collection=cases-ca&amp;id=urn:contentItem:5F7T-S711-F5KY-B0XT-00000-00&amp;context=" TargetMode="External" /><Relationship Id="rId543" Type="http://schemas.openxmlformats.org/officeDocument/2006/relationships/header" Target="header94.xml" /><Relationship Id="rId544" Type="http://schemas.openxmlformats.org/officeDocument/2006/relationships/header" Target="header95.xml" /><Relationship Id="rId545" Type="http://schemas.openxmlformats.org/officeDocument/2006/relationships/footer" Target="footer94.xml" /><Relationship Id="rId546" Type="http://schemas.openxmlformats.org/officeDocument/2006/relationships/footer" Target="footer95.xml" /><Relationship Id="rId547" Type="http://schemas.openxmlformats.org/officeDocument/2006/relationships/header" Target="header96.xml" /><Relationship Id="rId548" Type="http://schemas.openxmlformats.org/officeDocument/2006/relationships/footer" Target="footer96.xml" /><Relationship Id="rId549" Type="http://schemas.openxmlformats.org/officeDocument/2006/relationships/hyperlink" Target="https://advance.lexis.com/api/document?collection=cases-ca&amp;id=urn:contentItem:5F7T-S7H1-JG02-S3DH-00000-00&amp;context=" TargetMode="External" /><Relationship Id="rId55" Type="http://schemas.openxmlformats.org/officeDocument/2006/relationships/header" Target="header14.xml" /><Relationship Id="rId550" Type="http://schemas.openxmlformats.org/officeDocument/2006/relationships/hyperlink" Target="https://advance.lexis.com/api/document?collection=legislation-ca&amp;id=urn:contentItem:5K9R-8VS1-K0BB-S224-00000-00&amp;context=" TargetMode="External" /><Relationship Id="rId551" Type="http://schemas.openxmlformats.org/officeDocument/2006/relationships/hyperlink" Target="https://advance.lexis.com/api/document?collection=legislation-ca&amp;id=urn:contentItem:5F41-1FK1-FJM6-60VK-00000-00&amp;context=" TargetMode="External" /><Relationship Id="rId552" Type="http://schemas.openxmlformats.org/officeDocument/2006/relationships/hyperlink" Target="https://advance.lexis.com/api/document?collection=cases-ca&amp;id=urn:contentItem:5F81-YH41-JX8W-M008-00000-00&amp;context=" TargetMode="External" /><Relationship Id="rId553" Type="http://schemas.openxmlformats.org/officeDocument/2006/relationships/hyperlink" Target="https://advance.lexis.com/api/document?collection=cases-ca&amp;id=urn:contentItem:5F8T-N3V1-JTGH-B1BS-00000-00&amp;context=" TargetMode="External" /><Relationship Id="rId554" Type="http://schemas.openxmlformats.org/officeDocument/2006/relationships/hyperlink" Target="https://advance.lexis.com/api/document?collection=cases-ca&amp;id=urn:contentItem:5F7T-S771-JJD0-G1F2-00000-00&amp;context=" TargetMode="External" /><Relationship Id="rId555" Type="http://schemas.openxmlformats.org/officeDocument/2006/relationships/hyperlink" Target="https://advance.lexis.com/api/document?collection=cases-ca&amp;id=urn:contentItem:5F7T-S711-F4GK-M2DS-00000-00&amp;context=" TargetMode="External" /><Relationship Id="rId556" Type="http://schemas.openxmlformats.org/officeDocument/2006/relationships/hyperlink" Target="https://advance.lexis.com/api/document?collection=cases-ca&amp;id=urn:contentItem:5F8T-N3T1-JJSF-23BN-00000-00&amp;context=" TargetMode="External" /><Relationship Id="rId557" Type="http://schemas.openxmlformats.org/officeDocument/2006/relationships/hyperlink" Target="https://advance.lexis.com/api/document?collection=cases-ca&amp;id=urn:contentItem:5F7T-S7B1-F7ND-G51X-00000-00&amp;context=" TargetMode="External" /><Relationship Id="rId558" Type="http://schemas.openxmlformats.org/officeDocument/2006/relationships/hyperlink" Target="https://advance.lexis.com/api/document?collection=cases-ca&amp;id=urn:contentItem:5F7T-S7D1-FC6N-X0PK-00000-00&amp;context=" TargetMode="External" /><Relationship Id="rId559" Type="http://schemas.openxmlformats.org/officeDocument/2006/relationships/hyperlink" Target="https://advance.lexis.com/api/document?collection=cases-ca&amp;id=urn:contentItem:5F8T-N3V1-FC1F-M4DY-00000-00&amp;context=" TargetMode="External" /><Relationship Id="rId56" Type="http://schemas.openxmlformats.org/officeDocument/2006/relationships/footer" Target="footer13.xml" /><Relationship Id="rId560" Type="http://schemas.openxmlformats.org/officeDocument/2006/relationships/hyperlink" Target="https://advance.lexis.com/api/document?collection=cases-ca&amp;id=urn:contentItem:5F7T-S6X1-K0BB-S057-00000-00&amp;context=" TargetMode="External" /><Relationship Id="rId561" Type="http://schemas.openxmlformats.org/officeDocument/2006/relationships/hyperlink" Target="https://advance.lexis.com/api/document?collection=cases-ca&amp;id=urn:contentItem:5F7T-S6V1-JFKM-61CW-00000-00&amp;context=" TargetMode="External" /><Relationship Id="rId562" Type="http://schemas.openxmlformats.org/officeDocument/2006/relationships/hyperlink" Target="https://advance.lexis.com/api/document?collection=cases-ca&amp;id=urn:contentItem:5F7T-S761-JX8W-M330-00000-00&amp;context=" TargetMode="External" /><Relationship Id="rId563" Type="http://schemas.openxmlformats.org/officeDocument/2006/relationships/hyperlink" Target="https://advance.lexis.com/api/document?collection=cases-ca&amp;id=urn:contentItem:5F7T-S7D1-FCSB-S339-00000-00&amp;context=" TargetMode="External" /><Relationship Id="rId564" Type="http://schemas.openxmlformats.org/officeDocument/2006/relationships/hyperlink" Target="https://advance.lexis.com/api/document?collection=cases-ca&amp;id=urn:contentItem:5F7T-S7D1-JN6B-S143-00000-00&amp;context=" TargetMode="External" /><Relationship Id="rId565" Type="http://schemas.openxmlformats.org/officeDocument/2006/relationships/hyperlink" Target="https://advance.lexis.com/api/document?collection=cases-ca&amp;id=urn:contentItem:5F7T-S7F1-DXWW-23XV-00000-00&amp;context=" TargetMode="External" /><Relationship Id="rId566" Type="http://schemas.openxmlformats.org/officeDocument/2006/relationships/hyperlink" Target="https://advance.lexis.com/api/document?collection=cases-ca&amp;id=urn:contentItem:5F7T-S751-JGHR-M1V2-00000-00&amp;context=" TargetMode="External" /><Relationship Id="rId567" Type="http://schemas.openxmlformats.org/officeDocument/2006/relationships/hyperlink" Target="https://advance.lexis.com/api/document?collection=cases-ca&amp;id=urn:contentItem:5F7T-S771-F2TK-2304-00000-00&amp;context=" TargetMode="External" /><Relationship Id="rId568" Type="http://schemas.openxmlformats.org/officeDocument/2006/relationships/hyperlink" Target="https://advance.lexis.com/api/document?collection=cases-ca&amp;id=urn:contentItem:5F8T-N3V1-FC1F-M428-00000-00&amp;context=" TargetMode="External" /><Relationship Id="rId569" Type="http://schemas.openxmlformats.org/officeDocument/2006/relationships/hyperlink" Target="https://advance.lexis.com/api/document?collection=cases-ca&amp;id=urn:contentItem:5F7T-S761-JS5Y-B1XS-00000-00&amp;context=" TargetMode="External" /><Relationship Id="rId57" Type="http://schemas.openxmlformats.org/officeDocument/2006/relationships/footer" Target="footer14.xml" /><Relationship Id="rId570" Type="http://schemas.openxmlformats.org/officeDocument/2006/relationships/header" Target="header97.xml" /><Relationship Id="rId571" Type="http://schemas.openxmlformats.org/officeDocument/2006/relationships/header" Target="header98.xml" /><Relationship Id="rId572" Type="http://schemas.openxmlformats.org/officeDocument/2006/relationships/footer" Target="footer97.xml" /><Relationship Id="rId573" Type="http://schemas.openxmlformats.org/officeDocument/2006/relationships/footer" Target="footer98.xml" /><Relationship Id="rId574" Type="http://schemas.openxmlformats.org/officeDocument/2006/relationships/header" Target="header99.xml" /><Relationship Id="rId575" Type="http://schemas.openxmlformats.org/officeDocument/2006/relationships/footer" Target="footer99.xml" /><Relationship Id="rId576" Type="http://schemas.openxmlformats.org/officeDocument/2006/relationships/hyperlink" Target="https://advance.lexis.com/api/document?collection=cases-ca&amp;id=urn:contentItem:5F7T-S771-JN14-G2MD-00000-00&amp;context=" TargetMode="External" /><Relationship Id="rId577" Type="http://schemas.openxmlformats.org/officeDocument/2006/relationships/header" Target="header100.xml" /><Relationship Id="rId578" Type="http://schemas.openxmlformats.org/officeDocument/2006/relationships/header" Target="header101.xml" /><Relationship Id="rId579" Type="http://schemas.openxmlformats.org/officeDocument/2006/relationships/footer" Target="footer100.xml" /><Relationship Id="rId58" Type="http://schemas.openxmlformats.org/officeDocument/2006/relationships/header" Target="header15.xml" /><Relationship Id="rId580" Type="http://schemas.openxmlformats.org/officeDocument/2006/relationships/footer" Target="footer101.xml" /><Relationship Id="rId581" Type="http://schemas.openxmlformats.org/officeDocument/2006/relationships/header" Target="header102.xml" /><Relationship Id="rId582" Type="http://schemas.openxmlformats.org/officeDocument/2006/relationships/footer" Target="footer102.xml" /><Relationship Id="rId583" Type="http://schemas.openxmlformats.org/officeDocument/2006/relationships/hyperlink" Target="https://advance.lexis.com/api/document?collection=cases-ca&amp;id=urn:contentItem:5F7T-S7D1-JN6B-S137-00000-00&amp;context=" TargetMode="External" /><Relationship Id="rId584" Type="http://schemas.openxmlformats.org/officeDocument/2006/relationships/header" Target="header103.xml" /><Relationship Id="rId585" Type="http://schemas.openxmlformats.org/officeDocument/2006/relationships/header" Target="header104.xml" /><Relationship Id="rId586" Type="http://schemas.openxmlformats.org/officeDocument/2006/relationships/footer" Target="footer103.xml" /><Relationship Id="rId587" Type="http://schemas.openxmlformats.org/officeDocument/2006/relationships/footer" Target="footer104.xml" /><Relationship Id="rId588" Type="http://schemas.openxmlformats.org/officeDocument/2006/relationships/header" Target="header105.xml" /><Relationship Id="rId589" Type="http://schemas.openxmlformats.org/officeDocument/2006/relationships/footer" Target="footer105.xml" /><Relationship Id="rId59" Type="http://schemas.openxmlformats.org/officeDocument/2006/relationships/footer" Target="footer15.xml" /><Relationship Id="rId590" Type="http://schemas.openxmlformats.org/officeDocument/2006/relationships/hyperlink" Target="https://advance.lexis.com/api/document?collection=cases-ca&amp;id=urn:contentItem:5F7T-S7B1-JSRM-6084-00000-00&amp;context=" TargetMode="External" /><Relationship Id="rId591" Type="http://schemas.openxmlformats.org/officeDocument/2006/relationships/header" Target="header106.xml" /><Relationship Id="rId592" Type="http://schemas.openxmlformats.org/officeDocument/2006/relationships/header" Target="header107.xml" /><Relationship Id="rId593" Type="http://schemas.openxmlformats.org/officeDocument/2006/relationships/footer" Target="footer106.xml" /><Relationship Id="rId594" Type="http://schemas.openxmlformats.org/officeDocument/2006/relationships/footer" Target="footer107.xml" /><Relationship Id="rId595" Type="http://schemas.openxmlformats.org/officeDocument/2006/relationships/header" Target="header108.xml" /><Relationship Id="rId596" Type="http://schemas.openxmlformats.org/officeDocument/2006/relationships/footer" Target="footer108.xml" /><Relationship Id="rId597" Type="http://schemas.openxmlformats.org/officeDocument/2006/relationships/hyperlink" Target="https://advance.lexis.com/api/document?collection=cases-ca&amp;id=urn:contentItem:5F7T-S7M1-F4W2-62F5-00000-00&amp;context=" TargetMode="External" /><Relationship Id="rId598" Type="http://schemas.openxmlformats.org/officeDocument/2006/relationships/hyperlink" Target="https://advance.lexis.com/api/document?collection=cases-ca&amp;id=urn:contentItem:5F7T-S771-JW5H-X1R6-00000-00&amp;context=" TargetMode="External" /><Relationship Id="rId599" Type="http://schemas.openxmlformats.org/officeDocument/2006/relationships/hyperlink" Target="https://advance.lexis.com/api/document?collection=cases-ca&amp;id=urn:contentItem:5F7T-S7H1-K054-G2H1-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F1-JBT7-X2P0-00000-00&amp;context=" TargetMode="External" /><Relationship Id="rId600" Type="http://schemas.openxmlformats.org/officeDocument/2006/relationships/hyperlink" Target="https://advance.lexis.com/api/document?collection=cases-ca&amp;id=urn:contentItem:5F7T-S751-JCJ5-249P-00000-00&amp;context=" TargetMode="External" /><Relationship Id="rId601" Type="http://schemas.openxmlformats.org/officeDocument/2006/relationships/hyperlink" Target="https://advance.lexis.com/api/document?collection=cases-ca&amp;id=urn:contentItem:5F7T-S741-F1H1-21VJ-00000-00&amp;context=" TargetMode="External" /><Relationship Id="rId602" Type="http://schemas.openxmlformats.org/officeDocument/2006/relationships/hyperlink" Target="https://advance.lexis.com/api/document?collection=cases-ca&amp;id=urn:contentItem:5F7V-3DK1-FCYK-245F-00000-00&amp;context=" TargetMode="External" /><Relationship Id="rId603" Type="http://schemas.openxmlformats.org/officeDocument/2006/relationships/header" Target="header109.xml" /><Relationship Id="rId604" Type="http://schemas.openxmlformats.org/officeDocument/2006/relationships/header" Target="header110.xml" /><Relationship Id="rId605" Type="http://schemas.openxmlformats.org/officeDocument/2006/relationships/footer" Target="footer109.xml" /><Relationship Id="rId606" Type="http://schemas.openxmlformats.org/officeDocument/2006/relationships/footer" Target="footer110.xml" /><Relationship Id="rId607" Type="http://schemas.openxmlformats.org/officeDocument/2006/relationships/header" Target="header111.xml" /><Relationship Id="rId608" Type="http://schemas.openxmlformats.org/officeDocument/2006/relationships/footer" Target="footer111.xml" /><Relationship Id="rId609" Type="http://schemas.openxmlformats.org/officeDocument/2006/relationships/hyperlink" Target="https://advance.lexis.com/api/document?collection=cases-ca&amp;id=urn:contentItem:5F7T-S7H1-JS5Y-B2N0-00000-00&amp;context=" TargetMode="External" /><Relationship Id="rId61" Type="http://schemas.openxmlformats.org/officeDocument/2006/relationships/hyperlink" Target="https://advance.lexis.com/api/document?collection=cases-ca&amp;id=urn:contentItem:5F7T-S781-F06F-23YH-00000-00&amp;context=" TargetMode="External" /><Relationship Id="rId610" Type="http://schemas.openxmlformats.org/officeDocument/2006/relationships/hyperlink" Target="https://advance.lexis.com/api/document?collection=cases-ca&amp;id=urn:contentItem:5F8T-N3V1-JTGH-B18F-00000-00&amp;context=" TargetMode="External" /><Relationship Id="rId611" Type="http://schemas.openxmlformats.org/officeDocument/2006/relationships/hyperlink" Target="https://advance.lexis.com/api/document?collection=cases-ca&amp;id=urn:contentItem:5F8T-N3T1-JFKM-655K-00000-00&amp;context=" TargetMode="External" /><Relationship Id="rId612" Type="http://schemas.openxmlformats.org/officeDocument/2006/relationships/hyperlink" Target="https://advance.lexis.com/api/document?collection=cases-ca&amp;id=urn:contentItem:5F8T-N3V1-JF75-M3S6-00000-00&amp;context=" TargetMode="External" /><Relationship Id="rId613" Type="http://schemas.openxmlformats.org/officeDocument/2006/relationships/hyperlink" Target="https://advance.lexis.com/api/document?collection=cases-ca&amp;id=urn:contentItem:5F7T-S721-F06F-230Y-00000-00&amp;context=" TargetMode="External" /><Relationship Id="rId614" Type="http://schemas.openxmlformats.org/officeDocument/2006/relationships/hyperlink" Target="https://advance.lexis.com/api/document?collection=cases-ca&amp;id=urn:contentItem:5F7T-S6W1-JYYX-61TX-00000-00&amp;context=" TargetMode="External" /><Relationship Id="rId615" Type="http://schemas.openxmlformats.org/officeDocument/2006/relationships/hyperlink" Target="https://advance.lexis.com/api/document?collection=cases-ca&amp;id=urn:contentItem:5F7T-S7F1-JBT7-X2WG-00000-00&amp;context=" TargetMode="External" /><Relationship Id="rId616" Type="http://schemas.openxmlformats.org/officeDocument/2006/relationships/header" Target="header112.xml" /><Relationship Id="rId617" Type="http://schemas.openxmlformats.org/officeDocument/2006/relationships/header" Target="header113.xml" /><Relationship Id="rId618" Type="http://schemas.openxmlformats.org/officeDocument/2006/relationships/footer" Target="footer112.xml" /><Relationship Id="rId619" Type="http://schemas.openxmlformats.org/officeDocument/2006/relationships/footer" Target="footer113.xml" /><Relationship Id="rId62" Type="http://schemas.openxmlformats.org/officeDocument/2006/relationships/hyperlink" Target="https://advance.lexis.com/api/document?collection=cases-ca&amp;id=urn:contentItem:5F7T-S751-JNS1-M1T9-00000-00&amp;context=" TargetMode="External" /><Relationship Id="rId620" Type="http://schemas.openxmlformats.org/officeDocument/2006/relationships/header" Target="header114.xml" /><Relationship Id="rId621" Type="http://schemas.openxmlformats.org/officeDocument/2006/relationships/footer" Target="footer114.xml" /><Relationship Id="rId622" Type="http://schemas.openxmlformats.org/officeDocument/2006/relationships/hyperlink" Target="https://advance.lexis.com/api/document?collection=cases-ca&amp;id=urn:contentItem:5JSS-9XD1-F4W2-62Y8-00000-00&amp;context=" TargetMode="External" /><Relationship Id="rId623" Type="http://schemas.openxmlformats.org/officeDocument/2006/relationships/hyperlink" Target="https://advance.lexis.com/api/document?collection=legislation-ca&amp;id=urn:contentItem:5TBM-3RN1-F2TK-240T-00000-00&amp;context=" TargetMode="External" /><Relationship Id="rId624" Type="http://schemas.openxmlformats.org/officeDocument/2006/relationships/hyperlink" Target="https://advance.lexis.com/api/document?collection=cases-ca&amp;id=urn:contentItem:5GXH-CVG1-F2F4-G0NP-00000-00&amp;context=" TargetMode="External" /><Relationship Id="rId625" Type="http://schemas.openxmlformats.org/officeDocument/2006/relationships/hyperlink" Target="https://advance.lexis.com/api/document?collection=cases-ca&amp;id=urn:contentItem:5F8T-N3V1-FC1F-M3X1-00000-00&amp;context=" TargetMode="External" /><Relationship Id="rId626" Type="http://schemas.openxmlformats.org/officeDocument/2006/relationships/hyperlink" Target="https://advance.lexis.com/api/document?collection=cases-ca&amp;id=urn:contentItem:5F8T-N3V1-FC1F-M4CN-00000-00&amp;context=" TargetMode="External" /><Relationship Id="rId627" Type="http://schemas.openxmlformats.org/officeDocument/2006/relationships/hyperlink" Target="https://advance.lexis.com/api/document?collection=cases-ca&amp;id=urn:contentItem:5F8T-N3V1-JTGH-B14Y-00000-00&amp;context=" TargetMode="External" /><Relationship Id="rId628" Type="http://schemas.openxmlformats.org/officeDocument/2006/relationships/hyperlink" Target="https://advance.lexis.com/api/document?collection=cases-ca&amp;id=urn:contentItem:5JDY-50V1-F65M-61YB-00000-00&amp;context=" TargetMode="External" /><Relationship Id="rId629" Type="http://schemas.openxmlformats.org/officeDocument/2006/relationships/hyperlink" Target="https://advance.lexis.com/api/document?collection=cases-ca&amp;id=urn:contentItem:5F7T-S7K1-F1H1-221P-00000-00&amp;context=" TargetMode="External" /><Relationship Id="rId63" Type="http://schemas.openxmlformats.org/officeDocument/2006/relationships/hyperlink" Target="https://advance.lexis.com/api/document?collection=cases-ca&amp;id=urn:contentItem:5F7T-S731-DY33-B0X4-00000-00&amp;context=" TargetMode="External" /><Relationship Id="rId630" Type="http://schemas.openxmlformats.org/officeDocument/2006/relationships/hyperlink" Target="https://advance.lexis.com/api/document?collection=cases-ca&amp;id=urn:contentItem:5F7T-S7P1-F2TK-236V-00000-00&amp;context=" TargetMode="External" /><Relationship Id="rId631" Type="http://schemas.openxmlformats.org/officeDocument/2006/relationships/hyperlink" Target="https://advance.lexis.com/api/document?collection=cases-ca&amp;id=urn:contentItem:5GNP-DGD1-JJYN-B1W2-00000-00&amp;context=" TargetMode="External" /><Relationship Id="rId632" Type="http://schemas.openxmlformats.org/officeDocument/2006/relationships/hyperlink" Target="https://advance.lexis.com/api/document?collection=cases-ca&amp;id=urn:contentItem:5HBP-7JG1-JSRM-60R7-00000-00&amp;context=" TargetMode="External" /><Relationship Id="rId633" Type="http://schemas.openxmlformats.org/officeDocument/2006/relationships/hyperlink" Target="https://advance.lexis.com/api/document?collection=cases-ca&amp;id=urn:contentItem:5F7T-S7M1-DYMS-627J-00000-00&amp;context=" TargetMode="External" /><Relationship Id="rId634" Type="http://schemas.openxmlformats.org/officeDocument/2006/relationships/hyperlink" Target="https://advance.lexis.com/api/document?collection=cases-ca&amp;id=urn:contentItem:5F7T-S7P1-JNJT-B2DR-00000-00&amp;context=" TargetMode="External" /><Relationship Id="rId635" Type="http://schemas.openxmlformats.org/officeDocument/2006/relationships/hyperlink" Target="https://advance.lexis.com/api/document?collection=cases-ca&amp;id=urn:contentItem:5F7T-S7N1-JGHR-M3F0-00000-00&amp;context=" TargetMode="External" /><Relationship Id="rId636" Type="http://schemas.openxmlformats.org/officeDocument/2006/relationships/hyperlink" Target="https://advance.lexis.com/api/document?collection=cases-ca&amp;id=urn:contentItem:5G74-D9V1-F2TK-22FG-00000-00&amp;context=" TargetMode="External" /><Relationship Id="rId637" Type="http://schemas.openxmlformats.org/officeDocument/2006/relationships/hyperlink" Target="https://advance.lexis.com/api/document?collection=cases-ca&amp;id=urn:contentItem:5J0C-J981-JKB3-X0VN-00000-00&amp;context=" TargetMode="External" /><Relationship Id="rId638" Type="http://schemas.openxmlformats.org/officeDocument/2006/relationships/hyperlink" Target="https://advance.lexis.com/api/document?collection=cases-ca&amp;id=urn:contentItem:5JF5-3N31-K054-G3WG-00000-00&amp;context=" TargetMode="External" /><Relationship Id="rId639" Type="http://schemas.openxmlformats.org/officeDocument/2006/relationships/hyperlink" Target="https://advance.lexis.com/api/document?collection=cases-ca&amp;id=urn:contentItem:5F7T-S791-JCJ5-254F-00000-00&amp;context=" TargetMode="External" /><Relationship Id="rId64" Type="http://schemas.openxmlformats.org/officeDocument/2006/relationships/hyperlink" Target="https://advance.lexis.com/api/document?collection=cases-ca&amp;id=urn:contentItem:5F7T-S751-JX3N-B0T6-00000-00&amp;context=" TargetMode="External" /><Relationship Id="rId640" Type="http://schemas.openxmlformats.org/officeDocument/2006/relationships/hyperlink" Target="https://advance.lexis.com/api/document?collection=cases-ca&amp;id=urn:contentItem:5GCC-XVC1-F900-G4YF-00000-00&amp;context=" TargetMode="External" /><Relationship Id="rId641" Type="http://schemas.openxmlformats.org/officeDocument/2006/relationships/header" Target="header115.xml" /><Relationship Id="rId642" Type="http://schemas.openxmlformats.org/officeDocument/2006/relationships/header" Target="header116.xml" /><Relationship Id="rId643" Type="http://schemas.openxmlformats.org/officeDocument/2006/relationships/footer" Target="footer115.xml" /><Relationship Id="rId644" Type="http://schemas.openxmlformats.org/officeDocument/2006/relationships/footer" Target="footer116.xml" /><Relationship Id="rId645" Type="http://schemas.openxmlformats.org/officeDocument/2006/relationships/header" Target="header117.xml" /><Relationship Id="rId646" Type="http://schemas.openxmlformats.org/officeDocument/2006/relationships/footer" Target="footer117.xml" /><Relationship Id="rId647" Type="http://schemas.openxmlformats.org/officeDocument/2006/relationships/hyperlink" Target="https://advance.lexis.com/api/document?collection=cases-ca&amp;id=urn:contentItem:5T0J-H271-JFDC-X2X5-00000-00&amp;context=" TargetMode="External" /><Relationship Id="rId648" Type="http://schemas.openxmlformats.org/officeDocument/2006/relationships/hyperlink" Target="https://advance.lexis.com/api/document?collection=cases-ca&amp;id=urn:contentItem:5G74-D9V1-F2TK-22GR-00000-00&amp;context=" TargetMode="External" /><Relationship Id="rId649" Type="http://schemas.openxmlformats.org/officeDocument/2006/relationships/hyperlink" Target="https://advance.lexis.com/api/document?collection=legislation-ca&amp;id=urn:contentItem:5KRV-4981-JFDC-X2PB-00000-00&amp;context=" TargetMode="External" /><Relationship Id="rId65" Type="http://schemas.openxmlformats.org/officeDocument/2006/relationships/hyperlink" Target="https://advance.lexis.com/api/document?collection=cases-ca&amp;id=urn:contentItem:5F7T-S771-F361-M1SY-00000-00&amp;context=" TargetMode="External" /><Relationship Id="rId650" Type="http://schemas.openxmlformats.org/officeDocument/2006/relationships/hyperlink" Target="https://advance.lexis.com/api/document?collection=legislation-ca&amp;id=urn:contentItem:5VYK-W9V1-F4NT-X50B-00000-00&amp;context=" TargetMode="External" /><Relationship Id="rId651" Type="http://schemas.openxmlformats.org/officeDocument/2006/relationships/hyperlink" Target="https://advance.lexis.com/api/document?collection=cases-ca&amp;id=urn:contentItem:5F7T-S7K1-F1H1-22CH-00000-00&amp;context=" TargetMode="External" /><Relationship Id="rId652" Type="http://schemas.openxmlformats.org/officeDocument/2006/relationships/hyperlink" Target="https://advance.lexis.com/api/document?collection=cases-ca&amp;id=urn:contentItem:5F8T-N3S1-JBDT-B0CD-00000-00&amp;context=" TargetMode="External" /><Relationship Id="rId653" Type="http://schemas.openxmlformats.org/officeDocument/2006/relationships/hyperlink" Target="https://advance.lexis.com/api/document?collection=cases-ca&amp;id=urn:contentItem:5MYB-P6K1-JTNR-M005-00000-00&amp;context=" TargetMode="External" /><Relationship Id="rId654" Type="http://schemas.openxmlformats.org/officeDocument/2006/relationships/hyperlink" Target="https://advance.lexis.com/api/document?collection=cases-ca&amp;id=urn:contentItem:5F8T-N3V1-FC1F-M48G-00000-00&amp;context=" TargetMode="External" /><Relationship Id="rId655" Type="http://schemas.openxmlformats.org/officeDocument/2006/relationships/hyperlink" Target="https://advance.lexis.com/api/document?collection=cases-ca&amp;id=urn:contentItem:5F7T-S7K1-JKHB-631H-00000-00&amp;context=" TargetMode="External" /><Relationship Id="rId656" Type="http://schemas.openxmlformats.org/officeDocument/2006/relationships/hyperlink" Target="https://advance.lexis.com/api/document?collection=cases-ca&amp;id=urn:contentItem:5JDR-V1T1-F528-G0NJ-00000-00&amp;context=" TargetMode="External" /><Relationship Id="rId657" Type="http://schemas.openxmlformats.org/officeDocument/2006/relationships/hyperlink" Target="https://advance.lexis.com/api/document?collection=cases-ca&amp;id=urn:contentItem:5F7T-S7P1-JSJC-X1KV-00000-00&amp;context=" TargetMode="External" /><Relationship Id="rId658" Type="http://schemas.openxmlformats.org/officeDocument/2006/relationships/hyperlink" Target="https://advance.lexis.com/api/document?collection=cases-ca&amp;id=urn:contentItem:5F7T-S7K1-F1H1-22F0-00000-00&amp;context=" TargetMode="External" /><Relationship Id="rId659" Type="http://schemas.openxmlformats.org/officeDocument/2006/relationships/hyperlink" Target="https://advance.lexis.com/api/document?collection=cases-ca&amp;id=urn:contentItem:5F8T-N3V1-JTGH-B0YX-00000-00&amp;context=" TargetMode="External" /><Relationship Id="rId66" Type="http://schemas.openxmlformats.org/officeDocument/2006/relationships/header" Target="header16.xml" /><Relationship Id="rId660" Type="http://schemas.openxmlformats.org/officeDocument/2006/relationships/hyperlink" Target="https://advance.lexis.com/api/document?collection=cases-ca&amp;id=urn:contentItem:5F8T-N3V1-FH4C-X1WR-00000-00&amp;context=" TargetMode="External" /><Relationship Id="rId661" Type="http://schemas.openxmlformats.org/officeDocument/2006/relationships/hyperlink" Target="https://advance.lexis.com/api/document?collection=cases-ca&amp;id=urn:contentItem:5PRM-YW61-F8D9-M4PF-00000-00&amp;context=" TargetMode="External" /><Relationship Id="rId662" Type="http://schemas.openxmlformats.org/officeDocument/2006/relationships/hyperlink" Target="https://advance.lexis.com/api/document?collection=cases-ca&amp;id=urn:contentItem:5SPN-FF01-F2MB-S10D-00000-00&amp;context=" TargetMode="External" /><Relationship Id="rId663" Type="http://schemas.openxmlformats.org/officeDocument/2006/relationships/hyperlink" Target="https://advance.lexis.com/api/document?collection=cases-ca&amp;id=urn:contentItem:5F81-VJX1-FCK4-G1S0-00000-00&amp;context=" TargetMode="External" /><Relationship Id="rId664" Type="http://schemas.openxmlformats.org/officeDocument/2006/relationships/header" Target="header118.xml" /><Relationship Id="rId665" Type="http://schemas.openxmlformats.org/officeDocument/2006/relationships/header" Target="header119.xml" /><Relationship Id="rId666" Type="http://schemas.openxmlformats.org/officeDocument/2006/relationships/footer" Target="footer118.xml" /><Relationship Id="rId667" Type="http://schemas.openxmlformats.org/officeDocument/2006/relationships/footer" Target="footer119.xml" /><Relationship Id="rId668" Type="http://schemas.openxmlformats.org/officeDocument/2006/relationships/header" Target="header120.xml" /><Relationship Id="rId669" Type="http://schemas.openxmlformats.org/officeDocument/2006/relationships/footer" Target="footer120.xml" /><Relationship Id="rId67" Type="http://schemas.openxmlformats.org/officeDocument/2006/relationships/header" Target="header17.xml" /><Relationship Id="rId670" Type="http://schemas.openxmlformats.org/officeDocument/2006/relationships/hyperlink" Target="https://advance.lexis.com/api/document?collection=cases-ca&amp;id=urn:contentItem:5F7T-S781-JSC5-M44D-00000-00&amp;context=" TargetMode="External" /><Relationship Id="rId671" Type="http://schemas.openxmlformats.org/officeDocument/2006/relationships/hyperlink" Target="https://advance.lexis.com/api/document?collection=cases-ca&amp;id=urn:contentItem:5F7T-S781-FH4C-X2R3-00000-00&amp;context=" TargetMode="External" /><Relationship Id="rId672" Type="http://schemas.openxmlformats.org/officeDocument/2006/relationships/hyperlink" Target="https://advance.lexis.com/api/document?collection=cases-ca&amp;id=urn:contentItem:5F81-YGM1-F5KY-B4X0-00000-00&amp;context=" TargetMode="External" /><Relationship Id="rId673" Type="http://schemas.openxmlformats.org/officeDocument/2006/relationships/hyperlink" Target="https://advance.lexis.com/api/document?collection=cases-ca&amp;id=urn:contentItem:5F7T-S6Y1-F65M-609X-00000-00&amp;context=" TargetMode="External" /><Relationship Id="rId674" Type="http://schemas.openxmlformats.org/officeDocument/2006/relationships/header" Target="header121.xml" /><Relationship Id="rId675" Type="http://schemas.openxmlformats.org/officeDocument/2006/relationships/header" Target="header122.xml" /><Relationship Id="rId676" Type="http://schemas.openxmlformats.org/officeDocument/2006/relationships/footer" Target="footer121.xml" /><Relationship Id="rId677" Type="http://schemas.openxmlformats.org/officeDocument/2006/relationships/footer" Target="footer122.xml" /><Relationship Id="rId678" Type="http://schemas.openxmlformats.org/officeDocument/2006/relationships/header" Target="header123.xml" /><Relationship Id="rId679" Type="http://schemas.openxmlformats.org/officeDocument/2006/relationships/footer" Target="footer123.xml" /><Relationship Id="rId68" Type="http://schemas.openxmlformats.org/officeDocument/2006/relationships/footer" Target="footer16.xml" /><Relationship Id="rId680" Type="http://schemas.openxmlformats.org/officeDocument/2006/relationships/hyperlink" Target="https://advance.lexis.com/api/document?collection=cases-ca&amp;id=urn:contentItem:5GM0-J411-JJYN-B3XH-00000-00&amp;context=" TargetMode="External" /><Relationship Id="rId681" Type="http://schemas.openxmlformats.org/officeDocument/2006/relationships/hyperlink" Target="https://advance.lexis.com/api/document?collection=legislation-ca&amp;id=urn:contentItem:5F41-1FG1-FBN1-20VY-00000-00&amp;context=" TargetMode="External" /><Relationship Id="rId682" Type="http://schemas.openxmlformats.org/officeDocument/2006/relationships/hyperlink" Target="https://advance.lexis.com/api/document?collection=legislation-ca&amp;id=urn:contentItem:5F41-1FJ1-F5KY-B1T4-00000-00&amp;context=" TargetMode="External" /><Relationship Id="rId683" Type="http://schemas.openxmlformats.org/officeDocument/2006/relationships/hyperlink" Target="https://advance.lexis.com/api/document?collection=cases-ca&amp;id=urn:contentItem:5F7T-S781-F900-G116-00000-00&amp;context=" TargetMode="External" /><Relationship Id="rId684" Type="http://schemas.openxmlformats.org/officeDocument/2006/relationships/hyperlink" Target="https://advance.lexis.com/api/document?collection=cases-ca&amp;id=urn:contentItem:5F7T-S7F1-FJTD-G385-00000-00&amp;context=" TargetMode="External" /><Relationship Id="rId685" Type="http://schemas.openxmlformats.org/officeDocument/2006/relationships/hyperlink" Target="https://advance.lexis.com/api/document?collection=cases-ca&amp;id=urn:contentItem:5F7T-XPY1-FJDY-X48B-00000-00&amp;context=" TargetMode="External" /><Relationship Id="rId686" Type="http://schemas.openxmlformats.org/officeDocument/2006/relationships/hyperlink" Target="https://advance.lexis.com/api/document?collection=cases-ca&amp;id=urn:contentItem:5F7T-S6R1-F4GK-M0SY-00000-00&amp;context=" TargetMode="External" /><Relationship Id="rId687" Type="http://schemas.openxmlformats.org/officeDocument/2006/relationships/hyperlink" Target="https://advance.lexis.com/api/document?collection=cases-ca&amp;id=urn:contentItem:5F7T-S7F1-FFFC-B1MR-00000-00&amp;context=" TargetMode="External" /><Relationship Id="rId688" Type="http://schemas.openxmlformats.org/officeDocument/2006/relationships/hyperlink" Target="https://advance.lexis.com/api/document?collection=cases-ca&amp;id=urn:contentItem:5F7T-S7K1-F528-G2X8-00000-00&amp;context=" TargetMode="External" /><Relationship Id="rId689" Type="http://schemas.openxmlformats.org/officeDocument/2006/relationships/hyperlink" Target="https://advance.lexis.com/api/document?collection=cases-ca&amp;id=urn:contentItem:5F7T-S751-JX3N-B16N-00000-00&amp;context=" TargetMode="External" /><Relationship Id="rId69" Type="http://schemas.openxmlformats.org/officeDocument/2006/relationships/footer" Target="footer17.xml" /><Relationship Id="rId690" Type="http://schemas.openxmlformats.org/officeDocument/2006/relationships/hyperlink" Target="https://advance.lexis.com/api/document?collection=cases-ca&amp;id=urn:contentItem:5F7T-S7H1-FCSB-S38S-00000-00&amp;context=" TargetMode="External" /><Relationship Id="rId691" Type="http://schemas.openxmlformats.org/officeDocument/2006/relationships/hyperlink" Target="https://advance.lexis.com/api/document?collection=cases-ca&amp;id=urn:contentItem:5F7T-S7C1-FCSB-S2C4-00000-00&amp;context=" TargetMode="External" /><Relationship Id="rId692" Type="http://schemas.openxmlformats.org/officeDocument/2006/relationships/hyperlink" Target="https://advance.lexis.com/api/document?collection=cases-ca&amp;id=urn:contentItem:5GCC-XVB1-JSXV-G0F0-00000-00&amp;context=" TargetMode="External" /><Relationship Id="rId693" Type="http://schemas.openxmlformats.org/officeDocument/2006/relationships/hyperlink" Target="https://advance.lexis.com/api/document?collection=cases-ca&amp;id=urn:contentItem:5F8P-SCC1-F2F4-G0B8-00000-00&amp;context=" TargetMode="External" /><Relationship Id="rId694" Type="http://schemas.openxmlformats.org/officeDocument/2006/relationships/hyperlink" Target="https://advance.lexis.com/api/document?collection=cases-ca&amp;id=urn:contentItem:5F7T-S771-JN14-G2G2-00000-00&amp;context=" TargetMode="External" /><Relationship Id="rId695" Type="http://schemas.openxmlformats.org/officeDocument/2006/relationships/hyperlink" Target="https://advance.lexis.com/api/document?collection=cases-ca&amp;id=urn:contentItem:5GCC-XVC1-JSRM-60JH-00000-00&amp;context=" TargetMode="External" /><Relationship Id="rId696" Type="http://schemas.openxmlformats.org/officeDocument/2006/relationships/hyperlink" Target="https://advance.lexis.com/api/document?collection=cases-ca&amp;id=urn:contentItem:5F7T-S7M1-JPP5-22S7-00000-00&amp;context=" TargetMode="External" /><Relationship Id="rId697" Type="http://schemas.openxmlformats.org/officeDocument/2006/relationships/hyperlink" Target="https://advance.lexis.com/api/document?collection=cases-ca&amp;id=urn:contentItem:5F7T-S7D1-FBFS-S1VC-00000-00&amp;context=" TargetMode="External" /><Relationship Id="rId698" Type="http://schemas.openxmlformats.org/officeDocument/2006/relationships/hyperlink" Target="https://advance.lexis.com/api/document?collection=cases-ca&amp;id=urn:contentItem:5F7T-S7C1-JS0R-226T-00000-00&amp;context=" TargetMode="External" /><Relationship Id="rId699" Type="http://schemas.openxmlformats.org/officeDocument/2006/relationships/hyperlink" Target="https://advance.lexis.com/api/document?collection=cases-ca&amp;id=urn:contentItem:5F81-VJT1-JK4W-M46X-00000-00&amp;context=" TargetMode="External" /><Relationship Id="rId7" Type="http://schemas.openxmlformats.org/officeDocument/2006/relationships/footer" Target="footer2.xml" /><Relationship Id="rId70" Type="http://schemas.openxmlformats.org/officeDocument/2006/relationships/header" Target="header18.xml" /><Relationship Id="rId700" Type="http://schemas.openxmlformats.org/officeDocument/2006/relationships/hyperlink" Target="https://advance.lexis.com/api/document?collection=cases-ca&amp;id=urn:contentItem:5F7T-S761-JGHR-M2GR-00000-00&amp;context=" TargetMode="External" /><Relationship Id="rId701" Type="http://schemas.openxmlformats.org/officeDocument/2006/relationships/hyperlink" Target="https://advance.lexis.com/api/document?collection=cases-ca&amp;id=urn:contentItem:5F7T-S741-F2F4-G22V-00000-00&amp;context=" TargetMode="External" /><Relationship Id="rId702" Type="http://schemas.openxmlformats.org/officeDocument/2006/relationships/hyperlink" Target="https://advance.lexis.com/api/document?collection=cases-ca&amp;id=urn:contentItem:5F7T-S761-JGHR-M2BV-00000-00&amp;context=" TargetMode="External" /><Relationship Id="rId703" Type="http://schemas.openxmlformats.org/officeDocument/2006/relationships/hyperlink" Target="https://advance.lexis.com/api/document?collection=cases-ca&amp;id=urn:contentItem:5F7T-S7B1-JSRM-60D1-00000-00&amp;context=" TargetMode="External" /><Relationship Id="rId704" Type="http://schemas.openxmlformats.org/officeDocument/2006/relationships/hyperlink" Target="https://advance.lexis.com/api/document?collection=cases-ca&amp;id=urn:contentItem:5F7T-S7C1-FGRY-B032-00000-00&amp;context=" TargetMode="External" /><Relationship Id="rId705" Type="http://schemas.openxmlformats.org/officeDocument/2006/relationships/header" Target="header124.xml" /><Relationship Id="rId706" Type="http://schemas.openxmlformats.org/officeDocument/2006/relationships/header" Target="header125.xml" /><Relationship Id="rId707" Type="http://schemas.openxmlformats.org/officeDocument/2006/relationships/footer" Target="footer124.xml" /><Relationship Id="rId708" Type="http://schemas.openxmlformats.org/officeDocument/2006/relationships/footer" Target="footer125.xml" /><Relationship Id="rId709" Type="http://schemas.openxmlformats.org/officeDocument/2006/relationships/header" Target="header126.xml" /><Relationship Id="rId71" Type="http://schemas.openxmlformats.org/officeDocument/2006/relationships/footer" Target="footer18.xml" /><Relationship Id="rId710" Type="http://schemas.openxmlformats.org/officeDocument/2006/relationships/footer" Target="footer126.xml" /><Relationship Id="rId711" Type="http://schemas.openxmlformats.org/officeDocument/2006/relationships/hyperlink" Target="https://advance.lexis.com/api/document?collection=cases-ca&amp;id=urn:contentItem:5F7T-S7F1-FFFC-B21S-00000-00&amp;context=" TargetMode="External" /><Relationship Id="rId712" Type="http://schemas.openxmlformats.org/officeDocument/2006/relationships/hyperlink" Target="https://advance.lexis.com/api/document?collection=cases-ca&amp;id=urn:contentItem:5F7T-S771-JWBS-61TT-00000-00&amp;context=" TargetMode="External" /><Relationship Id="rId713" Type="http://schemas.openxmlformats.org/officeDocument/2006/relationships/hyperlink" Target="https://advance.lexis.com/api/document?collection=cases-ca&amp;id=urn:contentItem:5F7T-S6X1-FBN1-20T9-00000-00&amp;context=" TargetMode="External" /><Relationship Id="rId714" Type="http://schemas.openxmlformats.org/officeDocument/2006/relationships/header" Target="header127.xml" /><Relationship Id="rId715" Type="http://schemas.openxmlformats.org/officeDocument/2006/relationships/header" Target="header128.xml" /><Relationship Id="rId716" Type="http://schemas.openxmlformats.org/officeDocument/2006/relationships/footer" Target="footer127.xml" /><Relationship Id="rId717" Type="http://schemas.openxmlformats.org/officeDocument/2006/relationships/footer" Target="footer128.xml" /><Relationship Id="rId718" Type="http://schemas.openxmlformats.org/officeDocument/2006/relationships/header" Target="header129.xml" /><Relationship Id="rId719" Type="http://schemas.openxmlformats.org/officeDocument/2006/relationships/footer" Target="footer129.xml" /><Relationship Id="rId72" Type="http://schemas.openxmlformats.org/officeDocument/2006/relationships/hyperlink" Target="https://advance.lexis.com/api/document?collection=cases-ca&amp;id=urn:contentItem:5SSK-D2K1-JNS1-M1KF-00000-00&amp;context=" TargetMode="External" /><Relationship Id="rId720" Type="http://schemas.openxmlformats.org/officeDocument/2006/relationships/hyperlink" Target="https://advance.lexis.com/api/document?collection=cases-ca&amp;id=urn:contentItem:5F7T-S7H1-K054-G2HN-00000-00&amp;context=" TargetMode="External" /><Relationship Id="rId721" Type="http://schemas.openxmlformats.org/officeDocument/2006/relationships/hyperlink" Target="https://advance.lexis.com/api/document?collection=cases-ca&amp;id=urn:contentItem:5K6Y-81M1-DXHD-G2DC-00000-00&amp;context=" TargetMode="External" /><Relationship Id="rId722" Type="http://schemas.openxmlformats.org/officeDocument/2006/relationships/hyperlink" Target="https://advance.lexis.com/api/document?collection=cases-ca&amp;id=urn:contentItem:5F7T-S6V1-JFKM-6133-00000-00&amp;context=" TargetMode="External" /><Relationship Id="rId723" Type="http://schemas.openxmlformats.org/officeDocument/2006/relationships/hyperlink" Target="https://advance.lexis.com/api/document?collection=cases-ca&amp;id=urn:contentItem:5F7T-S7G1-F5KY-B1GH-00000-00&amp;context=" TargetMode="External" /><Relationship Id="rId724" Type="http://schemas.openxmlformats.org/officeDocument/2006/relationships/hyperlink" Target="https://advance.lexis.com/api/document?collection=cases-ca&amp;id=urn:contentItem:5F8T-N3V1-JTGH-B0Y9-00000-00&amp;context=" TargetMode="External" /><Relationship Id="rId725" Type="http://schemas.openxmlformats.org/officeDocument/2006/relationships/hyperlink" Target="https://advance.lexis.com/api/document?collection=cases-ca&amp;id=urn:contentItem:5F7T-S7F1-DXWW-246D-00000-00&amp;context=" TargetMode="External" /><Relationship Id="rId726" Type="http://schemas.openxmlformats.org/officeDocument/2006/relationships/hyperlink" Target="https://advance.lexis.com/api/document?collection=cases-ca&amp;id=urn:contentItem:5F8T-N3T1-JGHR-M251-00000-00&amp;context=" TargetMode="External" /><Relationship Id="rId727" Type="http://schemas.openxmlformats.org/officeDocument/2006/relationships/hyperlink" Target="https://advance.lexis.com/api/document?collection=cases-ca&amp;id=urn:contentItem:5F7T-S7C1-JS0R-22HF-00000-00&amp;context=" TargetMode="External" /><Relationship Id="rId728" Type="http://schemas.openxmlformats.org/officeDocument/2006/relationships/hyperlink" Target="https://advance.lexis.com/api/document?collection=cases-ca&amp;id=urn:contentItem:5F7T-S701-JF75-M4DT-00000-00&amp;context=" TargetMode="External" /><Relationship Id="rId729" Type="http://schemas.openxmlformats.org/officeDocument/2006/relationships/hyperlink" Target="https://advance.lexis.com/api/document?collection=cases-ca&amp;id=urn:contentItem:5F7T-S731-FFFC-B0K2-00000-00&amp;context=" TargetMode="External" /><Relationship Id="rId73" Type="http://schemas.openxmlformats.org/officeDocument/2006/relationships/hyperlink" Target="https://advance.lexis.com/api/document?collection=cases-ca&amp;id=urn:contentItem:5G53-RJN1-FBFS-S4V5-00000-00&amp;context=" TargetMode="External" /><Relationship Id="rId730" Type="http://schemas.openxmlformats.org/officeDocument/2006/relationships/hyperlink" Target="https://advance.lexis.com/api/document?collection=cases-ca&amp;id=urn:contentItem:5F7T-S701-JBT7-X23F-00000-00&amp;context=" TargetMode="External" /><Relationship Id="rId731" Type="http://schemas.openxmlformats.org/officeDocument/2006/relationships/hyperlink" Target="https://advance.lexis.com/api/document?collection=cases-ca&amp;id=urn:contentItem:5F7T-S701-JF75-M4N2-00000-00&amp;context=" TargetMode="External" /><Relationship Id="rId732" Type="http://schemas.openxmlformats.org/officeDocument/2006/relationships/header" Target="header130.xml" /><Relationship Id="rId733" Type="http://schemas.openxmlformats.org/officeDocument/2006/relationships/header" Target="header131.xml" /><Relationship Id="rId734" Type="http://schemas.openxmlformats.org/officeDocument/2006/relationships/footer" Target="footer130.xml" /><Relationship Id="rId735" Type="http://schemas.openxmlformats.org/officeDocument/2006/relationships/footer" Target="footer131.xml" /><Relationship Id="rId736" Type="http://schemas.openxmlformats.org/officeDocument/2006/relationships/header" Target="header132.xml" /><Relationship Id="rId737" Type="http://schemas.openxmlformats.org/officeDocument/2006/relationships/footer" Target="footer132.xml" /><Relationship Id="rId738" Type="http://schemas.openxmlformats.org/officeDocument/2006/relationships/hyperlink" Target="https://advance.lexis.com/api/document?collection=cases-ca&amp;id=urn:contentItem:5F7T-S771-JWBS-61K5-00000-00&amp;context=" TargetMode="External" /><Relationship Id="rId739" Type="http://schemas.openxmlformats.org/officeDocument/2006/relationships/hyperlink" Target="https://advance.lexis.com/api/document?collection=cases-ca&amp;id=urn:contentItem:5F7T-S6R1-JGPY-X18R-00000-00&amp;context=" TargetMode="External" /><Relationship Id="rId74" Type="http://schemas.openxmlformats.org/officeDocument/2006/relationships/hyperlink" Target="https://advance.lexis.com/api/document?collection=cases-ca&amp;id=urn:contentItem:5N4F-TFM1-JGBH-B295-00000-00&amp;context=" TargetMode="External" /><Relationship Id="rId740" Type="http://schemas.openxmlformats.org/officeDocument/2006/relationships/hyperlink" Target="https://advance.lexis.com/api/document?collection=cases-ca&amp;id=urn:contentItem:5F7T-S6Y1-JF75-M3TJ-00000-00&amp;context=" TargetMode="External" /><Relationship Id="rId741" Type="http://schemas.openxmlformats.org/officeDocument/2006/relationships/header" Target="header133.xml" /><Relationship Id="rId742" Type="http://schemas.openxmlformats.org/officeDocument/2006/relationships/header" Target="header134.xml" /><Relationship Id="rId743" Type="http://schemas.openxmlformats.org/officeDocument/2006/relationships/footer" Target="footer133.xml" /><Relationship Id="rId744" Type="http://schemas.openxmlformats.org/officeDocument/2006/relationships/footer" Target="footer134.xml" /><Relationship Id="rId745" Type="http://schemas.openxmlformats.org/officeDocument/2006/relationships/header" Target="header135.xml" /><Relationship Id="rId746" Type="http://schemas.openxmlformats.org/officeDocument/2006/relationships/footer" Target="footer135.xml" /><Relationship Id="rId747" Type="http://schemas.openxmlformats.org/officeDocument/2006/relationships/hyperlink" Target="https://advance.lexis.com/api/document?collection=cases-ca&amp;id=urn:contentItem:5F7T-S7M1-JNCK-22JP-00000-00&amp;context=" TargetMode="External" /><Relationship Id="rId748" Type="http://schemas.openxmlformats.org/officeDocument/2006/relationships/hyperlink" Target="https://advance.lexis.com/api/document?collection=legislation-ca&amp;id=urn:contentItem:5F41-1FP1-JKHB-60VH-00000-00&amp;context=" TargetMode="External" /><Relationship Id="rId749" Type="http://schemas.openxmlformats.org/officeDocument/2006/relationships/hyperlink" Target="https://advance.lexis.com/api/document?collection=cases-ca&amp;id=urn:contentItem:5F7T-S7D1-F7ND-G0FM-00000-00&amp;context=" TargetMode="External" /><Relationship Id="rId75" Type="http://schemas.openxmlformats.org/officeDocument/2006/relationships/hyperlink" Target="https://advance.lexis.com/api/document?collection=cases-ca&amp;id=urn:contentItem:5F7T-S7K1-F1H1-22BK-00000-00&amp;context=" TargetMode="External" /><Relationship Id="rId750" Type="http://schemas.openxmlformats.org/officeDocument/2006/relationships/header" Target="header136.xml" /><Relationship Id="rId751" Type="http://schemas.openxmlformats.org/officeDocument/2006/relationships/header" Target="header137.xml" /><Relationship Id="rId752" Type="http://schemas.openxmlformats.org/officeDocument/2006/relationships/footer" Target="footer136.xml" /><Relationship Id="rId753" Type="http://schemas.openxmlformats.org/officeDocument/2006/relationships/footer" Target="footer137.xml" /><Relationship Id="rId754" Type="http://schemas.openxmlformats.org/officeDocument/2006/relationships/header" Target="header138.xml" /><Relationship Id="rId755" Type="http://schemas.openxmlformats.org/officeDocument/2006/relationships/footer" Target="footer138.xml" /><Relationship Id="rId756" Type="http://schemas.openxmlformats.org/officeDocument/2006/relationships/hyperlink" Target="https://advance.lexis.com/api/document?collection=cases-ca&amp;id=urn:contentItem:5F7T-S7M1-JJK6-S23T-00000-00&amp;context=" TargetMode="External" /><Relationship Id="rId757" Type="http://schemas.openxmlformats.org/officeDocument/2006/relationships/hyperlink" Target="https://advance.lexis.com/api/document?collection=legislation-ca&amp;id=urn:contentItem:5S2H-CJ11-JF75-M0S0-00000-00&amp;context=" TargetMode="External" /><Relationship Id="rId758" Type="http://schemas.openxmlformats.org/officeDocument/2006/relationships/hyperlink" Target="https://advance.lexis.com/api/document?collection=cases-ca&amp;id=urn:contentItem:5F7T-S7F1-FJTD-G373-00000-00&amp;context=" TargetMode="External" /><Relationship Id="rId759" Type="http://schemas.openxmlformats.org/officeDocument/2006/relationships/hyperlink" Target="https://advance.lexis.com/api/document?collection=cases-ca&amp;id=urn:contentItem:5F7T-S7K1-JWXF-20R5-00000-00&amp;context=" TargetMode="External" /><Relationship Id="rId76" Type="http://schemas.openxmlformats.org/officeDocument/2006/relationships/hyperlink" Target="https://advance.lexis.com/api/document?collection=cases-ca&amp;id=urn:contentItem:5F7T-S7G1-JWR6-S1R8-00000-00&amp;context=" TargetMode="External" /><Relationship Id="rId760" Type="http://schemas.openxmlformats.org/officeDocument/2006/relationships/hyperlink" Target="https://advance.lexis.com/api/document?collection=cases-ca&amp;id=urn:contentItem:5F7T-S7G1-F5KY-B1PR-00000-00&amp;context=" TargetMode="External" /><Relationship Id="rId761" Type="http://schemas.openxmlformats.org/officeDocument/2006/relationships/hyperlink" Target="https://advance.lexis.com/api/document?collection=cases-ca&amp;id=urn:contentItem:5F7T-S7G1-JN6B-S1BD-00000-00&amp;context=" TargetMode="External" /><Relationship Id="rId762" Type="http://schemas.openxmlformats.org/officeDocument/2006/relationships/hyperlink" Target="https://advance.lexis.com/api/document?collection=cases-ca&amp;id=urn:contentItem:5F7T-S721-F4NT-X2W2-00000-00&amp;context=" TargetMode="External" /><Relationship Id="rId763" Type="http://schemas.openxmlformats.org/officeDocument/2006/relationships/hyperlink" Target="https://advance.lexis.com/api/document?collection=cases-ca&amp;id=urn:contentItem:5F7T-S7B1-JSRM-60KR-00000-00&amp;context=" TargetMode="External" /><Relationship Id="rId764" Type="http://schemas.openxmlformats.org/officeDocument/2006/relationships/hyperlink" Target="https://advance.lexis.com/api/document?collection=cases-ca&amp;id=urn:contentItem:5F7T-S7D1-FC6N-X0FW-00000-00&amp;context=" TargetMode="External" /><Relationship Id="rId765" Type="http://schemas.openxmlformats.org/officeDocument/2006/relationships/header" Target="header139.xml" /><Relationship Id="rId766" Type="http://schemas.openxmlformats.org/officeDocument/2006/relationships/header" Target="header140.xml" /><Relationship Id="rId767" Type="http://schemas.openxmlformats.org/officeDocument/2006/relationships/footer" Target="footer139.xml" /><Relationship Id="rId768" Type="http://schemas.openxmlformats.org/officeDocument/2006/relationships/footer" Target="footer140.xml" /><Relationship Id="rId769" Type="http://schemas.openxmlformats.org/officeDocument/2006/relationships/header" Target="header141.xml" /><Relationship Id="rId77" Type="http://schemas.openxmlformats.org/officeDocument/2006/relationships/hyperlink" Target="https://advance.lexis.com/api/document?collection=cases-ca&amp;id=urn:contentItem:5F7T-S7N1-JW09-M0YW-00000-00&amp;context=" TargetMode="External" /><Relationship Id="rId770" Type="http://schemas.openxmlformats.org/officeDocument/2006/relationships/footer" Target="footer141.xml" /><Relationship Id="rId771" Type="http://schemas.openxmlformats.org/officeDocument/2006/relationships/hyperlink" Target="https://advance.lexis.com/api/document?collection=cases-ca&amp;id=urn:contentItem:5F7T-S7M1-JJK6-S1M5-00000-00&amp;context=" TargetMode="External" /><Relationship Id="rId772" Type="http://schemas.openxmlformats.org/officeDocument/2006/relationships/hyperlink" Target="https://advance.lexis.com/api/document?collection=cases-ca&amp;id=urn:contentItem:5F7T-S781-F7G6-63BD-00000-00&amp;context=" TargetMode="External" /><Relationship Id="rId773" Type="http://schemas.openxmlformats.org/officeDocument/2006/relationships/hyperlink" Target="https://advance.lexis.com/api/document?collection=cases-ca&amp;id=urn:contentItem:5F7T-S7K1-JNY7-X4CH-00000-00&amp;context=" TargetMode="External" /><Relationship Id="rId774" Type="http://schemas.openxmlformats.org/officeDocument/2006/relationships/hyperlink" Target="https://advance.lexis.com/api/document?collection=cases-ca&amp;id=urn:contentItem:5F7T-S6T1-FJTD-G17V-00000-00&amp;context=" TargetMode="External" /><Relationship Id="rId775" Type="http://schemas.openxmlformats.org/officeDocument/2006/relationships/hyperlink" Target="https://advance.lexis.com/api/document?collection=cases-ca&amp;id=urn:contentItem:5F7T-S7K1-F1H1-223T-00000-00&amp;context=" TargetMode="External" /><Relationship Id="rId776" Type="http://schemas.openxmlformats.org/officeDocument/2006/relationships/hyperlink" Target="https://advance.lexis.com/api/document?collection=cases-ca&amp;id=urn:contentItem:5F7T-S7H1-FCSB-S3PW-00000-00&amp;context=" TargetMode="External" /><Relationship Id="rId777" Type="http://schemas.openxmlformats.org/officeDocument/2006/relationships/hyperlink" Target="https://advance.lexis.com/api/document?collection=cases-ca&amp;id=urn:contentItem:5F7T-S7H1-JS5Y-B35X-00000-00&amp;context=" TargetMode="External" /><Relationship Id="rId778" Type="http://schemas.openxmlformats.org/officeDocument/2006/relationships/header" Target="header142.xml" /><Relationship Id="rId779" Type="http://schemas.openxmlformats.org/officeDocument/2006/relationships/header" Target="header143.xml" /><Relationship Id="rId78" Type="http://schemas.openxmlformats.org/officeDocument/2006/relationships/hyperlink" Target="https://advance.lexis.com/api/document?collection=cases-ca&amp;id=urn:contentItem:5F7T-S771-F361-M1HH-00000-00&amp;context=" TargetMode="External" /><Relationship Id="rId780" Type="http://schemas.openxmlformats.org/officeDocument/2006/relationships/footer" Target="footer142.xml" /><Relationship Id="rId781" Type="http://schemas.openxmlformats.org/officeDocument/2006/relationships/footer" Target="footer143.xml" /><Relationship Id="rId782" Type="http://schemas.openxmlformats.org/officeDocument/2006/relationships/header" Target="header144.xml" /><Relationship Id="rId783" Type="http://schemas.openxmlformats.org/officeDocument/2006/relationships/footer" Target="footer144.xml" /><Relationship Id="rId784" Type="http://schemas.openxmlformats.org/officeDocument/2006/relationships/hyperlink" Target="https://advance.lexis.com/api/document?collection=cases-ca&amp;id=urn:contentItem:5F7T-S7K1-JSJC-X14P-00000-00&amp;context=" TargetMode="External" /><Relationship Id="rId785" Type="http://schemas.openxmlformats.org/officeDocument/2006/relationships/hyperlink" Target="https://advance.lexis.com/api/document?collection=cases-ca&amp;id=urn:contentItem:5F7T-S7H1-F016-S3PH-00000-00&amp;context=" TargetMode="External" /><Relationship Id="rId786" Type="http://schemas.openxmlformats.org/officeDocument/2006/relationships/hyperlink" Target="https://advance.lexis.com/api/document?collection=cases-ca&amp;id=urn:contentItem:5F7T-S721-FD4T-B172-00000-00&amp;context=" TargetMode="External" /><Relationship Id="rId787" Type="http://schemas.openxmlformats.org/officeDocument/2006/relationships/hyperlink" Target="https://advance.lexis.com/api/document?collection=cases-ca&amp;id=urn:contentItem:5F7T-S781-F900-G0N5-00000-00&amp;context=" TargetMode="External" /><Relationship Id="rId788" Type="http://schemas.openxmlformats.org/officeDocument/2006/relationships/hyperlink" Target="https://advance.lexis.com/api/document?collection=cases-ca&amp;id=urn:contentItem:5F7T-S761-FFMK-M0WK-00000-00&amp;context=" TargetMode="External" /><Relationship Id="rId789" Type="http://schemas.openxmlformats.org/officeDocument/2006/relationships/hyperlink" Target="https://advance.lexis.com/api/document?collection=cases-ca&amp;id=urn:contentItem:5F7T-S741-DY89-M3BT-00000-00&amp;context=" TargetMode="External" /><Relationship Id="rId79" Type="http://schemas.openxmlformats.org/officeDocument/2006/relationships/hyperlink" Target="https://advance.lexis.com/api/document?collection=cases-ca&amp;id=urn:contentItem:5F7T-S7G1-JPP5-222K-00000-00&amp;context=" TargetMode="External" /><Relationship Id="rId790" Type="http://schemas.openxmlformats.org/officeDocument/2006/relationships/hyperlink" Target="https://advance.lexis.com/api/document?collection=cases-ca&amp;id=urn:contentItem:5F7T-S7G1-F5KY-B1CT-00000-00&amp;context=" TargetMode="External" /><Relationship Id="rId791" Type="http://schemas.openxmlformats.org/officeDocument/2006/relationships/hyperlink" Target="https://advance.lexis.com/api/document?collection=cases-ca&amp;id=urn:contentItem:5F7T-S7G1-JPP5-221F-00000-00&amp;context=" TargetMode="External" /><Relationship Id="rId792" Type="http://schemas.openxmlformats.org/officeDocument/2006/relationships/hyperlink" Target="https://advance.lexis.com/api/document?collection=cases-ca&amp;id=urn:contentItem:5F7T-S731-JC0G-63HG-00000-00&amp;context=" TargetMode="External" /><Relationship Id="rId793" Type="http://schemas.openxmlformats.org/officeDocument/2006/relationships/hyperlink" Target="https://advance.lexis.com/api/document?collection=cases-ca&amp;id=urn:contentItem:5F7T-S7J1-JNS1-M26X-00000-00&amp;context=" TargetMode="External" /><Relationship Id="rId794" Type="http://schemas.openxmlformats.org/officeDocument/2006/relationships/hyperlink" Target="https://advance.lexis.com/api/document?collection=cases-ca&amp;id=urn:contentItem:5F7T-S7J1-FGCG-S0K4-00000-00&amp;context=" TargetMode="External" /><Relationship Id="rId795" Type="http://schemas.openxmlformats.org/officeDocument/2006/relationships/hyperlink" Target="https://advance.lexis.com/api/document?collection=cases-ca&amp;id=urn:contentItem:5F7T-S7J1-JYYX-62G1-00000-00&amp;context=" TargetMode="External" /><Relationship Id="rId796" Type="http://schemas.openxmlformats.org/officeDocument/2006/relationships/hyperlink" Target="https://advance.lexis.com/api/document?collection=cases-ca&amp;id=urn:contentItem:5F7T-S7H1-FCSB-S3RP-00000-00&amp;context=" TargetMode="External" /><Relationship Id="rId797" Type="http://schemas.openxmlformats.org/officeDocument/2006/relationships/hyperlink" Target="https://advance.lexis.com/api/document?collection=cases-ca&amp;id=urn:contentItem:5F7T-S7J1-FGCG-S0BR-00000-00&amp;context=" TargetMode="External" /><Relationship Id="rId798" Type="http://schemas.openxmlformats.org/officeDocument/2006/relationships/hyperlink" Target="https://advance.lexis.com/api/document?collection=cases-ca&amp;id=urn:contentItem:5F7T-S7H1-F016-S3RF-00000-00&amp;context=" TargetMode="External" /><Relationship Id="rId799" Type="http://schemas.openxmlformats.org/officeDocument/2006/relationships/hyperlink" Target="https://advance.lexis.com/api/document?collection=cases-ca&amp;id=urn:contentItem:5F7T-S7G1-JWR6-S1H6-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6W1-JYYX-61X7-00000-00&amp;context=" TargetMode="External" /><Relationship Id="rId800" Type="http://schemas.openxmlformats.org/officeDocument/2006/relationships/hyperlink" Target="https://advance.lexis.com/api/document?collection=cases-ca&amp;id=urn:contentItem:5F7T-S7C1-F4NT-X41X-00000-00&amp;context=" TargetMode="External" /><Relationship Id="rId801" Type="http://schemas.openxmlformats.org/officeDocument/2006/relationships/hyperlink" Target="https://advance.lexis.com/api/document?collection=cases-ca&amp;id=urn:contentItem:5F7T-S7D1-JXG3-X12H-00000-00&amp;context=" TargetMode="External" /><Relationship Id="rId802" Type="http://schemas.openxmlformats.org/officeDocument/2006/relationships/hyperlink" Target="https://advance.lexis.com/api/document?collection=cases-ca&amp;id=urn:contentItem:5F7T-S7D1-JS5Y-B25R-00000-00&amp;context=" TargetMode="External" /><Relationship Id="rId803" Type="http://schemas.openxmlformats.org/officeDocument/2006/relationships/hyperlink" Target="https://advance.lexis.com/api/document?collection=cases-ca&amp;id=urn:contentItem:5F7T-S7F1-JBT7-X2TF-00000-00&amp;context=" TargetMode="External" /><Relationship Id="rId804" Type="http://schemas.openxmlformats.org/officeDocument/2006/relationships/hyperlink" Target="https://advance.lexis.com/api/document?collection=cases-ca&amp;id=urn:contentItem:5F7T-S7F1-F7VM-S3X0-00000-00&amp;context=" TargetMode="External" /><Relationship Id="rId805" Type="http://schemas.openxmlformats.org/officeDocument/2006/relationships/hyperlink" Target="https://advance.lexis.com/api/document?collection=cases-ca&amp;id=urn:contentItem:5F7T-S7J1-JGBH-B271-00000-00&amp;context=" TargetMode="External" /><Relationship Id="rId806" Type="http://schemas.openxmlformats.org/officeDocument/2006/relationships/header" Target="header145.xml" /><Relationship Id="rId807" Type="http://schemas.openxmlformats.org/officeDocument/2006/relationships/header" Target="header146.xml" /><Relationship Id="rId808" Type="http://schemas.openxmlformats.org/officeDocument/2006/relationships/footer" Target="footer145.xml" /><Relationship Id="rId809" Type="http://schemas.openxmlformats.org/officeDocument/2006/relationships/footer" Target="footer146.xml" /><Relationship Id="rId81" Type="http://schemas.openxmlformats.org/officeDocument/2006/relationships/hyperlink" Target="https://advance.lexis.com/api/document?collection=cases-ca&amp;id=urn:contentItem:5F8T-N3V1-JTGH-B0YP-00000-00&amp;context=" TargetMode="External" /><Relationship Id="rId810" Type="http://schemas.openxmlformats.org/officeDocument/2006/relationships/header" Target="header147.xml" /><Relationship Id="rId811" Type="http://schemas.openxmlformats.org/officeDocument/2006/relationships/footer" Target="footer147.xml" /><Relationship Id="rId812" Type="http://schemas.openxmlformats.org/officeDocument/2006/relationships/hyperlink" Target="https://advance.lexis.com/api/document?collection=cases-ca&amp;id=urn:contentItem:5X8P-1591-JT99-231Y-00000-00&amp;context=" TargetMode="External" /><Relationship Id="rId813" Type="http://schemas.openxmlformats.org/officeDocument/2006/relationships/hyperlink" Target="https://advance.lexis.com/api/document?collection=cases-ca&amp;id=urn:contentItem:5F7T-S711-JG02-S1F6-00000-00&amp;context=" TargetMode="External" /><Relationship Id="rId814" Type="http://schemas.openxmlformats.org/officeDocument/2006/relationships/hyperlink" Target="https://advance.lexis.com/api/document?collection=cases-ca&amp;id=urn:contentItem:5F7T-S7K1-JWXF-20X0-00000-00&amp;context=" TargetMode="External" /><Relationship Id="rId815" Type="http://schemas.openxmlformats.org/officeDocument/2006/relationships/hyperlink" Target="https://advance.lexis.com/api/document?collection=cases-ca&amp;id=urn:contentItem:5F7T-S7K1-F528-G2XC-00000-00&amp;context=" TargetMode="External" /><Relationship Id="rId816" Type="http://schemas.openxmlformats.org/officeDocument/2006/relationships/hyperlink" Target="https://advance.lexis.com/api/document?collection=cases-ca&amp;id=urn:contentItem:5F7T-S7M1-F4W2-626V-00000-00&amp;context=" TargetMode="External" /><Relationship Id="rId817" Type="http://schemas.openxmlformats.org/officeDocument/2006/relationships/hyperlink" Target="https://advance.lexis.com/api/document?collection=cases-ca&amp;id=urn:contentItem:5F7T-S7F1-FBN1-21Y2-00000-00&amp;context=" TargetMode="External" /><Relationship Id="rId818" Type="http://schemas.openxmlformats.org/officeDocument/2006/relationships/hyperlink" Target="https://advance.lexis.com/api/document?collection=cases-ca&amp;id=urn:contentItem:5F7T-S7G1-JNY7-X443-00000-00&amp;context=" TargetMode="External" /><Relationship Id="rId819" Type="http://schemas.openxmlformats.org/officeDocument/2006/relationships/hyperlink" Target="https://advance.lexis.com/api/document?collection=cases-ca&amp;id=urn:contentItem:5F7T-S7D1-FBFS-S1M7-00000-00&amp;context=" TargetMode="External" /><Relationship Id="rId82" Type="http://schemas.openxmlformats.org/officeDocument/2006/relationships/hyperlink" Target="https://advance.lexis.com/api/document?collection=cases-ca&amp;id=urn:contentItem:5F7T-S7N1-F06F-24PV-00000-00&amp;context=" TargetMode="External" /><Relationship Id="rId820" Type="http://schemas.openxmlformats.org/officeDocument/2006/relationships/hyperlink" Target="https://advance.lexis.com/api/document?collection=cases-ca&amp;id=urn:contentItem:5F7T-S7D1-JN6B-S131-00000-00&amp;context=" TargetMode="External" /><Relationship Id="rId821" Type="http://schemas.openxmlformats.org/officeDocument/2006/relationships/hyperlink" Target="https://advance.lexis.com/api/document?collection=cases-ca&amp;id=urn:contentItem:5H2B-YKT1-FGY5-M3ST-00000-00&amp;context=" TargetMode="External" /><Relationship Id="rId822" Type="http://schemas.openxmlformats.org/officeDocument/2006/relationships/hyperlink" Target="https://advance.lexis.com/api/document?collection=cases-ca&amp;id=urn:contentItem:5F7T-S7D1-JG02-S2SW-00000-00&amp;context=" TargetMode="External" /><Relationship Id="rId823" Type="http://schemas.openxmlformats.org/officeDocument/2006/relationships/hyperlink" Target="https://advance.lexis.com/api/document?collection=cases-ca&amp;id=urn:contentItem:5F7T-S7F1-JFKM-61K6-00000-00&amp;context=" TargetMode="External" /><Relationship Id="rId824" Type="http://schemas.openxmlformats.org/officeDocument/2006/relationships/hyperlink" Target="https://advance.lexis.com/api/document?collection=cases-ca&amp;id=urn:contentItem:5F7T-S7F1-FBN1-21V5-00000-00&amp;context=" TargetMode="External" /><Relationship Id="rId825" Type="http://schemas.openxmlformats.org/officeDocument/2006/relationships/hyperlink" Target="https://advance.lexis.com/api/document?collection=cases-ca&amp;id=urn:contentItem:5F7T-S7H1-K054-G2DT-00000-00&amp;context=" TargetMode="External" /><Relationship Id="rId826" Type="http://schemas.openxmlformats.org/officeDocument/2006/relationships/hyperlink" Target="https://advance.lexis.com/api/document?collection=cases-ca&amp;id=urn:contentItem:5F7T-S7H1-FCSB-S3JG-00000-00&amp;context=" TargetMode="External" /><Relationship Id="rId827" Type="http://schemas.openxmlformats.org/officeDocument/2006/relationships/hyperlink" Target="https://advance.lexis.com/api/document?collection=cases-ca&amp;id=urn:contentItem:5F7T-S7K1-DY33-B1W5-00000-00&amp;context=" TargetMode="External" /><Relationship Id="rId828" Type="http://schemas.openxmlformats.org/officeDocument/2006/relationships/hyperlink" Target="https://advance.lexis.com/api/document?collection=cases-ca&amp;id=urn:contentItem:5KR0-P3T1-FBN1-240N-00000-00&amp;context=" TargetMode="External" /><Relationship Id="rId829" Type="http://schemas.openxmlformats.org/officeDocument/2006/relationships/hyperlink" Target="https://advance.lexis.com/api/document?collection=cases-ca&amp;id=urn:contentItem:5P2G-8RN1-FG68-G03P-00000-00&amp;context=" TargetMode="External" /><Relationship Id="rId83" Type="http://schemas.openxmlformats.org/officeDocument/2006/relationships/hyperlink" Target="https://advance.lexis.com/api/document?collection=cases-ca&amp;id=urn:contentItem:5F8P-SFC1-JXG3-X3TC-00000-00&amp;context=" TargetMode="External" /><Relationship Id="rId830" Type="http://schemas.openxmlformats.org/officeDocument/2006/relationships/hyperlink" Target="https://advance.lexis.com/api/document?collection=cases-ca&amp;id=urn:contentItem:5GCC-XVB1-JGHR-M4MC-00000-00&amp;context=" TargetMode="External" /><Relationship Id="rId831" Type="http://schemas.openxmlformats.org/officeDocument/2006/relationships/hyperlink" Target="https://advance.lexis.com/api/document?collection=cases-ca&amp;id=urn:contentItem:5F7T-S7P1-JNJT-B2B3-00000-00&amp;context=" TargetMode="External" /><Relationship Id="rId832" Type="http://schemas.openxmlformats.org/officeDocument/2006/relationships/hyperlink" Target="https://advance.lexis.com/api/document?collection=cases-ca&amp;id=urn:contentItem:5GNX-HSK1-FG12-625S-00000-00&amp;context=" TargetMode="External" /><Relationship Id="rId833" Type="http://schemas.openxmlformats.org/officeDocument/2006/relationships/hyperlink" Target="https://advance.lexis.com/api/document?collection=cases-ca&amp;id=urn:contentItem:5NBM-9KY1-JCRC-B3YJ-00000-00&amp;context=" TargetMode="External" /><Relationship Id="rId834" Type="http://schemas.openxmlformats.org/officeDocument/2006/relationships/hyperlink" Target="https://advance.lexis.com/api/document?collection=cases-ca&amp;id=urn:contentItem:5F7T-S7P1-JNJT-B2XD-00000-00&amp;context=" TargetMode="External" /><Relationship Id="rId835" Type="http://schemas.openxmlformats.org/officeDocument/2006/relationships/hyperlink" Target="https://advance.lexis.com/api/document?collection=cases-ca&amp;id=urn:contentItem:5F7T-S7B1-FH4C-X381-00000-00&amp;context=" TargetMode="External" /><Relationship Id="rId836" Type="http://schemas.openxmlformats.org/officeDocument/2006/relationships/hyperlink" Target="https://advance.lexis.com/api/document?collection=cases-ca&amp;id=urn:contentItem:5F8T-N3T1-JJSF-2361-00000-00&amp;context=" TargetMode="External" /><Relationship Id="rId837" Type="http://schemas.openxmlformats.org/officeDocument/2006/relationships/hyperlink" Target="https://advance.lexis.com/api/document?collection=cases-ca&amp;id=urn:contentItem:5GCC-XVB1-JGHR-M4F8-00000-00&amp;context=" TargetMode="External" /><Relationship Id="rId838" Type="http://schemas.openxmlformats.org/officeDocument/2006/relationships/hyperlink" Target="https://advance.lexis.com/api/document?collection=cases-ca&amp;id=urn:contentItem:5F7T-S7H1-JCRC-B0PH-00000-00&amp;context=" TargetMode="External" /><Relationship Id="rId839" Type="http://schemas.openxmlformats.org/officeDocument/2006/relationships/hyperlink" Target="https://advance.lexis.com/api/document?collection=cases-ca&amp;id=urn:contentItem:5F7T-S741-F7VM-S362-00000-00&amp;context=" TargetMode="External" /><Relationship Id="rId84" Type="http://schemas.openxmlformats.org/officeDocument/2006/relationships/hyperlink" Target="https://advance.lexis.com/api/document?collection=cases-ca&amp;id=urn:contentItem:5F82-1SJ1-DYMS-63JK-00000-00&amp;context=" TargetMode="External" /><Relationship Id="rId840" Type="http://schemas.openxmlformats.org/officeDocument/2006/relationships/hyperlink" Target="https://advance.lexis.com/api/document?collection=cases-ca&amp;id=urn:contentItem:5F7T-S741-F1H1-21SS-00000-00&amp;context=" TargetMode="External" /><Relationship Id="rId841" Type="http://schemas.openxmlformats.org/officeDocument/2006/relationships/hyperlink" Target="https://advance.lexis.com/api/document?collection=cases-ca&amp;id=urn:contentItem:5F7T-S7C1-FGRY-B081-00000-00&amp;context=" TargetMode="External" /><Relationship Id="rId842" Type="http://schemas.openxmlformats.org/officeDocument/2006/relationships/hyperlink" Target="https://advance.lexis.com/api/document?collection=cases-ca&amp;id=urn:contentItem:5F7T-S7K1-F1H1-22C1-00000-00&amp;context=" TargetMode="External" /><Relationship Id="rId843" Type="http://schemas.openxmlformats.org/officeDocument/2006/relationships/hyperlink" Target="https://advance.lexis.com/api/document?collection=cases-ca&amp;id=urn:contentItem:5F7T-S7N1-F57G-S2DN-00000-00&amp;context=" TargetMode="External" /><Relationship Id="rId844" Type="http://schemas.openxmlformats.org/officeDocument/2006/relationships/hyperlink" Target="https://advance.lexis.com/api/document?collection=cases-ca&amp;id=urn:contentItem:5F7T-S7N1-JGHR-M361-00000-00&amp;context=" TargetMode="External" /><Relationship Id="rId845" Type="http://schemas.openxmlformats.org/officeDocument/2006/relationships/hyperlink" Target="https://advance.lexis.com/api/document?collection=cases-ca&amp;id=urn:contentItem:5GB3-MY31-JX3N-B2C8-00000-00&amp;context=" TargetMode="External" /><Relationship Id="rId846" Type="http://schemas.openxmlformats.org/officeDocument/2006/relationships/image" Target="media/image1.png" /><Relationship Id="rId847" Type="http://schemas.openxmlformats.org/officeDocument/2006/relationships/hyperlink" Target="https://advance.lexis.com/api/document?collection=cases-ca&amp;id=urn:contentItem:5F7T-S7D1-DY89-M463-00000-00&amp;context=" TargetMode="External" /><Relationship Id="rId848" Type="http://schemas.openxmlformats.org/officeDocument/2006/relationships/hyperlink" Target="https://advance.lexis.com/api/document?collection=cases-ca&amp;id=urn:contentItem:5F7T-S7D1-F7ND-G0MH-00000-00&amp;context=" TargetMode="External" /><Relationship Id="rId849" Type="http://schemas.openxmlformats.org/officeDocument/2006/relationships/hyperlink" Target="https://advance.lexis.com/api/document?collection=cases-ca&amp;id=urn:contentItem:5F81-VJV1-F8D9-M0SJ-00000-00&amp;context=" TargetMode="External" /><Relationship Id="rId85" Type="http://schemas.openxmlformats.org/officeDocument/2006/relationships/hyperlink" Target="https://advance.lexis.com/api/document?collection=cases-ca&amp;id=urn:contentItem:5F8P-SDW1-JX8W-M51B-00000-00&amp;context=" TargetMode="External" /><Relationship Id="rId850" Type="http://schemas.openxmlformats.org/officeDocument/2006/relationships/hyperlink" Target="https://advance.lexis.com/api/document?collection=cases-ca&amp;id=urn:contentItem:5F7T-S7G1-JBT7-X48T-00000-00&amp;context=" TargetMode="External" /><Relationship Id="rId851" Type="http://schemas.openxmlformats.org/officeDocument/2006/relationships/hyperlink" Target="https://advance.lexis.com/api/document?collection=cases-ca&amp;id=urn:contentItem:5F7T-S7H1-F016-S3X8-00000-00&amp;context=" TargetMode="External" /><Relationship Id="rId852" Type="http://schemas.openxmlformats.org/officeDocument/2006/relationships/hyperlink" Target="https://advance.lexis.com/api/document?collection=cases-ca&amp;id=urn:contentItem:5F8T-N3S1-JT99-250W-00000-00&amp;context=" TargetMode="External" /><Relationship Id="rId853" Type="http://schemas.openxmlformats.org/officeDocument/2006/relationships/hyperlink" Target="https://advance.lexis.com/api/document?collection=cases-ca&amp;id=urn:contentItem:5F7T-S771-JN14-G2PR-00000-00&amp;context=" TargetMode="External" /><Relationship Id="rId854" Type="http://schemas.openxmlformats.org/officeDocument/2006/relationships/hyperlink" Target="https://advance.lexis.com/api/document?collection=cases-ca&amp;id=urn:contentItem:5F7T-S7K1-JSJC-X168-00000-00&amp;context=" TargetMode="External" /><Relationship Id="rId855" Type="http://schemas.openxmlformats.org/officeDocument/2006/relationships/hyperlink" Target="https://advance.lexis.com/api/document?collection=cases-ca&amp;id=urn:contentItem:5F7T-S7P1-JBDT-B12B-00000-00&amp;context=" TargetMode="External" /><Relationship Id="rId856" Type="http://schemas.openxmlformats.org/officeDocument/2006/relationships/hyperlink" Target="https://advance.lexis.com/api/document?collection=cases-ca&amp;id=urn:contentItem:5F7T-S771-JJD0-G1F9-00000-00&amp;context=" TargetMode="External" /><Relationship Id="rId857" Type="http://schemas.openxmlformats.org/officeDocument/2006/relationships/hyperlink" Target="https://advance.lexis.com/api/document?collection=cases-ca&amp;id=urn:contentItem:5F7T-S7P1-JP4G-61V4-00000-00&amp;context=" TargetMode="External" /><Relationship Id="rId858" Type="http://schemas.openxmlformats.org/officeDocument/2006/relationships/hyperlink" Target="https://advance.lexis.com/api/document?collection=cases-ca&amp;id=urn:contentItem:5GCC-XVC1-JSRM-60RB-00000-00&amp;context=" TargetMode="External" /><Relationship Id="rId859" Type="http://schemas.openxmlformats.org/officeDocument/2006/relationships/hyperlink" Target="https://advance.lexis.com/api/document?collection=cases-ca&amp;id=urn:contentItem:5F81-VJX1-F5T5-M3YH-00000-00&amp;context=" TargetMode="External" /><Relationship Id="rId86" Type="http://schemas.openxmlformats.org/officeDocument/2006/relationships/hyperlink" Target="https://advance.lexis.com/api/document?collection=cases-ca&amp;id=urn:contentItem:5F8P-SF11-JW5H-X4H3-00000-00&amp;context=" TargetMode="External" /><Relationship Id="rId860" Type="http://schemas.openxmlformats.org/officeDocument/2006/relationships/hyperlink" Target="https://advance.lexis.com/api/document?collection=cases-ca&amp;id=urn:contentItem:5F7T-S7P1-JNJT-B2PW-00000-00&amp;context=" TargetMode="External" /><Relationship Id="rId861" Type="http://schemas.openxmlformats.org/officeDocument/2006/relationships/image" Target="media/image2.png" /><Relationship Id="rId862" Type="http://schemas.openxmlformats.org/officeDocument/2006/relationships/hyperlink" Target="https://advance.lexis.com/api/document?collection=cases-ca&amp;id=urn:contentItem:5F7T-S7N1-F57G-S2D4-00000-00&amp;context=" TargetMode="External" /><Relationship Id="rId863" Type="http://schemas.openxmlformats.org/officeDocument/2006/relationships/hyperlink" Target="https://advance.lexis.com/api/document?collection=cases-ca&amp;id=urn:contentItem:5F7T-S6W1-JB7K-21F4-00000-00&amp;context=" TargetMode="External" /><Relationship Id="rId864" Type="http://schemas.openxmlformats.org/officeDocument/2006/relationships/hyperlink" Target="https://advance.lexis.com/api/document?collection=cases-ca&amp;id=urn:contentItem:5F7T-S7H1-FCSB-S3RY-00000-00&amp;context=" TargetMode="External" /><Relationship Id="rId865" Type="http://schemas.openxmlformats.org/officeDocument/2006/relationships/hyperlink" Target="https://advance.lexis.com/api/document?collection=cases-ca&amp;id=urn:contentItem:5F7T-S741-F528-G26C-00000-00&amp;context=" TargetMode="External" /><Relationship Id="rId866" Type="http://schemas.openxmlformats.org/officeDocument/2006/relationships/hyperlink" Target="https://advance.lexis.com/api/document?collection=cases-ca&amp;id=urn:contentItem:5W6N-2JC1-JS0R-2463-00000-00&amp;context=" TargetMode="External" /><Relationship Id="rId867" Type="http://schemas.openxmlformats.org/officeDocument/2006/relationships/hyperlink" Target="https://advance.lexis.com/api/document?collection=cases-ca&amp;id=urn:contentItem:5F7T-S6X1-JTNR-M3X3-00000-00&amp;context=" TargetMode="External" /><Relationship Id="rId868" Type="http://schemas.openxmlformats.org/officeDocument/2006/relationships/hyperlink" Target="https://advance.lexis.com/api/document?collection=cases-ca&amp;id=urn:contentItem:5F7T-S7K1-DY33-B1R6-00000-00&amp;context=" TargetMode="External" /><Relationship Id="rId869" Type="http://schemas.openxmlformats.org/officeDocument/2006/relationships/hyperlink" Target="https://advance.lexis.com/api/document?collection=cases-ca&amp;id=urn:contentItem:5F7T-S7H1-JCRC-B110-00000-00&amp;context=" TargetMode="External" /><Relationship Id="rId87" Type="http://schemas.openxmlformats.org/officeDocument/2006/relationships/hyperlink" Target="https://advance.lexis.com/api/document?collection=cases-ca&amp;id=urn:contentItem:5H5B-FTG1-K0BB-S186-00000-00&amp;context=" TargetMode="External" /><Relationship Id="rId870" Type="http://schemas.openxmlformats.org/officeDocument/2006/relationships/hyperlink" Target="https://advance.lexis.com/api/document?collection=cases-ca&amp;id=urn:contentItem:5F7T-S7K1-DXWW-2018-00000-00&amp;context=" TargetMode="External" /><Relationship Id="rId871" Type="http://schemas.openxmlformats.org/officeDocument/2006/relationships/hyperlink" Target="https://advance.lexis.com/api/document?collection=cases-ca&amp;id=urn:contentItem:5F7T-S731-F60C-X11W-00000-00&amp;context=" TargetMode="External" /><Relationship Id="rId872" Type="http://schemas.openxmlformats.org/officeDocument/2006/relationships/hyperlink" Target="https://advance.lexis.com/api/document?collection=cases-ca&amp;id=urn:contentItem:5F7T-S7M1-JCRC-B1SF-00000-00&amp;context=" TargetMode="External" /><Relationship Id="rId873" Type="http://schemas.openxmlformats.org/officeDocument/2006/relationships/hyperlink" Target="https://advance.lexis.com/api/document?collection=cases-ca&amp;id=urn:contentItem:5PRV-MB21-JW5H-X0RX-00000-00&amp;context=" TargetMode="External" /><Relationship Id="rId874" Type="http://schemas.openxmlformats.org/officeDocument/2006/relationships/hyperlink" Target="https://advance.lexis.com/api/document?collection=cases-ca&amp;id=urn:contentItem:5F81-VJX1-FCK4-G1R5-00000-00&amp;context=" TargetMode="External" /><Relationship Id="rId875" Type="http://schemas.openxmlformats.org/officeDocument/2006/relationships/hyperlink" Target="https://advance.lexis.com/api/document?collection=cases-ca&amp;id=urn:contentItem:5F7T-S701-JGPY-X1X0-00000-00&amp;context=" TargetMode="External" /><Relationship Id="rId876" Type="http://schemas.openxmlformats.org/officeDocument/2006/relationships/hyperlink" Target="https://advance.lexis.com/api/document?collection=cases-ca&amp;id=urn:contentItem:5F16-9351-JC5P-G1PJ-00000-00&amp;context=" TargetMode="External" /><Relationship Id="rId877" Type="http://schemas.openxmlformats.org/officeDocument/2006/relationships/hyperlink" Target="https://advance.lexis.com/api/document?collection=cases-ca&amp;id=urn:contentItem:5SFM-V1B1-JYYX-603S-00000-00&amp;context=" TargetMode="External" /><Relationship Id="rId878" Type="http://schemas.openxmlformats.org/officeDocument/2006/relationships/hyperlink" Target="https://advance.lexis.com/api/document?collection=cases-ca&amp;id=urn:contentItem:5F8T-N3V1-JTGH-B109-00000-00&amp;context=" TargetMode="External" /><Relationship Id="rId879" Type="http://schemas.openxmlformats.org/officeDocument/2006/relationships/header" Target="header148.xml" /><Relationship Id="rId88" Type="http://schemas.openxmlformats.org/officeDocument/2006/relationships/hyperlink" Target="https://advance.lexis.com/api/document?collection=cases-ca&amp;id=urn:contentItem:5F8P-SF51-F2MB-S547-00000-00&amp;context=" TargetMode="External" /><Relationship Id="rId880" Type="http://schemas.openxmlformats.org/officeDocument/2006/relationships/header" Target="header149.xml" /><Relationship Id="rId881" Type="http://schemas.openxmlformats.org/officeDocument/2006/relationships/footer" Target="footer148.xml" /><Relationship Id="rId882" Type="http://schemas.openxmlformats.org/officeDocument/2006/relationships/footer" Target="footer149.xml" /><Relationship Id="rId883" Type="http://schemas.openxmlformats.org/officeDocument/2006/relationships/header" Target="header150.xml" /><Relationship Id="rId884" Type="http://schemas.openxmlformats.org/officeDocument/2006/relationships/footer" Target="footer150.xml" /><Relationship Id="rId885" Type="http://schemas.openxmlformats.org/officeDocument/2006/relationships/hyperlink" Target="https://advance.lexis.com/api/document?collection=cases-ca&amp;id=urn:contentItem:5V38-H3K1-JSC5-M1JW-00000-00&amp;context=" TargetMode="External" /><Relationship Id="rId886" Type="http://schemas.openxmlformats.org/officeDocument/2006/relationships/hyperlink" Target="https://advance.lexis.com/api/document?collection=cases-ca&amp;id=urn:contentItem:5F7T-S711-F27X-60XX-00000-00&amp;context=" TargetMode="External" /><Relationship Id="rId887" Type="http://schemas.openxmlformats.org/officeDocument/2006/relationships/hyperlink" Target="https://advance.lexis.com/api/document?collection=cases-ca&amp;id=urn:contentItem:5F7T-S721-F5T5-M29H-00000-00&amp;context=" TargetMode="External" /><Relationship Id="rId888" Type="http://schemas.openxmlformats.org/officeDocument/2006/relationships/hyperlink" Target="https://advance.lexis.com/api/document?collection=cases-ca&amp;id=urn:contentItem:5F81-VJS1-FFFC-B2WC-00000-00&amp;context=" TargetMode="External" /><Relationship Id="rId889" Type="http://schemas.openxmlformats.org/officeDocument/2006/relationships/hyperlink" Target="https://advance.lexis.com/api/document?collection=cases-ca&amp;id=urn:contentItem:5F7T-S6R1-F06F-221X-00000-00&amp;context=" TargetMode="External" /><Relationship Id="rId89" Type="http://schemas.openxmlformats.org/officeDocument/2006/relationships/hyperlink" Target="https://advance.lexis.com/api/document?collection=cases-ca&amp;id=urn:contentItem:5F7T-S7F1-DXWW-23FX-00000-00&amp;context=" TargetMode="External" /><Relationship Id="rId890" Type="http://schemas.openxmlformats.org/officeDocument/2006/relationships/hyperlink" Target="https://advance.lexis.com/api/document?collection=cases-ca&amp;id=urn:contentItem:5F7T-S7H1-JG02-S3R2-00000-00&amp;context=" TargetMode="External" /><Relationship Id="rId891" Type="http://schemas.openxmlformats.org/officeDocument/2006/relationships/hyperlink" Target="https://advance.lexis.com/api/document?collection=cases-ca&amp;id=urn:contentItem:5F7T-S7G1-JX3N-B2D5-00000-00&amp;context=" TargetMode="External" /><Relationship Id="rId892" Type="http://schemas.openxmlformats.org/officeDocument/2006/relationships/hyperlink" Target="https://advance.lexis.com/api/document?collection=cases-ca&amp;id=urn:contentItem:5F7T-S731-FG12-62T4-00000-00&amp;context=" TargetMode="External" /><Relationship Id="rId893" Type="http://schemas.openxmlformats.org/officeDocument/2006/relationships/hyperlink" Target="https://advance.lexis.com/api/document?collection=cases-ca&amp;id=urn:contentItem:5F8P-SBS1-JNY7-X4F9-00000-00&amp;context=" TargetMode="External" /><Relationship Id="rId894" Type="http://schemas.openxmlformats.org/officeDocument/2006/relationships/hyperlink" Target="https://advance.lexis.com/api/document?collection=cases-ca&amp;id=urn:contentItem:5F16-9371-FJM6-62S2-00000-00&amp;context=" TargetMode="External" /><Relationship Id="rId895" Type="http://schemas.openxmlformats.org/officeDocument/2006/relationships/hyperlink" Target="https://advance.lexis.com/api/document?collection=cases-ca&amp;id=urn:contentItem:5F7T-S741-F2F4-G2F1-00000-00&amp;context=" TargetMode="External" /><Relationship Id="rId896" Type="http://schemas.openxmlformats.org/officeDocument/2006/relationships/hyperlink" Target="https://advance.lexis.com/api/document?collection=cases-ca&amp;id=urn:contentItem:5G77-HXG1-FCK4-G3XK-00000-00&amp;context=" TargetMode="External" /><Relationship Id="rId897" Type="http://schemas.openxmlformats.org/officeDocument/2006/relationships/hyperlink" Target="https://advance.lexis.com/api/document?collection=cases-ca&amp;id=urn:contentItem:5F8T-N3V1-FC1F-M49J-00000-00&amp;context=" TargetMode="External" /><Relationship Id="rId898" Type="http://schemas.openxmlformats.org/officeDocument/2006/relationships/hyperlink" Target="https://advance.lexis.com/api/document?collection=cases-ca&amp;id=urn:contentItem:5F8T-N3V1-JTGH-B16R-00000-00&amp;context=" TargetMode="External" /><Relationship Id="rId899" Type="http://schemas.openxmlformats.org/officeDocument/2006/relationships/hyperlink" Target="https://advance.lexis.com/api/document?collection=cases-ca&amp;id=urn:contentItem:5F8T-N3T1-JFKM-652N-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8T-N3V1-FH4C-X253-00000-00&amp;context=" TargetMode="External" /><Relationship Id="rId900" Type="http://schemas.openxmlformats.org/officeDocument/2006/relationships/hyperlink" Target="https://advance.lexis.com/api/document?collection=cases-ca&amp;id=urn:contentItem:5TDH-88J1-F30T-B0RN-00000-00&amp;context=" TargetMode="External" /><Relationship Id="rId901" Type="http://schemas.openxmlformats.org/officeDocument/2006/relationships/hyperlink" Target="https://advance.lexis.com/api/document?collection=cases-ca&amp;id=urn:contentItem:5F7T-S7N1-JGHR-M35K-00000-00&amp;context=" TargetMode="External" /><Relationship Id="rId902" Type="http://schemas.openxmlformats.org/officeDocument/2006/relationships/hyperlink" Target="https://advance.lexis.com/api/document?collection=cases-ca&amp;id=urn:contentItem:5F8T-N3R1-JBDT-B566-00000-00&amp;context=" TargetMode="External" /><Relationship Id="rId903" Type="http://schemas.openxmlformats.org/officeDocument/2006/relationships/hyperlink" Target="https://advance.lexis.com/api/document?collection=cases-ca&amp;id=urn:contentItem:5F8T-N3V1-FC1F-M49K-00000-00&amp;context=" TargetMode="External" /><Relationship Id="rId904" Type="http://schemas.openxmlformats.org/officeDocument/2006/relationships/hyperlink" Target="https://advance.lexis.com/api/document?collection=cases-ca&amp;id=urn:contentItem:5F8T-N3V1-JTGH-B1CS-00000-00&amp;context=" TargetMode="External" /><Relationship Id="rId905" Type="http://schemas.openxmlformats.org/officeDocument/2006/relationships/hyperlink" Target="https://advance.lexis.com/api/document?collection=cases-ca&amp;id=urn:contentItem:5F8T-N3S1-JBDT-B07D-00000-00&amp;context=" TargetMode="External" /><Relationship Id="rId906" Type="http://schemas.openxmlformats.org/officeDocument/2006/relationships/hyperlink" Target="https://advance.lexis.com/api/document?collection=cases-ca&amp;id=urn:contentItem:5F81-WC31-F5KY-B4RV-00000-00&amp;context=" TargetMode="External" /><Relationship Id="rId907" Type="http://schemas.openxmlformats.org/officeDocument/2006/relationships/hyperlink" Target="https://advance.lexis.com/api/document?collection=cases-ca&amp;id=urn:contentItem:5F7T-S7H1-K054-G2BY-00000-00&amp;context=" TargetMode="External" /><Relationship Id="rId908" Type="http://schemas.openxmlformats.org/officeDocument/2006/relationships/hyperlink" Target="https://advance.lexis.com/api/document?collection=cases-ca&amp;id=urn:contentItem:5F7T-S7J1-JGBH-B222-00000-00&amp;context=" TargetMode="External" /><Relationship Id="rId909" Type="http://schemas.openxmlformats.org/officeDocument/2006/relationships/hyperlink" Target="https://advance.lexis.com/api/document?collection=cases-ca&amp;id=urn:contentItem:5F8P-SBT1-F8KH-X2JH-00000-00&amp;context=" TargetMode="External" /><Relationship Id="rId91" Type="http://schemas.openxmlformats.org/officeDocument/2006/relationships/hyperlink" Target="https://advance.lexis.com/api/document?collection=cases-ca&amp;id=urn:contentItem:5F8T-N3V1-JFKM-609G-00000-00&amp;context=" TargetMode="External" /><Relationship Id="rId910" Type="http://schemas.openxmlformats.org/officeDocument/2006/relationships/hyperlink" Target="https://advance.lexis.com/api/document?collection=cases-ca&amp;id=urn:contentItem:5F8T-N3T1-JFKM-652P-00000-00&amp;context=" TargetMode="External" /><Relationship Id="rId911" Type="http://schemas.openxmlformats.org/officeDocument/2006/relationships/hyperlink" Target="https://advance.lexis.com/api/document?collection=cases-ca&amp;id=urn:contentItem:5F8T-N3V1-JTGH-B1DH-00000-00&amp;context=" TargetMode="External" /><Relationship Id="rId912" Type="http://schemas.openxmlformats.org/officeDocument/2006/relationships/hyperlink" Target="https://advance.lexis.com/api/document?collection=cases-ca&amp;id=urn:contentItem:5G5R-VSV1-DYMS-602J-00000-00&amp;context=" TargetMode="External" /><Relationship Id="rId913" Type="http://schemas.openxmlformats.org/officeDocument/2006/relationships/hyperlink" Target="https://advance.lexis.com/api/document?collection=cases-ca&amp;id=urn:contentItem:5PVV-JWM1-JCJ5-21V5-00000-00&amp;context=" TargetMode="External" /><Relationship Id="rId914" Type="http://schemas.openxmlformats.org/officeDocument/2006/relationships/hyperlink" Target="https://advance.lexis.com/api/document?collection=cases-ca&amp;id=urn:contentItem:5FXJ-PSX1-JNJT-B0JG-00000-00&amp;context=" TargetMode="External" /><Relationship Id="rId915" Type="http://schemas.openxmlformats.org/officeDocument/2006/relationships/hyperlink" Target="https://advance.lexis.com/api/document?collection=cases-ca&amp;id=urn:contentItem:5F7T-S7G1-FCYK-209C-00000-00&amp;context=" TargetMode="External" /><Relationship Id="rId916" Type="http://schemas.openxmlformats.org/officeDocument/2006/relationships/hyperlink" Target="https://advance.lexis.com/api/document?collection=cases-ca&amp;id=urn:contentItem:5F7T-S751-JBM1-M2HC-00000-00&amp;context=" TargetMode="External" /><Relationship Id="rId917" Type="http://schemas.openxmlformats.org/officeDocument/2006/relationships/hyperlink" Target="https://advance.lexis.com/api/document?collection=cases-ca&amp;id=urn:contentItem:5F7T-S741-F528-G22X-00000-00&amp;context=" TargetMode="External" /><Relationship Id="rId918" Type="http://schemas.openxmlformats.org/officeDocument/2006/relationships/image" Target="media/image3.jpeg" /><Relationship Id="rId919" Type="http://schemas.openxmlformats.org/officeDocument/2006/relationships/numbering" Target="numbering.xml" /><Relationship Id="rId92" Type="http://schemas.openxmlformats.org/officeDocument/2006/relationships/hyperlink" Target="https://advance.lexis.com/api/document?collection=cases-ca&amp;id=urn:contentItem:5F8T-N3V1-FH4C-X247-00000-00&amp;context=" TargetMode="External" /><Relationship Id="rId920" Type="http://schemas.openxmlformats.org/officeDocument/2006/relationships/styles" Target="styles.xml" /><Relationship Id="rId93" Type="http://schemas.openxmlformats.org/officeDocument/2006/relationships/hyperlink" Target="https://advance.lexis.com/api/document?collection=cases-ca&amp;id=urn:contentItem:5F8T-N3T1-JFKM-6520-00000-00&amp;context=" TargetMode="External" /><Relationship Id="rId94" Type="http://schemas.openxmlformats.org/officeDocument/2006/relationships/hyperlink" Target="https://advance.lexis.com/api/document?collection=cases-ca&amp;id=urn:contentItem:5F7T-S731-F1WF-M2G7-00000-00&amp;context=" TargetMode="External" /><Relationship Id="rId95" Type="http://schemas.openxmlformats.org/officeDocument/2006/relationships/hyperlink" Target="https://advance.lexis.com/api/document?collection=cases-ca&amp;id=urn:contentItem:5F82-1SD1-JX8W-M0YP-00000-00&amp;context=" TargetMode="External" /><Relationship Id="rId96" Type="http://schemas.openxmlformats.org/officeDocument/2006/relationships/hyperlink" Target="https://advance.lexis.com/api/document?collection=cases-ca&amp;id=urn:contentItem:5F7T-S7M1-F4W2-62H6-00000-00&amp;context=" TargetMode="External" /><Relationship Id="rId97" Type="http://schemas.openxmlformats.org/officeDocument/2006/relationships/header" Target="header19.xml" /><Relationship Id="rId98" Type="http://schemas.openxmlformats.org/officeDocument/2006/relationships/header" Target="header20.xml" /><Relationship Id="rId99" Type="http://schemas.openxmlformats.org/officeDocument/2006/relationships/footer" Target="footer19.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Ivans v. Glenmore-Ellison Improvement District, [2018] B.C.J. No. 6978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115052210</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